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7C6" w14:textId="25636F86" w:rsidR="0084406A" w:rsidRDefault="002B18AF">
      <w:pPr>
        <w:rPr>
          <w:vanish/>
        </w:rPr>
      </w:pPr>
      <w:r>
        <w:rPr>
          <w:rFonts w:ascii="宋体" w:eastAsia="宋体" w:hAnsi="宋体" w:cs="宋体"/>
        </w:rPr>
        <w:t xml:space="preserve"> </w:t>
      </w:r>
      <w:r>
        <w:rPr>
          <w:rFonts w:ascii="宋体" w:eastAsia="宋体" w:hAnsi="宋体" w:cs="宋体"/>
          <w:vanish/>
        </w:rPr>
        <w:t xml:space="preserve">10-KfalseDecember 25, </w:t>
      </w:r>
      <w:r>
        <w:rPr>
          <w:rFonts w:ascii="宋体" w:eastAsia="宋体" w:hAnsi="宋体" w:cs="宋体"/>
          <w:vanish/>
        </w:rPr>
        <w:t>20212021FY0000002488P2YP1Y00000024882020-12-272021-12-2500000024882021-06-26iso4217:USD00000024882022-01-28xbrli:shares00000024882019-12-292020-12-2600000024882018-12-302019-12-28iso4217:USDxbrli:shares00000024882021-12-2500000024882020-12-260000002488us-g</w:t>
      </w:r>
      <w:r>
        <w:rPr>
          <w:rFonts w:ascii="宋体" w:eastAsia="宋体" w:hAnsi="宋体" w:cs="宋体"/>
          <w:vanish/>
        </w:rPr>
        <w:t>aap:CommonStockMember2020-12-260000002488us-gaap:CommonStockMember2019-12-280000002488us-gaap:CommonStockMember2018-12-290000002488us-gaap:CommonStockMember2020-12-272021-12-250000002488us-gaap:CommonStockMember2019-12-292020-12-260000002488us-gaap:CommonS</w:t>
      </w:r>
      <w:r>
        <w:rPr>
          <w:rFonts w:ascii="宋体" w:eastAsia="宋体" w:hAnsi="宋体" w:cs="宋体"/>
          <w:vanish/>
        </w:rPr>
        <w:t>tockMember2018-12-302019-12-280000002488us-gaap:CommonStockMember2021-12-250000002488us-gaap:AdditionalPaidInCapitalMember2020-12-260000002488us-gaap:AdditionalPaidInCapitalMember2019-12-280000002488us-gaap:AdditionalPaidInCapitalMember2018-12-290000002488</w:t>
      </w:r>
      <w:r>
        <w:rPr>
          <w:rFonts w:ascii="宋体" w:eastAsia="宋体" w:hAnsi="宋体" w:cs="宋体"/>
          <w:vanish/>
        </w:rPr>
        <w:t>us-gaap:AdditionalPaidInCapitalMember2020-12-272021-12-250000002488us-gaap:AdditionalPaidInCapitalMember2019-12-292020-12-260000002488us-gaap:AdditionalPaidInCapitalMember2018-12-302019-12-280000002488us-gaap:AdditionalPaidInCapitalMember2021-12-2500000024</w:t>
      </w:r>
      <w:r>
        <w:rPr>
          <w:rFonts w:ascii="宋体" w:eastAsia="宋体" w:hAnsi="宋体" w:cs="宋体"/>
          <w:vanish/>
        </w:rPr>
        <w:t>88us-gaap:TreasuryStockMember2020-12-260000002488us-gaap:TreasuryStockMember2019-12-280000002488us-gaap:TreasuryStockMember2018-12-290000002488us-gaap:TreasuryStockMember2020-12-272021-12-250000002488us-gaap:TreasuryStockMember2019-12-292020-12-26000000248</w:t>
      </w:r>
      <w:r>
        <w:rPr>
          <w:rFonts w:ascii="宋体" w:eastAsia="宋体" w:hAnsi="宋体" w:cs="宋体"/>
          <w:vanish/>
        </w:rPr>
        <w:t>8us-gaap:TreasuryStockMember2018-12-302019-12-280000002488us-gaap:TreasuryStockMember2021-12-250000002488us-gaap:RetainedEarningsMember2020-12-260000002488us-gaap:RetainedEarningsMember2019-12-280000002488us-gaap:RetainedEarningsMember2018-12-290000002488u</w:t>
      </w:r>
      <w:r>
        <w:rPr>
          <w:rFonts w:ascii="宋体" w:eastAsia="宋体" w:hAnsi="宋体" w:cs="宋体"/>
          <w:vanish/>
        </w:rPr>
        <w:t>s-gaap:RetainedEarningsMember2020-12-272021-12-250000002488us-gaap:RetainedEarningsMember2019-12-292020-12-260000002488us-gaap:RetainedEarningsMember2018-12-302019-12-280000002488us-gaap:RetainedEarningsMember2021-12-250000002488us-gaap:AccumulatedOtherCom</w:t>
      </w:r>
      <w:r>
        <w:rPr>
          <w:rFonts w:ascii="宋体" w:eastAsia="宋体" w:hAnsi="宋体" w:cs="宋体"/>
          <w:vanish/>
        </w:rPr>
        <w:t>prehensiveIncomeMember2020-12-260000002488us-gaap:AccumulatedOtherComprehensiveIncomeMember2019-12-280000002488us-gaap:AccumulatedOtherComprehensiveIncomeMember2018-12-290000002488us-gaap:AccumulatedOtherComprehensiveIncomeMember2020-12-272021-12-250000002</w:t>
      </w:r>
      <w:r>
        <w:rPr>
          <w:rFonts w:ascii="宋体" w:eastAsia="宋体" w:hAnsi="宋体" w:cs="宋体"/>
          <w:vanish/>
        </w:rPr>
        <w:t>488us-gaap:AccumulatedOtherComprehensiveIncomeMember2019-12-292020-12-260000002488us-gaap:AccumulatedOtherComprehensiveIncomeMember2018-12-302019-12-280000002488us-gaap:AccumulatedOtherComprehensiveIncomeMember2021-12-2500000024882019-12-2800000024882018-1</w:t>
      </w:r>
      <w:r>
        <w:rPr>
          <w:rFonts w:ascii="宋体" w:eastAsia="宋体" w:hAnsi="宋体" w:cs="宋体"/>
          <w:vanish/>
        </w:rPr>
        <w:t>2-290000002488srt:MinimumMember2020-12-272021-12-250000002488srt:MaximumMember2020-12-272021-12-250000002488us-gaap:EquipmentMembersrt:MinimumMember2020-12-272021-12-250000002488us-gaap:EquipmentMembersrt:MaximumMember2020-12-272021-12-250000002488us-gaap:</w:t>
      </w:r>
      <w:r>
        <w:rPr>
          <w:rFonts w:ascii="宋体" w:eastAsia="宋体" w:hAnsi="宋体" w:cs="宋体"/>
          <w:vanish/>
        </w:rPr>
        <w:t>CommercialPaperMember2021-12-250000002488us-gaap:CommercialPaperMember2020-12-260000002488us-gaap:BankTimeDepositsMember2021-12-250000002488us-gaap:BankTimeDepositsMember2020-12-2600000024882021-12-252021-12-250000002488us-gaap:TransferredOverTimeMember202</w:t>
      </w:r>
      <w:r>
        <w:rPr>
          <w:rFonts w:ascii="宋体" w:eastAsia="宋体" w:hAnsi="宋体" w:cs="宋体"/>
          <w:vanish/>
        </w:rPr>
        <w:t>0-12-272021-12-25xbrli:pure0000002488us-gaap:TransferredOverTimeMember2019-12-292020-12-260000002488us-gaap:TransferredOverTimeMember2018-12-302019-12-280000002488us-gaap:CorporateJointVentureMemberamd:ATMPJVMember2021-12-25amd:joint_venture0000002488us-ga</w:t>
      </w:r>
      <w:r>
        <w:rPr>
          <w:rFonts w:ascii="宋体" w:eastAsia="宋体" w:hAnsi="宋体" w:cs="宋体"/>
          <w:vanish/>
        </w:rPr>
        <w:t>ap:CorporateJointVentureMemberamd:ATMPJVMember2020-12-272021-12-250000002488us-gaap:CorporateJointVentureMemberamd:ATMPJVMember2019-12-292020-12-260000002488us-gaap:CorporateJointVentureMemberamd:ATMPJVMember2020-12-260000002488amd:ATMPJVMember2021-12-2500</w:t>
      </w:r>
      <w:r>
        <w:rPr>
          <w:rFonts w:ascii="宋体" w:eastAsia="宋体" w:hAnsi="宋体" w:cs="宋体"/>
          <w:vanish/>
        </w:rPr>
        <w:t>00002488amd:ATMPJVMember2020-12-260000002488amd:THATICJVMemberus-gaap:CorporateJointVentureMember2021-12-250000002488amd:THATICJVMemberus-gaap:CorporateJointVentureMember2019-12-280000002488amd:EnterpriseEmbeddedandSemiCustomMember2021-12-250000002488amd:A</w:t>
      </w:r>
      <w:r>
        <w:rPr>
          <w:rFonts w:ascii="宋体" w:eastAsia="宋体" w:hAnsi="宋体" w:cs="宋体"/>
          <w:vanish/>
        </w:rPr>
        <w:t>750SeniorNotesDue2022Memberus-gaap:SeniorNotesMember2021-12-250000002488amd:A750SeniorNotesDue2022Memberus-gaap:ConvertibleDebtMember2021-12-250000002488amd:A750SeniorNotesDue2022Memberus-gaap:ConvertibleDebtMember2020-12-260000002488us-gaap:ConvertibleDeb</w:t>
      </w:r>
      <w:r>
        <w:rPr>
          <w:rFonts w:ascii="宋体" w:eastAsia="宋体" w:hAnsi="宋体" w:cs="宋体"/>
          <w:vanish/>
        </w:rPr>
        <w:t>tMemberamd:A2.125ConvertibleSeniorNotesDue2026Member2021-12-250000002488us-gaap:ConvertibleDebtMemberamd:A2.125ConvertibleSeniorNotesDue2026Member2020-12-260000002488amd:A2.125ConvertibleSeniorNotesDue2026Memberus-gaap:SeniorNotesMember2021-12-250000002488</w:t>
      </w:r>
      <w:r>
        <w:rPr>
          <w:rFonts w:ascii="宋体" w:eastAsia="宋体" w:hAnsi="宋体" w:cs="宋体"/>
          <w:vanish/>
        </w:rPr>
        <w:t>amd:A2.125ConvertibleSeniorNotesDue2026Memberus-gaap:SeniorNotesMember2020-12-260000002488us-gaap:ConvertibleDebtMemberamd:A2.125ConvertibleSeniorNotesDue2026Member2016-09-300000002488us-gaap:ConvertibleDebtMemberamd:A2.125ConvertibleSeniorNotesDue2026Memb</w:t>
      </w:r>
      <w:r>
        <w:rPr>
          <w:rFonts w:ascii="宋体" w:eastAsia="宋体" w:hAnsi="宋体" w:cs="宋体"/>
          <w:vanish/>
        </w:rPr>
        <w:t>er2020-12-272021-12-250000002488amd:A2.125ConvertibleSeniorNotesDue2026Member2020-12-272021-12-250000002488amd:A2.125ConvertibleSeniorNotesDue2026Member2019-12-292020-12-260000002488amd:A750SeniorNotesDue2022Member2012-08-150000002488amd:A750SeniorNotesDue</w:t>
      </w:r>
      <w:r>
        <w:rPr>
          <w:rFonts w:ascii="宋体" w:eastAsia="宋体" w:hAnsi="宋体" w:cs="宋体"/>
          <w:vanish/>
        </w:rPr>
        <w:t>2022Member2021-12-250000002488amd:A750SeniorNotesDue2022Memberus-gaap:DebtInstrumentRedemptionPeriodOneMember2020-12-272021-12-250000002488amd:A750SeniorNotesDue2022Memberus-gaap:DebtInstrumentRedemptionPeriodTwoMember2012-08-152012-08-150000002488us-gaap:</w:t>
      </w:r>
      <w:r>
        <w:rPr>
          <w:rFonts w:ascii="宋体" w:eastAsia="宋体" w:hAnsi="宋体" w:cs="宋体"/>
          <w:vanish/>
        </w:rPr>
        <w:t>RevolvingCreditFacilityMemberus-gaap:RevolvingCreditFacilityMember2019-06-072019-06-070000002488amd:SecuredRevolvingCreditFacilityMemberamd:SwinglineSubfacilityMember2019-06-070000002488amd:SecuredRevolvingCreditFacilityMemberus-gaap:LetterOfCreditMember20</w:t>
      </w:r>
      <w:r>
        <w:rPr>
          <w:rFonts w:ascii="宋体" w:eastAsia="宋体" w:hAnsi="宋体" w:cs="宋体"/>
          <w:vanish/>
        </w:rPr>
        <w:t>19-06-070000002488us-gaap:RevolvingCreditFacilityMemberus-gaap:RevolvingCreditFacilityMember2021-12-250000002488us-gaap:CashAndCashEquivalentsMemberus-gaap:FairValueInputsLevel1Memberus-gaap:FairValueMeasurementsRecurringMemberus-gaap:MoneyMarketFundsMembe</w:t>
      </w:r>
      <w:r>
        <w:rPr>
          <w:rFonts w:ascii="宋体" w:eastAsia="宋体" w:hAnsi="宋体" w:cs="宋体"/>
          <w:vanish/>
        </w:rPr>
        <w:t>r2021-12-250000002488us-gaap:CashAndCashEquivalentsMemberus-gaap:FairValueInputsLevel2Memberus-gaap:FairValueMeasurementsRecurringMemberus-gaap:MoneyMarketFundsMember2021-12-250000002488us-gaap:CashAndCashEquivalentsMemberus-gaap:FairValueMeasurementsRecur</w:t>
      </w:r>
      <w:r>
        <w:rPr>
          <w:rFonts w:ascii="宋体" w:eastAsia="宋体" w:hAnsi="宋体" w:cs="宋体"/>
          <w:vanish/>
        </w:rPr>
        <w:t>ringMemberus-gaap:MoneyMarketFundsMember2021-12-250000002488us-gaap:CashAndCashEquivalentsMemberus-gaap:FairValueInputsLevel1Memberus-gaap:FairValueMeasurementsRecurringMemberus-gaap:MoneyMarketFundsMember2020-12-260000002488us-gaap:CashAndCashEquivalentsM</w:t>
      </w:r>
      <w:r>
        <w:rPr>
          <w:rFonts w:ascii="宋体" w:eastAsia="宋体" w:hAnsi="宋体" w:cs="宋体"/>
          <w:vanish/>
        </w:rPr>
        <w:t>emberus-gaap:FairValueInputsLevel2Memberus-gaap:FairValueMeasurementsRecurringMemberus-gaap:MoneyMarketFundsMember2020-12-260000002488us-gaap:CashAndCashEquivalentsMemberus-gaap:FairValueMeasurementsRecurringMemberus-gaap:MoneyMarketFundsMember2020-12-2600</w:t>
      </w:r>
      <w:r>
        <w:rPr>
          <w:rFonts w:ascii="宋体" w:eastAsia="宋体" w:hAnsi="宋体" w:cs="宋体"/>
          <w:vanish/>
        </w:rPr>
        <w:t>00002488us-gaap:CashAndCashEquivalentsMemberus-gaap:FairValueInputsLevel1Memberus-gaap:CommercialPaperMemberus-gaap:FairValueMeasurementsRecurringMember2021-12-250000002488us-gaap:CashAndCashEquivalentsMemberus-gaap:FairValueInputsLevel2Memberus-gaap:Comme</w:t>
      </w:r>
      <w:r>
        <w:rPr>
          <w:rFonts w:ascii="宋体" w:eastAsia="宋体" w:hAnsi="宋体" w:cs="宋体"/>
          <w:vanish/>
        </w:rPr>
        <w:t>rcialPaperMemberus-gaap:FairValueMeasurementsRecurringMember2021-12-250000002488us-gaap:CashAndCashEquivalentsMemberus-gaap:CommercialPaperMemberus-gaap:FairValueMeasurementsRecurringMember2021-12-250000002488us-gaap:CashAndCashEquivalentsMemberus-gaap:Fai</w:t>
      </w:r>
      <w:r>
        <w:rPr>
          <w:rFonts w:ascii="宋体" w:eastAsia="宋体" w:hAnsi="宋体" w:cs="宋体"/>
          <w:vanish/>
        </w:rPr>
        <w:t>rValueInputsLevel1Memberus-gaap:CommercialPaperMemberus-gaap:FairValueMeasurementsRecurringMember2020-12-260000002488us-gaap:CashAndCashEquivalentsMemberus-gaap:FairValueInputsLevel2Memberus-gaap:CommercialPaperMemberus-gaap:FairValueMeasurementsRecurringM</w:t>
      </w:r>
      <w:r>
        <w:rPr>
          <w:rFonts w:ascii="宋体" w:eastAsia="宋体" w:hAnsi="宋体" w:cs="宋体"/>
          <w:vanish/>
        </w:rPr>
        <w:t>ember2020-12-260000002488us-gaap:CashAndCashEquivalentsMemberus-gaap:CommercialPaperMemberus-gaap:FairValueMeasurementsRecurringMember2020-12-260000002488us-gaap:ShortTermInvestmentsMemberus-gaap:CommercialPaperMemberus-gaap:FairValueMeasurementsRecurringM</w:t>
      </w:r>
      <w:r>
        <w:rPr>
          <w:rFonts w:ascii="宋体" w:eastAsia="宋体" w:hAnsi="宋体" w:cs="宋体"/>
          <w:vanish/>
        </w:rPr>
        <w:t>ember2021-12-250000002488us-gaap:ShortTermInvestmentsMemberus-gaap:CommercialPaperMemberus-gaap:FairValueMeasurementsRecurringMember2020-12-260000002488us-gaap:CashAndCashEquivalentsMemberus-gaap:BankTimeDepositsMemberus-gaap:FairValueInputsLevel1Memberus-</w:t>
      </w:r>
      <w:r>
        <w:rPr>
          <w:rFonts w:ascii="宋体" w:eastAsia="宋体" w:hAnsi="宋体" w:cs="宋体"/>
          <w:vanish/>
        </w:rPr>
        <w:t>gaap:FairValueMeasurementsRecurringMember2021-12-250000002488us-gaap:CashAndCashEquivalentsMemberus-gaap:BankTimeDepositsMemberus-gaap:FairValueInputsLevel2Memberus-gaap:FairValueMeasurementsRecurringMember2021-12-250000002488us-gaap:BankTimeDepositsMember</w:t>
      </w:r>
      <w:r>
        <w:rPr>
          <w:rFonts w:ascii="宋体" w:eastAsia="宋体" w:hAnsi="宋体" w:cs="宋体"/>
          <w:vanish/>
        </w:rPr>
        <w:t>us-gaap:ShortTermInvestmentsMemberus-gaap:FairValueMeasurementsRecurringMember2021-12-250000002488us-gaap:CashAndCashEquivalentsMemberus-gaap:BankTimeDepositsMemberus-gaap:FairValueInputsLevel1Memberus-gaap:FairValueMeasurementsRecurringMember2020-12-26000</w:t>
      </w:r>
      <w:r>
        <w:rPr>
          <w:rFonts w:ascii="宋体" w:eastAsia="宋体" w:hAnsi="宋体" w:cs="宋体"/>
          <w:vanish/>
        </w:rPr>
        <w:t>0002488us-gaap:CashAndCashEquivalentsMemberus-gaap:BankTimeDepositsMemberus-gaap:FairValueInputsLevel2Memberus-gaap:FairValueMeasurementsRecurringMember2020-12-260000002488us-gaap:BankTimeDepositsMemberus-gaap:ShortTermInvestmentsMemberus-gaap:FairValueMea</w:t>
      </w:r>
      <w:r>
        <w:rPr>
          <w:rFonts w:ascii="宋体" w:eastAsia="宋体" w:hAnsi="宋体" w:cs="宋体"/>
          <w:vanish/>
        </w:rPr>
        <w:t>surementsRecurringMember2020-12-260000002488us-gaap:FairValueInputsLevel1Memberus-gaap:EquitySecuritiesMemberus-gaap:FairValueMeasurementsRecurringMemberus-gaap:OtherNoncurrentAssetsMember2021-12-250000002488us-gaap:FairValueInputsLevel2Memberus-gaap:Equit</w:t>
      </w:r>
      <w:r>
        <w:rPr>
          <w:rFonts w:ascii="宋体" w:eastAsia="宋体" w:hAnsi="宋体" w:cs="宋体"/>
          <w:vanish/>
        </w:rPr>
        <w:t>ySecuritiesMemberus-gaap:FairValueMeasurementsRecurringMemberus-gaap:OtherNoncurrentAssetsMember2021-12-250000002488us-gaap:EquitySecuritiesMemberus-gaap:FairValueMeasurementsRecurringMemberus-gaap:OtherNoncurrentAssetsMember2021-12-250000002488us-gaap:Fai</w:t>
      </w:r>
      <w:r>
        <w:rPr>
          <w:rFonts w:ascii="宋体" w:eastAsia="宋体" w:hAnsi="宋体" w:cs="宋体"/>
          <w:vanish/>
        </w:rPr>
        <w:t>rValueInputsLevel1Memberus-gaap:EquitySecuritiesMemberus-gaap:FairValueMeasurementsRecurringMemberus-gaap:OtherNoncurrentAssetsMember2020-12-260000002488us-gaap:FairValueInputsLevel2Memberus-gaap:EquitySecuritiesMemberus-gaap:FairValueMeasurementsRecurring</w:t>
      </w:r>
      <w:r>
        <w:rPr>
          <w:rFonts w:ascii="宋体" w:eastAsia="宋体" w:hAnsi="宋体" w:cs="宋体"/>
          <w:vanish/>
        </w:rPr>
        <w:t>Memberus-gaap:OtherNoncurrentAssetsMember2020-12-260000002488us-gaap:EquitySecuritiesMemberus-gaap:FairValueMeasurementsRecurringMemberus-gaap:OtherNoncurrentAssetsMember2020-12-260000002488us-gaap:DeferredCompensationArrangementWithIndividualByTypeOfCompe</w:t>
      </w:r>
      <w:r>
        <w:rPr>
          <w:rFonts w:ascii="宋体" w:eastAsia="宋体" w:hAnsi="宋体" w:cs="宋体"/>
          <w:vanish/>
        </w:rPr>
        <w:t>nsationPensionAndOtherPostretirementBenefitsMemberus-gaap:FairValueInputsLevel1Memberus-gaap:FairValueMeasurementsRecurringMemberus-gaap:OtherNoncurrentAssetsMember2021-12-250000002488us-gaap:FairValueInputsLevel2Memberus-gaap:DeferredCompensationArrangeme</w:t>
      </w:r>
      <w:r>
        <w:rPr>
          <w:rFonts w:ascii="宋体" w:eastAsia="宋体" w:hAnsi="宋体" w:cs="宋体"/>
          <w:vanish/>
        </w:rPr>
        <w:t>ntWithIndividualByTypeOfCompensationPensionAndOtherPostretirementBenefitsMemberus-gaap:FairValueMeasurementsRecurringMemberus-gaap:OtherNoncurrentAssetsMember2021-12-250000002488us-gaap:DeferredCompensationArrangementWithIndividualByTypeOfCompensationPensi</w:t>
      </w:r>
      <w:r>
        <w:rPr>
          <w:rFonts w:ascii="宋体" w:eastAsia="宋体" w:hAnsi="宋体" w:cs="宋体"/>
          <w:vanish/>
        </w:rPr>
        <w:t>onAndOtherPostretirementBenefitsMemberus-gaap:FairValueMeasurementsRecurringMemberus-gaap:OtherNoncurrentAssetsMember2021-12-250000002488us-gaap:DeferredCompensationArrangementWithIndividualByTypeOfCompensationPensionAndOtherPostretirementBenefitsMemberus-</w:t>
      </w:r>
      <w:r>
        <w:rPr>
          <w:rFonts w:ascii="宋体" w:eastAsia="宋体" w:hAnsi="宋体" w:cs="宋体"/>
          <w:vanish/>
        </w:rPr>
        <w:t>gaap:FairValueInputsLevel1Memberus-gaap:FairValueMeasurementsRecurringMemberus-gaap:OtherNoncurrentAssetsMember2020-12-260000002488us-gaap:FairValueInputsLevel2Memberus-gaap:DeferredCompensationArrangementWithIndividualByTypeOfCompensationPensionAndOtherPo</w:t>
      </w:r>
      <w:r>
        <w:rPr>
          <w:rFonts w:ascii="宋体" w:eastAsia="宋体" w:hAnsi="宋体" w:cs="宋体"/>
          <w:vanish/>
        </w:rPr>
        <w:t>stretirementBenefitsMemberus-gaap:FairValueMeasurementsRecurringMemberus-gaap:OtherNoncurrentAssetsMember2020-12-260000002488us-gaap:DeferredCompensationArrangementWithIndividualByTypeOfCompensationPensionAndOtherPostretirementBenefitsMemberus-gaap:FairVal</w:t>
      </w:r>
      <w:r>
        <w:rPr>
          <w:rFonts w:ascii="宋体" w:eastAsia="宋体" w:hAnsi="宋体" w:cs="宋体"/>
          <w:vanish/>
        </w:rPr>
        <w:t>ueMeasurementsRecurringMemberus-gaap:OtherNoncurrentAssetsMember2020-12-260000002488us-gaap:FairValueInputsLevel1Member2021-12-250000002488us-gaap:FairValueInputsLevel2Member2021-12-250000002488us-gaap:FairValueMeasurementsRecurringMember2021-12-2500000024</w:t>
      </w:r>
      <w:r>
        <w:rPr>
          <w:rFonts w:ascii="宋体" w:eastAsia="宋体" w:hAnsi="宋体" w:cs="宋体"/>
          <w:vanish/>
        </w:rPr>
        <w:t>88us-gaap:FairValueInputsLevel1Member2020-12-260000002488us-gaap:FairValueInputsLevel2Member2020-12-260000002488us-gaap:FairValueMeasurementsRecurringMember2020-12-260000002488us-gaap:CarryingReportedAmountFairValueDisclosureMember2021-12-250000002488us-ga</w:t>
      </w:r>
      <w:r>
        <w:rPr>
          <w:rFonts w:ascii="宋体" w:eastAsia="宋体" w:hAnsi="宋体" w:cs="宋体"/>
          <w:vanish/>
        </w:rPr>
        <w:t>ap:EstimateOfFairValueFairValueDisclosureMemberus-gaap:FairValueInputsLevel2Member2021-12-250000002488us-gaap:CarryingReportedAmountFairValueDisclosureMember2020-12-260000002488us-gaap:EstimateOfFairValueFairValueDisclosureMemberus-gaap:FairValueInputsLeve</w:t>
      </w:r>
      <w:r>
        <w:rPr>
          <w:rFonts w:ascii="宋体" w:eastAsia="宋体" w:hAnsi="宋体" w:cs="宋体"/>
          <w:vanish/>
        </w:rPr>
        <w:t>l2Member2020-12-260000002488us-gaap:EstimateOfFairValueFairValueDisclosureMember2021-12-250000002488us-gaap:EstimateOfFairValueFairValueDisclosureMember2020-12-260000002488us-gaap:DesignatedAsHedgingInstrumentMemberus-gaap:ForeignExchangeContractMember2020</w:t>
      </w:r>
      <w:r>
        <w:rPr>
          <w:rFonts w:ascii="宋体" w:eastAsia="宋体" w:hAnsi="宋体" w:cs="宋体"/>
          <w:vanish/>
        </w:rPr>
        <w:t>-12-272021-12-250000002488us-gaap:DesignatedAsHedgingInstrumentMemberus-gaap:ForeignExchangeContractMember2021-12-250000002488us-gaap:DesignatedAsHedgingInstrumentMemberus-gaap:ForeignExchangeContractMember2020-12-260000002488us-gaap:NondesignatedMemberus-</w:t>
      </w:r>
      <w:r>
        <w:rPr>
          <w:rFonts w:ascii="宋体" w:eastAsia="宋体" w:hAnsi="宋体" w:cs="宋体"/>
          <w:vanish/>
        </w:rPr>
        <w:t>gaap:ForeignExchangeContractMember2020-12-272021-12-250000002488us-gaap:NondesignatedMemberus-gaap:ForeignExchangeContractMember2021-12-250000002488us-gaap:NondesignatedMemberus-gaap:ForeignExchangeContractMember2020-12-260000002488us-gaap:AccumulatedGainL</w:t>
      </w:r>
      <w:r>
        <w:rPr>
          <w:rFonts w:ascii="宋体" w:eastAsia="宋体" w:hAnsi="宋体" w:cs="宋体"/>
          <w:vanish/>
        </w:rPr>
        <w:t>ossNetCashFlowHedgeParentMember2020-12-272021-12-250000002488us-gaap:AccumulatedGainLossNetCashFlowHedgeParentMember2019-12-292020-12-260000002488us-gaap:AccumulatedGainLossNetCashFlowHedgeParentMember2018-12-302019-12-280000002488us-gaap:CustomerConcentra</w:t>
      </w:r>
      <w:r>
        <w:rPr>
          <w:rFonts w:ascii="宋体" w:eastAsia="宋体" w:hAnsi="宋体" w:cs="宋体"/>
          <w:vanish/>
        </w:rPr>
        <w:t>tionRiskMemberamd:TopCustomerOneMemberus-gaap:AccountsReceivableMember2020-12-272021-12-250000002488us-gaap:CustomerConcentrationRiskMemberamd:TopCustomerTwoMemberus-gaap:AccountsReceivableMember2020-12-272021-12-250000002488us-gaap:CustomerConcentrationRi</w:t>
      </w:r>
      <w:r>
        <w:rPr>
          <w:rFonts w:ascii="宋体" w:eastAsia="宋体" w:hAnsi="宋体" w:cs="宋体"/>
          <w:vanish/>
        </w:rPr>
        <w:t>skMemberus-gaap:AccountsReceivableMemberamd:TopCustomerThreeMember2020-12-272021-12-250000002488us-gaap:CustomerConcentrationRiskMemberamd:TopCustomerOneMemberus-gaap:AccountsReceivableMember2019-12-292020-12-260000002488us-gaap:CustomerConcentrationRiskMe</w:t>
      </w:r>
      <w:r>
        <w:rPr>
          <w:rFonts w:ascii="宋体" w:eastAsia="宋体" w:hAnsi="宋体" w:cs="宋体"/>
          <w:vanish/>
        </w:rPr>
        <w:t>mberamd:TopCustomerTwoMemberus-gaap:AccountsReceivableMember2019-12-292020-12-260000002488us-gaap:CustomerConcentrationRiskMemberus-gaap:AccountsReceivableMemberamd:TopCustomerThreeMember2019-12-292020-12-260000002488us-gaap:ConvertibleDebtSecuritiesMember</w:t>
      </w:r>
      <w:r>
        <w:rPr>
          <w:rFonts w:ascii="宋体" w:eastAsia="宋体" w:hAnsi="宋体" w:cs="宋体"/>
          <w:vanish/>
        </w:rPr>
        <w:t>2020-12-272021-12-250000002488us-gaap:ConvertibleDebtSecuritiesMember2019-12-292020-12-260000002488us-gaap:CommonStockMember2020-12-260000002488us-gaap:CommonStockMember2019-12-280000002488us-gaap:CommonStockMember2018-12-290000002488us-gaap:CommonStockMem</w:t>
      </w:r>
      <w:r>
        <w:rPr>
          <w:rFonts w:ascii="宋体" w:eastAsia="宋体" w:hAnsi="宋体" w:cs="宋体"/>
          <w:vanish/>
        </w:rPr>
        <w:t>ber2020-12-272021-12-250000002488us-gaap:CommonStockMember2019-12-292020-12-260000002488us-gaap:CommonStockMember2018-12-302019-12-280000002488us-gaap:TreasuryStockMember2020-12-272021-12-250000002488us-gaap:TreasuryStockMember2019-12-292020-12-26000000248</w:t>
      </w:r>
      <w:r>
        <w:rPr>
          <w:rFonts w:ascii="宋体" w:eastAsia="宋体" w:hAnsi="宋体" w:cs="宋体"/>
          <w:vanish/>
        </w:rPr>
        <w:t>8us-gaap:TreasuryStockMember2018-12-302019-12-280000002488us-gaap:CommonStockMember2021-12-250000002488us-gaap:EmployeeStockOptionMember2020-12-272021-12-250000002488us-gaap:PerformanceSharesMembersrt:MinimumMember2020-12-272021-12-250000002488srt:MaximumM</w:t>
      </w:r>
      <w:r>
        <w:rPr>
          <w:rFonts w:ascii="宋体" w:eastAsia="宋体" w:hAnsi="宋体" w:cs="宋体"/>
          <w:vanish/>
        </w:rPr>
        <w:t>emberus-gaap:PerformanceSharesMember2020-12-272021-12-250000002488us-gaap:EmployeeStockMember2021-12-250000002488us-gaap:EmployeeStockMember2020-12-272021-12-250000002488amd:A2004PlanMemberus-gaap:CommonStockMember2021-12-250000002488us-gaap:EmployeeStockM</w:t>
      </w:r>
      <w:r>
        <w:rPr>
          <w:rFonts w:ascii="宋体" w:eastAsia="宋体" w:hAnsi="宋体" w:cs="宋体"/>
          <w:vanish/>
        </w:rPr>
        <w:t>emberamd:A2017PlanMember2021-12-250000002488us-gaap:CostOfSalesMember2020-12-272021-12-250000002488us-gaap:CostOfSalesMember2019-12-292020-12-260000002488us-gaap:CostOfSalesMember2018-12-302019-12-280000002488us-gaap:ResearchAndDevelopmentExpenseMember2020</w:t>
      </w:r>
      <w:r>
        <w:rPr>
          <w:rFonts w:ascii="宋体" w:eastAsia="宋体" w:hAnsi="宋体" w:cs="宋体"/>
          <w:vanish/>
        </w:rPr>
        <w:t>-12-272021-12-250000002488us-gaap:ResearchAndDevelopmentExpenseMember2019-12-292020-12-260000002488us-gaap:ResearchAndDevelopmentExpenseMember2018-12-302019-12-280000002488us-gaap:SellingGeneralAndAdministrativeExpensesMember2020-12-272021-12-250000002488u</w:t>
      </w:r>
      <w:r>
        <w:rPr>
          <w:rFonts w:ascii="宋体" w:eastAsia="宋体" w:hAnsi="宋体" w:cs="宋体"/>
          <w:vanish/>
        </w:rPr>
        <w:t>s-gaap:SellingGeneralAndAdministrativeExpensesMember2019-12-292020-12-260000002488us-gaap:SellingGeneralAndAdministrativeExpensesMember2018-12-302019-12-280000002488us-gaap:EmployeeStockOptionMember2019-12-292020-12-260000002488us-gaap:EmployeeStockOptionM</w:t>
      </w:r>
      <w:r>
        <w:rPr>
          <w:rFonts w:ascii="宋体" w:eastAsia="宋体" w:hAnsi="宋体" w:cs="宋体"/>
          <w:vanish/>
        </w:rPr>
        <w:t>ember2018-12-302019-12-280000002488us-gaap:EmployeeStockOptionMembersrt:MinimumMember2018-12-302019-12-280000002488us-gaap:EmployeeStockOptionMembersrt:MaximumMember2018-12-302019-12-280000002488us-gaap:EmployeeStockOptionMember2020-12-260000002488us-gaap:</w:t>
      </w:r>
      <w:r>
        <w:rPr>
          <w:rFonts w:ascii="宋体" w:eastAsia="宋体" w:hAnsi="宋体" w:cs="宋体"/>
          <w:vanish/>
        </w:rPr>
        <w:t>EmployeeStockOptionMember2021-12-250000002488amd:TimeBasedRestrictedStockUnitsMember2020-12-272021-12-250000002488amd:TimeBasedRestrictedStockUnitsMember2019-12-292020-12-260000002488amd:TimeBasedRestrictedStockUnitsMember2018-12-302019-12-280000002488amd:</w:t>
      </w:r>
      <w:r>
        <w:rPr>
          <w:rFonts w:ascii="宋体" w:eastAsia="宋体" w:hAnsi="宋体" w:cs="宋体"/>
          <w:vanish/>
        </w:rPr>
        <w:t>TimeBasedRestrictedStockUnitsMember2020-12-260000002488amd:TimeBasedRestrictedStockUnitsMember2021-12-250000002488us-gaap:PerformanceSharesMember2020-12-272021-12-250000002488us-gaap:PerformanceSharesMember2019-12-292020-12-260000002488us-gaap:PerformanceS</w:t>
      </w:r>
      <w:r>
        <w:rPr>
          <w:rFonts w:ascii="宋体" w:eastAsia="宋体" w:hAnsi="宋体" w:cs="宋体"/>
          <w:vanish/>
        </w:rPr>
        <w:t>haresMember2018-12-302019-12-280000002488us-gaap:PerformanceSharesMembersrt:MinimumMember2019-12-292020-12-260000002488srt:MaximumMemberus-gaap:PerformanceSharesMember2019-12-292020-12-260000002488us-gaap:PerformanceSharesMembersrt:MinimumMember2018-12-302</w:t>
      </w:r>
      <w:r>
        <w:rPr>
          <w:rFonts w:ascii="宋体" w:eastAsia="宋体" w:hAnsi="宋体" w:cs="宋体"/>
          <w:vanish/>
        </w:rPr>
        <w:t>019-12-280000002488srt:MaximumMemberus-gaap:PerformanceSharesMember2018-12-302019-12-280000002488us-gaap:PerformanceSharesMember2020-12-260000002488us-gaap:PerformanceSharesMember2021-12-250000002488us-gaap:EmployeeStockMember2020-12-260000002488us-gaap:Em</w:t>
      </w:r>
      <w:r>
        <w:rPr>
          <w:rFonts w:ascii="宋体" w:eastAsia="宋体" w:hAnsi="宋体" w:cs="宋体"/>
          <w:vanish/>
        </w:rPr>
        <w:t>ployeeStockMember2019-12-280000002488us-gaap:EmployeeStockMembersrt:MinimumMember2020-12-272021-12-250000002488us-gaap:EmployeeStockMembersrt:MaximumMember2020-12-272021-12-250000002488us-gaap:EmployeeStockMembersrt:MinimumMember2019-12-292020-12-260000002</w:t>
      </w:r>
      <w:r>
        <w:rPr>
          <w:rFonts w:ascii="宋体" w:eastAsia="宋体" w:hAnsi="宋体" w:cs="宋体"/>
          <w:vanish/>
        </w:rPr>
        <w:t>488us-gaap:EmployeeStockMembersrt:MaximumMember2019-12-292020-12-260000002488us-gaap:EmployeeStockMembersrt:MinimumMember2018-12-302019-12-280000002488us-gaap:EmployeeStockMembersrt:MaximumMember2018-12-302019-12-280000002488us-gaap:EmployeeStockMember2019</w:t>
      </w:r>
      <w:r>
        <w:rPr>
          <w:rFonts w:ascii="宋体" w:eastAsia="宋体" w:hAnsi="宋体" w:cs="宋体"/>
          <w:vanish/>
        </w:rPr>
        <w:t>-12-292020-12-260000002488us-gaap:EmployeeStockMember2018-12-302019-12-28utr:Rate0000002488us-gaap:DomesticCountryMember2019-12-292020-12-260000002488amd:ExpenseAndOtherAccountsMember2020-12-272021-12-250000002488amd:ExpenseAndOtherAccountsMember2019-12-29</w:t>
      </w:r>
      <w:r>
        <w:rPr>
          <w:rFonts w:ascii="宋体" w:eastAsia="宋体" w:hAnsi="宋体" w:cs="宋体"/>
          <w:vanish/>
        </w:rPr>
        <w:t>2020-12-260000002488amd:ExpenseAndOtherAccountsMember2018-12-302019-12-280000002488amd:DeductionsRecoveriesMember2020-12-272021-12-250000002488amd:DeductionsRecoveriesMember2019-12-292020-12-260000002488amd:DeductionsRecoveriesMember2018-12-302019-12-28000</w:t>
      </w:r>
      <w:r>
        <w:rPr>
          <w:rFonts w:ascii="宋体" w:eastAsia="宋体" w:hAnsi="宋体" w:cs="宋体"/>
          <w:vanish/>
        </w:rPr>
        <w:t>0002488us-gaap:DomesticCountryMember2021-12-250000002488us-gaap:StateAndLocalJurisdictionMember2021-12-250000002488us-gaap:ForeignCountryMember2021-12-25amd:segment0000002488us-gaap:OperatingSegmentsMemberamd:ComputingandGraphicsMember2020-12-272021-12-250</w:t>
      </w:r>
      <w:r>
        <w:rPr>
          <w:rFonts w:ascii="宋体" w:eastAsia="宋体" w:hAnsi="宋体" w:cs="宋体"/>
          <w:vanish/>
        </w:rPr>
        <w:t>000002488us-gaap:OperatingSegmentsMemberamd:ComputingandGraphicsMember2019-12-292020-12-260000002488us-gaap:OperatingSegmentsMemberamd:ComputingandGraphicsMember2018-12-302019-12-280000002488us-gaap:OperatingSegmentsMemberamd:EnterpriseEmbeddedAndSemiCusto</w:t>
      </w:r>
      <w:r>
        <w:rPr>
          <w:rFonts w:ascii="宋体" w:eastAsia="宋体" w:hAnsi="宋体" w:cs="宋体"/>
          <w:vanish/>
        </w:rPr>
        <w:t>msMember2020-12-272021-12-250000002488us-gaap:OperatingSegmentsMemberamd:EnterpriseEmbeddedAndSemiCustomsMember2019-12-292020-12-260000002488us-gaap:OperatingSegmentsMemberamd:EnterpriseEmbeddedAndSemiCustomsMember2018-12-302019-12-280000002488us-gaap:Mate</w:t>
      </w:r>
      <w:r>
        <w:rPr>
          <w:rFonts w:ascii="宋体" w:eastAsia="宋体" w:hAnsi="宋体" w:cs="宋体"/>
          <w:vanish/>
        </w:rPr>
        <w:t>rialReconcilingItemsMember2020-12-272021-12-250000002488us-gaap:MaterialReconcilingItemsMember2019-12-292020-12-260000002488us-gaap:MaterialReconcilingItemsMember2018-12-302019-12-280000002488country:US2020-12-272021-12-250000002488country:US2019-12-292020</w:t>
      </w:r>
      <w:r>
        <w:rPr>
          <w:rFonts w:ascii="宋体" w:eastAsia="宋体" w:hAnsi="宋体" w:cs="宋体"/>
          <w:vanish/>
        </w:rPr>
        <w:t>-12-260000002488country:US2018-12-302019-12-280000002488country:CN2020-12-272021-12-250000002488country:CN2019-12-292020-12-260000002488country:CN2018-12-302019-12-280000002488country:JP2020-12-272021-12-250000002488country:JP2019-12-292020-12-260000002488</w:t>
      </w:r>
      <w:r>
        <w:rPr>
          <w:rFonts w:ascii="宋体" w:eastAsia="宋体" w:hAnsi="宋体" w:cs="宋体"/>
          <w:vanish/>
        </w:rPr>
        <w:t>country:JP2018-12-302019-12-280000002488srt:EuropeMember2020-12-272021-12-250000002488srt:EuropeMember2019-12-292020-12-260000002488srt:EuropeMember2018-12-302019-12-280000002488country:TW2020-12-272021-12-250000002488country:TW2019-12-292020-12-2600000024</w:t>
      </w:r>
      <w:r>
        <w:rPr>
          <w:rFonts w:ascii="宋体" w:eastAsia="宋体" w:hAnsi="宋体" w:cs="宋体"/>
          <w:vanish/>
        </w:rPr>
        <w:t>88country:TW2018-12-302019-12-280000002488country:SG2020-12-272021-12-250000002488country:SG2019-12-292020-12-260000002488country:SG2018-12-302019-12-280000002488amd:OtherCountriesMember2020-12-272021-12-250000002488amd:OtherCountriesMember2019-12-292020-1</w:t>
      </w:r>
      <w:r>
        <w:rPr>
          <w:rFonts w:ascii="宋体" w:eastAsia="宋体" w:hAnsi="宋体" w:cs="宋体"/>
          <w:vanish/>
        </w:rPr>
        <w:t>2-260000002488amd:OtherCountriesMember2018-12-302019-12-280000002488us-gaap:RevenueFromContractWithCustomerMemberus-gaap:CustomerConcentrationRiskMemberamd:CustomerAMember2020-12-272021-12-250000002488us-gaap:RevenueFromContractWithCustomerMemberus-gaap:Cu</w:t>
      </w:r>
      <w:r>
        <w:rPr>
          <w:rFonts w:ascii="宋体" w:eastAsia="宋体" w:hAnsi="宋体" w:cs="宋体"/>
          <w:vanish/>
        </w:rPr>
        <w:t>stomerConcentrationRiskMemberamd:CustomerAMember2018-12-302019-12-280000002488us-gaap:RevenueFromContractWithCustomerMemberamd:CustomerBMemberus-gaap:CustomerConcentrationRiskMember2020-12-272021-12-250000002488country:US2021-12-250000002488country:US2020-</w:t>
      </w:r>
      <w:r>
        <w:rPr>
          <w:rFonts w:ascii="宋体" w:eastAsia="宋体" w:hAnsi="宋体" w:cs="宋体"/>
          <w:vanish/>
        </w:rPr>
        <w:t>12-260000002488country:CA2021-12-250000002488country:CA2020-12-260000002488country:CN2021-12-250000002488country:CN2020-12-260000002488country:SG2021-12-250000002488country:SG2020-12-260000002488amd:OtherCountriesMember2021-12-250000002488amd:OtherCountrie</w:t>
      </w:r>
      <w:r>
        <w:rPr>
          <w:rFonts w:ascii="宋体" w:eastAsia="宋体" w:hAnsi="宋体" w:cs="宋体"/>
          <w:vanish/>
        </w:rPr>
        <w:t>sMember2020-12-26amd:site0000002488amd:XilinxIncMember2020-12-272021-12-2500000024882021-12-262022-02-030000002488us-gaap:SubsequentEventMember2021-12-262022-02-030000002488us-gaap:SubsequentEventMember2022-02-03</w:t>
      </w:r>
    </w:p>
    <w:p w14:paraId="590297C7" w14:textId="77777777" w:rsidR="0084406A" w:rsidRDefault="0084406A"/>
    <w:p w14:paraId="590297C8" w14:textId="77777777" w:rsidR="0084406A" w:rsidRDefault="002B18AF">
      <w:pPr>
        <w:jc w:val="center"/>
      </w:pPr>
      <w:r>
        <w:rPr>
          <w:rFonts w:ascii="Arial" w:eastAsia="宋体" w:hAnsi="Arial" w:cs="Arial"/>
          <w:b/>
          <w:bCs/>
          <w:color w:val="000000"/>
          <w:sz w:val="28"/>
          <w:szCs w:val="28"/>
        </w:rPr>
        <w:t>UNITED STATES SECURITIES AND EXCHANGE COMM</w:t>
      </w:r>
      <w:r>
        <w:rPr>
          <w:rFonts w:ascii="Arial" w:eastAsia="宋体" w:hAnsi="Arial" w:cs="Arial"/>
          <w:b/>
          <w:bCs/>
          <w:color w:val="000000"/>
          <w:sz w:val="28"/>
          <w:szCs w:val="28"/>
        </w:rPr>
        <w:t>ISSION</w:t>
      </w:r>
    </w:p>
    <w:p w14:paraId="590297C9" w14:textId="77777777" w:rsidR="0084406A" w:rsidRDefault="002B18AF">
      <w:pPr>
        <w:jc w:val="center"/>
      </w:pPr>
      <w:r>
        <w:rPr>
          <w:rFonts w:ascii="Arial" w:eastAsia="宋体" w:hAnsi="Arial" w:cs="Arial"/>
          <w:b/>
          <w:bCs/>
          <w:color w:val="000000"/>
        </w:rPr>
        <w:t>Washington, D.C. 20549</w:t>
      </w:r>
    </w:p>
    <w:p w14:paraId="590297CA" w14:textId="77777777" w:rsidR="0084406A" w:rsidRDefault="0084406A">
      <w:pPr>
        <w:jc w:val="center"/>
      </w:pPr>
    </w:p>
    <w:p w14:paraId="590297CB" w14:textId="77777777" w:rsidR="0084406A" w:rsidRDefault="002B18AF">
      <w:pPr>
        <w:jc w:val="center"/>
      </w:pPr>
      <w:r>
        <w:rPr>
          <w:rFonts w:ascii="Arial" w:eastAsia="宋体" w:hAnsi="Arial" w:cs="Arial"/>
          <w:color w:val="000000"/>
          <w:sz w:val="28"/>
          <w:szCs w:val="28"/>
        </w:rPr>
        <w:t> </w:t>
      </w:r>
      <w:r>
        <w:rPr>
          <w:rFonts w:ascii="Arial" w:eastAsia="宋体" w:hAnsi="Arial" w:cs="Arial"/>
          <w:b/>
          <w:bCs/>
          <w:color w:val="000000"/>
          <w:sz w:val="28"/>
          <w:szCs w:val="28"/>
        </w:rPr>
        <w:t>FORM 10-K</w:t>
      </w:r>
    </w:p>
    <w:p w14:paraId="590297CC" w14:textId="77777777" w:rsidR="0084406A" w:rsidRDefault="002B18AF">
      <w:r>
        <w:rPr>
          <w:rFonts w:ascii="Arial" w:eastAsia="宋体" w:hAnsi="Arial" w:cs="Arial"/>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24"/>
        <w:gridCol w:w="36"/>
        <w:gridCol w:w="69"/>
        <w:gridCol w:w="7801"/>
        <w:gridCol w:w="37"/>
      </w:tblGrid>
      <w:tr w:rsidR="0084406A" w14:paraId="590297D3" w14:textId="77777777">
        <w:tc>
          <w:tcPr>
            <w:tcW w:w="50" w:type="pct"/>
            <w:shd w:val="clear" w:color="auto" w:fill="auto"/>
            <w:vAlign w:val="bottom"/>
          </w:tcPr>
          <w:p w14:paraId="590297CD" w14:textId="77777777" w:rsidR="0084406A" w:rsidRDefault="0084406A">
            <w:pPr>
              <w:rPr>
                <w:rFonts w:ascii="宋体"/>
              </w:rPr>
            </w:pPr>
          </w:p>
        </w:tc>
        <w:tc>
          <w:tcPr>
            <w:tcW w:w="203" w:type="pct"/>
            <w:shd w:val="clear" w:color="auto" w:fill="auto"/>
            <w:vAlign w:val="bottom"/>
          </w:tcPr>
          <w:p w14:paraId="590297CE" w14:textId="77777777" w:rsidR="0084406A" w:rsidRDefault="0084406A">
            <w:pPr>
              <w:rPr>
                <w:rFonts w:ascii="宋体"/>
              </w:rPr>
            </w:pPr>
          </w:p>
        </w:tc>
        <w:tc>
          <w:tcPr>
            <w:tcW w:w="5" w:type="pct"/>
            <w:shd w:val="clear" w:color="auto" w:fill="auto"/>
            <w:vAlign w:val="bottom"/>
          </w:tcPr>
          <w:p w14:paraId="590297CF" w14:textId="77777777" w:rsidR="0084406A" w:rsidRDefault="0084406A">
            <w:pPr>
              <w:rPr>
                <w:rFonts w:ascii="宋体"/>
              </w:rPr>
            </w:pPr>
          </w:p>
        </w:tc>
        <w:tc>
          <w:tcPr>
            <w:tcW w:w="50" w:type="pct"/>
            <w:shd w:val="clear" w:color="auto" w:fill="auto"/>
            <w:vAlign w:val="bottom"/>
          </w:tcPr>
          <w:p w14:paraId="590297D0" w14:textId="77777777" w:rsidR="0084406A" w:rsidRDefault="0084406A">
            <w:pPr>
              <w:rPr>
                <w:rFonts w:ascii="宋体"/>
              </w:rPr>
            </w:pPr>
          </w:p>
        </w:tc>
        <w:tc>
          <w:tcPr>
            <w:tcW w:w="4686" w:type="pct"/>
            <w:shd w:val="clear" w:color="auto" w:fill="auto"/>
            <w:vAlign w:val="bottom"/>
          </w:tcPr>
          <w:p w14:paraId="590297D1" w14:textId="77777777" w:rsidR="0084406A" w:rsidRDefault="0084406A">
            <w:pPr>
              <w:rPr>
                <w:rFonts w:ascii="宋体"/>
              </w:rPr>
            </w:pPr>
          </w:p>
        </w:tc>
        <w:tc>
          <w:tcPr>
            <w:tcW w:w="5" w:type="pct"/>
            <w:shd w:val="clear" w:color="auto" w:fill="auto"/>
            <w:vAlign w:val="bottom"/>
          </w:tcPr>
          <w:p w14:paraId="590297D2" w14:textId="77777777" w:rsidR="0084406A" w:rsidRDefault="0084406A">
            <w:pPr>
              <w:rPr>
                <w:rFonts w:ascii="宋体"/>
              </w:rPr>
            </w:pPr>
          </w:p>
        </w:tc>
      </w:tr>
      <w:tr w:rsidR="0084406A" w14:paraId="590297D6" w14:textId="77777777">
        <w:tc>
          <w:tcPr>
            <w:tcW w:w="0" w:type="auto"/>
            <w:gridSpan w:val="3"/>
            <w:shd w:val="clear" w:color="auto" w:fill="auto"/>
            <w:tcMar>
              <w:top w:w="40" w:type="dxa"/>
              <w:left w:w="20" w:type="dxa"/>
              <w:bottom w:w="40" w:type="dxa"/>
              <w:right w:w="20" w:type="dxa"/>
            </w:tcMar>
          </w:tcPr>
          <w:p w14:paraId="590297D4" w14:textId="77777777" w:rsidR="0084406A" w:rsidRDefault="002B18AF">
            <w:pPr>
              <w:textAlignment w:val="top"/>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590297D5" w14:textId="77777777" w:rsidR="0084406A" w:rsidRDefault="002B18AF">
            <w:pPr>
              <w:textAlignment w:val="top"/>
            </w:pPr>
            <w:r>
              <w:rPr>
                <w:rFonts w:ascii="Arial" w:eastAsia="宋体" w:hAnsi="Arial" w:cs="Arial"/>
                <w:b/>
                <w:bCs/>
                <w:color w:val="000000"/>
                <w:sz w:val="16"/>
                <w:szCs w:val="16"/>
              </w:rPr>
              <w:t>ANNUAL REPORT PURSUANT TO SECTION 13 OR 15(d) OF THE SECURITIES EXCHANGE ACT OF 1934.</w:t>
            </w:r>
          </w:p>
        </w:tc>
      </w:tr>
      <w:tr w:rsidR="0084406A" w14:paraId="590297D9" w14:textId="77777777">
        <w:tc>
          <w:tcPr>
            <w:tcW w:w="0" w:type="auto"/>
            <w:gridSpan w:val="3"/>
            <w:shd w:val="clear" w:color="auto" w:fill="auto"/>
            <w:tcMar>
              <w:top w:w="0" w:type="dxa"/>
              <w:left w:w="20" w:type="dxa"/>
              <w:bottom w:w="0" w:type="dxa"/>
              <w:right w:w="20" w:type="dxa"/>
            </w:tcMar>
            <w:vAlign w:val="bottom"/>
          </w:tcPr>
          <w:p w14:paraId="590297D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7D8" w14:textId="77777777" w:rsidR="0084406A" w:rsidRDefault="002B18AF">
            <w:pPr>
              <w:textAlignment w:val="top"/>
            </w:pPr>
            <w:r>
              <w:rPr>
                <w:rFonts w:ascii="Arial" w:eastAsia="宋体" w:hAnsi="Arial" w:cs="Arial"/>
                <w:b/>
                <w:bCs/>
                <w:color w:val="000000"/>
                <w:sz w:val="16"/>
                <w:szCs w:val="16"/>
              </w:rPr>
              <w:t>For the fiscal year ended December 25, 2021</w:t>
            </w:r>
          </w:p>
        </w:tc>
      </w:tr>
      <w:tr w:rsidR="0084406A" w14:paraId="590297DC" w14:textId="77777777">
        <w:tc>
          <w:tcPr>
            <w:tcW w:w="0" w:type="auto"/>
            <w:gridSpan w:val="3"/>
            <w:shd w:val="clear" w:color="auto" w:fill="auto"/>
            <w:tcMar>
              <w:top w:w="0" w:type="dxa"/>
              <w:left w:w="20" w:type="dxa"/>
              <w:bottom w:w="0" w:type="dxa"/>
              <w:right w:w="20" w:type="dxa"/>
            </w:tcMar>
            <w:vAlign w:val="bottom"/>
          </w:tcPr>
          <w:p w14:paraId="590297D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7DB" w14:textId="77777777" w:rsidR="0084406A" w:rsidRDefault="002B18AF">
            <w:pPr>
              <w:jc w:val="center"/>
              <w:textAlignment w:val="top"/>
            </w:pPr>
            <w:r>
              <w:rPr>
                <w:rFonts w:ascii="Arial" w:eastAsia="宋体" w:hAnsi="Arial" w:cs="Arial"/>
                <w:b/>
                <w:bCs/>
                <w:color w:val="000000"/>
                <w:sz w:val="16"/>
                <w:szCs w:val="16"/>
              </w:rPr>
              <w:t>OR</w:t>
            </w:r>
          </w:p>
        </w:tc>
      </w:tr>
      <w:tr w:rsidR="0084406A" w14:paraId="590297DF" w14:textId="77777777">
        <w:tc>
          <w:tcPr>
            <w:tcW w:w="0" w:type="auto"/>
            <w:gridSpan w:val="3"/>
            <w:shd w:val="clear" w:color="auto" w:fill="auto"/>
            <w:tcMar>
              <w:top w:w="40" w:type="dxa"/>
              <w:left w:w="20" w:type="dxa"/>
              <w:bottom w:w="40" w:type="dxa"/>
              <w:right w:w="20" w:type="dxa"/>
            </w:tcMar>
            <w:vAlign w:val="bottom"/>
          </w:tcPr>
          <w:p w14:paraId="590297DD" w14:textId="77777777" w:rsidR="0084406A" w:rsidRDefault="002B18AF">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590297DE" w14:textId="77777777" w:rsidR="0084406A" w:rsidRDefault="002B18AF">
            <w:pPr>
              <w:textAlignment w:val="top"/>
            </w:pPr>
            <w:r>
              <w:rPr>
                <w:rFonts w:ascii="Arial" w:eastAsia="宋体" w:hAnsi="Arial" w:cs="Arial"/>
                <w:b/>
                <w:bCs/>
                <w:color w:val="000000"/>
                <w:sz w:val="16"/>
                <w:szCs w:val="16"/>
              </w:rPr>
              <w:t xml:space="preserve">TRANSITION REPORT PURSUANT TO SECTION 13 OR 15(d) OF </w:t>
            </w:r>
            <w:r>
              <w:rPr>
                <w:rFonts w:ascii="Arial" w:eastAsia="宋体" w:hAnsi="Arial" w:cs="Arial"/>
                <w:b/>
                <w:bCs/>
                <w:color w:val="000000"/>
                <w:sz w:val="16"/>
                <w:szCs w:val="16"/>
              </w:rPr>
              <w:t>THE SECURITIES EXCHANGE ACT OF 1934.</w:t>
            </w:r>
          </w:p>
        </w:tc>
      </w:tr>
      <w:tr w:rsidR="0084406A" w14:paraId="590297E2" w14:textId="77777777">
        <w:tc>
          <w:tcPr>
            <w:tcW w:w="0" w:type="auto"/>
            <w:gridSpan w:val="3"/>
            <w:shd w:val="clear" w:color="auto" w:fill="auto"/>
            <w:tcMar>
              <w:top w:w="0" w:type="dxa"/>
              <w:left w:w="20" w:type="dxa"/>
              <w:bottom w:w="0" w:type="dxa"/>
              <w:right w:w="20" w:type="dxa"/>
            </w:tcMar>
            <w:vAlign w:val="bottom"/>
          </w:tcPr>
          <w:p w14:paraId="590297E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7E1" w14:textId="77777777" w:rsidR="0084406A" w:rsidRDefault="002B18AF">
            <w:pPr>
              <w:textAlignment w:val="top"/>
            </w:pPr>
            <w:r>
              <w:rPr>
                <w:rFonts w:ascii="Arial" w:eastAsia="宋体" w:hAnsi="Arial" w:cs="Arial"/>
                <w:b/>
                <w:bCs/>
                <w:color w:val="000000"/>
                <w:sz w:val="16"/>
                <w:szCs w:val="16"/>
              </w:rPr>
              <w:t xml:space="preserve">For the transition period from </w:t>
            </w:r>
            <w:r>
              <w:rPr>
                <w:rFonts w:ascii="Arial" w:eastAsia="宋体" w:hAnsi="Arial" w:cs="Arial"/>
                <w:b/>
                <w:bCs/>
                <w:color w:val="000000"/>
                <w:sz w:val="16"/>
                <w:szCs w:val="16"/>
                <w:u w:val="single"/>
              </w:rPr>
              <w:t xml:space="preserve">             </w:t>
            </w:r>
            <w:r>
              <w:rPr>
                <w:rFonts w:ascii="Arial" w:eastAsia="宋体" w:hAnsi="Arial" w:cs="Arial"/>
                <w:b/>
                <w:bCs/>
                <w:color w:val="000000"/>
                <w:sz w:val="16"/>
                <w:szCs w:val="16"/>
              </w:rPr>
              <w:t xml:space="preserve">to </w:t>
            </w:r>
            <w:r>
              <w:rPr>
                <w:rFonts w:ascii="Arial" w:eastAsia="宋体" w:hAnsi="Arial" w:cs="Arial"/>
                <w:b/>
                <w:bCs/>
                <w:color w:val="000000"/>
                <w:sz w:val="16"/>
                <w:szCs w:val="16"/>
                <w:u w:val="single"/>
              </w:rPr>
              <w:t>            </w:t>
            </w:r>
          </w:p>
        </w:tc>
      </w:tr>
    </w:tbl>
    <w:p w14:paraId="590297E3" w14:textId="77777777" w:rsidR="0084406A" w:rsidRDefault="002B18AF">
      <w:pPr>
        <w:jc w:val="center"/>
      </w:pPr>
      <w:r>
        <w:rPr>
          <w:rFonts w:ascii="Arial" w:eastAsia="宋体" w:hAnsi="Arial" w:cs="Arial"/>
          <w:color w:val="000000"/>
          <w:sz w:val="20"/>
          <w:szCs w:val="20"/>
        </w:rPr>
        <w:t>Commission File Number</w:t>
      </w:r>
      <w:r>
        <w:rPr>
          <w:rFonts w:ascii="Arial" w:eastAsia="宋体" w:hAnsi="Arial" w:cs="Arial"/>
          <w:b/>
          <w:bCs/>
          <w:color w:val="000000"/>
          <w:sz w:val="20"/>
          <w:szCs w:val="20"/>
        </w:rPr>
        <w:t xml:space="preserve"> 001-07882 </w:t>
      </w:r>
    </w:p>
    <w:p w14:paraId="590297E4" w14:textId="77777777" w:rsidR="0084406A" w:rsidRDefault="002B18A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Viewer4_files/amd-20211225_g1.jpg"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902BAF0" wp14:editId="5902BAF1">
            <wp:extent cx="304800" cy="304800"/>
            <wp:effectExtent l="0" t="0" r="0" b="0"/>
            <wp:docPr id="80"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000000"/>
          <w:sz w:val="36"/>
          <w:szCs w:val="36"/>
        </w:rPr>
        <w:t> </w:t>
      </w:r>
    </w:p>
    <w:p w14:paraId="590297E5" w14:textId="77777777" w:rsidR="0084406A" w:rsidRDefault="002B18AF">
      <w:pPr>
        <w:jc w:val="center"/>
      </w:pPr>
      <w:r>
        <w:rPr>
          <w:rFonts w:ascii="Arial" w:eastAsia="宋体" w:hAnsi="Arial" w:cs="Arial"/>
          <w:b/>
          <w:bCs/>
          <w:color w:val="000000"/>
          <w:sz w:val="36"/>
          <w:szCs w:val="36"/>
        </w:rPr>
        <w:t xml:space="preserve">ADVANCED MICRO DEVICES, INC. </w:t>
      </w:r>
    </w:p>
    <w:p w14:paraId="590297E6" w14:textId="77777777" w:rsidR="0084406A" w:rsidRDefault="002B18AF">
      <w:pPr>
        <w:jc w:val="center"/>
      </w:pPr>
      <w:r>
        <w:rPr>
          <w:rFonts w:ascii="Arial" w:eastAsia="宋体" w:hAnsi="Arial" w:cs="Arial"/>
          <w:b/>
          <w:bCs/>
          <w:color w:val="000000"/>
          <w:sz w:val="16"/>
          <w:szCs w:val="16"/>
        </w:rPr>
        <w:t>(Exact name of registrant as specified in its charter)</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84406A" w14:paraId="590297EA" w14:textId="77777777">
        <w:trPr>
          <w:jc w:val="center"/>
        </w:trPr>
        <w:tc>
          <w:tcPr>
            <w:tcW w:w="20" w:type="dxa"/>
            <w:shd w:val="clear" w:color="auto" w:fill="auto"/>
            <w:vAlign w:val="bottom"/>
          </w:tcPr>
          <w:p w14:paraId="590297E7" w14:textId="77777777" w:rsidR="0084406A" w:rsidRDefault="0084406A">
            <w:pPr>
              <w:rPr>
                <w:rFonts w:ascii="宋体"/>
              </w:rPr>
            </w:pPr>
          </w:p>
        </w:tc>
        <w:tc>
          <w:tcPr>
            <w:tcW w:w="5960" w:type="dxa"/>
            <w:shd w:val="clear" w:color="auto" w:fill="auto"/>
            <w:vAlign w:val="bottom"/>
          </w:tcPr>
          <w:p w14:paraId="590297E8" w14:textId="77777777" w:rsidR="0084406A" w:rsidRDefault="0084406A">
            <w:pPr>
              <w:rPr>
                <w:rFonts w:ascii="宋体"/>
              </w:rPr>
            </w:pPr>
          </w:p>
        </w:tc>
        <w:tc>
          <w:tcPr>
            <w:tcW w:w="20" w:type="dxa"/>
            <w:shd w:val="clear" w:color="auto" w:fill="auto"/>
            <w:vAlign w:val="bottom"/>
          </w:tcPr>
          <w:p w14:paraId="590297E9" w14:textId="77777777" w:rsidR="0084406A" w:rsidRDefault="0084406A">
            <w:pPr>
              <w:rPr>
                <w:rFonts w:ascii="宋体"/>
              </w:rPr>
            </w:pPr>
          </w:p>
        </w:tc>
      </w:tr>
      <w:tr w:rsidR="0084406A" w14:paraId="590297EC" w14:textId="77777777">
        <w:trPr>
          <w:trHeight w:val="60"/>
          <w:jc w:val="center"/>
        </w:trPr>
        <w:tc>
          <w:tcPr>
            <w:tcW w:w="0" w:type="auto"/>
            <w:gridSpan w:val="3"/>
            <w:shd w:val="clear" w:color="auto" w:fill="auto"/>
            <w:tcMar>
              <w:top w:w="0" w:type="dxa"/>
              <w:left w:w="20" w:type="dxa"/>
              <w:bottom w:w="0" w:type="dxa"/>
              <w:right w:w="20" w:type="dxa"/>
            </w:tcMar>
            <w:vAlign w:val="bottom"/>
          </w:tcPr>
          <w:p w14:paraId="590297EB" w14:textId="77777777" w:rsidR="0084406A" w:rsidRDefault="0084406A">
            <w:pPr>
              <w:rPr>
                <w:rFonts w:ascii="宋体"/>
              </w:rPr>
            </w:pPr>
          </w:p>
        </w:tc>
      </w:tr>
    </w:tbl>
    <w:p w14:paraId="590297ED" w14:textId="77777777" w:rsidR="0084406A" w:rsidRDefault="0084406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84406A" w14:paraId="590297F4" w14:textId="77777777">
        <w:tc>
          <w:tcPr>
            <w:tcW w:w="50" w:type="pct"/>
            <w:shd w:val="clear" w:color="auto" w:fill="auto"/>
            <w:vAlign w:val="bottom"/>
          </w:tcPr>
          <w:p w14:paraId="590297EE" w14:textId="77777777" w:rsidR="0084406A" w:rsidRDefault="0084406A">
            <w:pPr>
              <w:rPr>
                <w:rFonts w:ascii="宋体"/>
              </w:rPr>
            </w:pPr>
          </w:p>
        </w:tc>
        <w:tc>
          <w:tcPr>
            <w:tcW w:w="2445" w:type="pct"/>
            <w:shd w:val="clear" w:color="auto" w:fill="auto"/>
            <w:vAlign w:val="bottom"/>
          </w:tcPr>
          <w:p w14:paraId="590297EF" w14:textId="77777777" w:rsidR="0084406A" w:rsidRDefault="0084406A">
            <w:pPr>
              <w:rPr>
                <w:rFonts w:ascii="宋体"/>
              </w:rPr>
            </w:pPr>
          </w:p>
        </w:tc>
        <w:tc>
          <w:tcPr>
            <w:tcW w:w="5" w:type="pct"/>
            <w:shd w:val="clear" w:color="auto" w:fill="auto"/>
            <w:vAlign w:val="bottom"/>
          </w:tcPr>
          <w:p w14:paraId="590297F0" w14:textId="77777777" w:rsidR="0084406A" w:rsidRDefault="0084406A">
            <w:pPr>
              <w:rPr>
                <w:rFonts w:ascii="宋体"/>
              </w:rPr>
            </w:pPr>
          </w:p>
        </w:tc>
        <w:tc>
          <w:tcPr>
            <w:tcW w:w="50" w:type="pct"/>
            <w:shd w:val="clear" w:color="auto" w:fill="auto"/>
            <w:vAlign w:val="bottom"/>
          </w:tcPr>
          <w:p w14:paraId="590297F1" w14:textId="77777777" w:rsidR="0084406A" w:rsidRDefault="0084406A">
            <w:pPr>
              <w:rPr>
                <w:rFonts w:ascii="宋体"/>
              </w:rPr>
            </w:pPr>
          </w:p>
        </w:tc>
        <w:tc>
          <w:tcPr>
            <w:tcW w:w="2445" w:type="pct"/>
            <w:shd w:val="clear" w:color="auto" w:fill="auto"/>
            <w:vAlign w:val="bottom"/>
          </w:tcPr>
          <w:p w14:paraId="590297F2" w14:textId="77777777" w:rsidR="0084406A" w:rsidRDefault="0084406A">
            <w:pPr>
              <w:rPr>
                <w:rFonts w:ascii="宋体"/>
              </w:rPr>
            </w:pPr>
          </w:p>
        </w:tc>
        <w:tc>
          <w:tcPr>
            <w:tcW w:w="5" w:type="pct"/>
            <w:shd w:val="clear" w:color="auto" w:fill="auto"/>
            <w:vAlign w:val="bottom"/>
          </w:tcPr>
          <w:p w14:paraId="590297F3" w14:textId="77777777" w:rsidR="0084406A" w:rsidRDefault="0084406A">
            <w:pPr>
              <w:rPr>
                <w:rFonts w:ascii="宋体"/>
              </w:rPr>
            </w:pPr>
          </w:p>
        </w:tc>
      </w:tr>
      <w:tr w:rsidR="0084406A" w14:paraId="590297F7" w14:textId="77777777">
        <w:tc>
          <w:tcPr>
            <w:tcW w:w="0" w:type="auto"/>
            <w:gridSpan w:val="3"/>
            <w:shd w:val="clear" w:color="auto" w:fill="auto"/>
            <w:tcMar>
              <w:top w:w="40" w:type="dxa"/>
              <w:left w:w="20" w:type="dxa"/>
              <w:bottom w:w="40" w:type="dxa"/>
              <w:right w:w="20" w:type="dxa"/>
            </w:tcMar>
          </w:tcPr>
          <w:p w14:paraId="590297F5" w14:textId="77777777" w:rsidR="0084406A" w:rsidRDefault="002B18AF">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40" w:type="dxa"/>
              <w:left w:w="20" w:type="dxa"/>
              <w:bottom w:w="40" w:type="dxa"/>
              <w:right w:w="20" w:type="dxa"/>
            </w:tcMar>
          </w:tcPr>
          <w:p w14:paraId="590297F6" w14:textId="77777777" w:rsidR="0084406A" w:rsidRDefault="002B18AF">
            <w:pPr>
              <w:jc w:val="center"/>
              <w:textAlignment w:val="top"/>
            </w:pPr>
            <w:r>
              <w:rPr>
                <w:rFonts w:ascii="Arial" w:eastAsia="宋体" w:hAnsi="Arial" w:cs="Arial"/>
                <w:b/>
                <w:bCs/>
                <w:color w:val="000000"/>
                <w:sz w:val="20"/>
                <w:szCs w:val="20"/>
              </w:rPr>
              <w:t>94-1692300</w:t>
            </w:r>
          </w:p>
        </w:tc>
      </w:tr>
      <w:tr w:rsidR="0084406A" w14:paraId="590297FA" w14:textId="77777777">
        <w:tc>
          <w:tcPr>
            <w:tcW w:w="0" w:type="auto"/>
            <w:gridSpan w:val="3"/>
            <w:shd w:val="clear" w:color="auto" w:fill="auto"/>
            <w:tcMar>
              <w:top w:w="40" w:type="dxa"/>
              <w:left w:w="20" w:type="dxa"/>
              <w:bottom w:w="40" w:type="dxa"/>
              <w:right w:w="20" w:type="dxa"/>
            </w:tcMar>
            <w:vAlign w:val="bottom"/>
          </w:tcPr>
          <w:p w14:paraId="590297F8" w14:textId="77777777" w:rsidR="0084406A" w:rsidRDefault="002B18AF">
            <w:pPr>
              <w:jc w:val="center"/>
              <w:textAlignment w:val="bottom"/>
            </w:pPr>
            <w:r>
              <w:rPr>
                <w:rFonts w:ascii="Arial" w:eastAsia="宋体" w:hAnsi="Arial" w:cs="Arial"/>
                <w:b/>
                <w:bCs/>
                <w:color w:val="000000"/>
                <w:sz w:val="16"/>
                <w:szCs w:val="16"/>
              </w:rPr>
              <w:t>(State or other jurisdiction of</w:t>
            </w:r>
            <w:r>
              <w:rPr>
                <w:rFonts w:ascii="Arial" w:eastAsia="宋体" w:hAnsi="Arial" w:cs="Arial"/>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590297F9" w14:textId="77777777" w:rsidR="0084406A" w:rsidRDefault="002B18AF">
            <w:pPr>
              <w:jc w:val="center"/>
              <w:textAlignment w:val="bottom"/>
            </w:pPr>
            <w:r>
              <w:rPr>
                <w:rFonts w:ascii="Arial" w:eastAsia="宋体" w:hAnsi="Arial" w:cs="Arial"/>
                <w:b/>
                <w:bCs/>
                <w:color w:val="000000"/>
                <w:sz w:val="16"/>
                <w:szCs w:val="16"/>
              </w:rPr>
              <w:t>(I.R.S. Employer</w:t>
            </w:r>
            <w:r>
              <w:rPr>
                <w:rFonts w:ascii="Arial" w:eastAsia="宋体" w:hAnsi="Arial" w:cs="Arial"/>
                <w:b/>
                <w:bCs/>
                <w:color w:val="000000"/>
                <w:sz w:val="16"/>
                <w:szCs w:val="16"/>
              </w:rPr>
              <w:br/>
              <w:t>Identification No.)</w:t>
            </w:r>
          </w:p>
        </w:tc>
      </w:tr>
    </w:tbl>
    <w:p w14:paraId="590297FB" w14:textId="77777777" w:rsidR="0084406A" w:rsidRDefault="002B18AF">
      <w:pPr>
        <w:jc w:val="center"/>
      </w:pPr>
      <w:r>
        <w:rPr>
          <w:rFonts w:ascii="Arial" w:eastAsia="宋体" w:hAnsi="Arial" w:cs="Arial"/>
          <w:b/>
          <w:bCs/>
          <w:color w:val="000000"/>
          <w:sz w:val="20"/>
          <w:szCs w:val="20"/>
        </w:rPr>
        <w:t xml:space="preserve">2485 Augustine Drive </w:t>
      </w:r>
    </w:p>
    <w:p w14:paraId="590297FC" w14:textId="77777777" w:rsidR="0084406A" w:rsidRDefault="002B18AF">
      <w:pPr>
        <w:jc w:val="center"/>
      </w:pPr>
      <w:r>
        <w:rPr>
          <w:rFonts w:ascii="Arial" w:eastAsia="宋体" w:hAnsi="Arial" w:cs="Arial"/>
          <w:b/>
          <w:bCs/>
          <w:color w:val="000000"/>
          <w:sz w:val="20"/>
          <w:szCs w:val="20"/>
        </w:rPr>
        <w:t xml:space="preserve">Santa Clara, California 95054 </w:t>
      </w:r>
    </w:p>
    <w:p w14:paraId="590297FD" w14:textId="77777777" w:rsidR="0084406A" w:rsidRDefault="002B18AF">
      <w:pPr>
        <w:jc w:val="center"/>
      </w:pPr>
      <w:r>
        <w:rPr>
          <w:rFonts w:ascii="Arial" w:eastAsia="宋体" w:hAnsi="Arial" w:cs="Arial"/>
          <w:color w:val="000000"/>
          <w:sz w:val="16"/>
          <w:szCs w:val="16"/>
        </w:rPr>
        <w:t>(Address of principal executive offices)</w:t>
      </w:r>
    </w:p>
    <w:p w14:paraId="590297FE" w14:textId="77777777" w:rsidR="0084406A" w:rsidRDefault="0084406A">
      <w:pPr>
        <w:jc w:val="center"/>
      </w:pPr>
    </w:p>
    <w:p w14:paraId="590297FF" w14:textId="77777777" w:rsidR="0084406A" w:rsidRDefault="002B18AF">
      <w:pPr>
        <w:jc w:val="center"/>
      </w:pPr>
      <w:r>
        <w:rPr>
          <w:rFonts w:ascii="Arial" w:eastAsia="宋体" w:hAnsi="Arial" w:cs="Arial"/>
          <w:b/>
          <w:bCs/>
          <w:color w:val="000000"/>
          <w:sz w:val="20"/>
          <w:szCs w:val="20"/>
        </w:rPr>
        <w:t xml:space="preserve">(408) 749-4000 </w:t>
      </w:r>
    </w:p>
    <w:p w14:paraId="59029800" w14:textId="77777777" w:rsidR="0084406A" w:rsidRDefault="002B18AF">
      <w:pPr>
        <w:jc w:val="center"/>
      </w:pPr>
      <w:r>
        <w:rPr>
          <w:rFonts w:ascii="Arial" w:eastAsia="宋体" w:hAnsi="Arial" w:cs="Arial"/>
          <w:b/>
          <w:bCs/>
          <w:color w:val="000000"/>
          <w:sz w:val="16"/>
          <w:szCs w:val="16"/>
        </w:rPr>
        <w:t>(Registrant’s telephone number, including area code)</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84406A" w14:paraId="59029804" w14:textId="77777777">
        <w:trPr>
          <w:jc w:val="center"/>
        </w:trPr>
        <w:tc>
          <w:tcPr>
            <w:tcW w:w="20" w:type="dxa"/>
            <w:shd w:val="clear" w:color="auto" w:fill="auto"/>
            <w:vAlign w:val="bottom"/>
          </w:tcPr>
          <w:p w14:paraId="59029801" w14:textId="77777777" w:rsidR="0084406A" w:rsidRDefault="0084406A">
            <w:pPr>
              <w:rPr>
                <w:rFonts w:ascii="宋体"/>
              </w:rPr>
            </w:pPr>
          </w:p>
        </w:tc>
        <w:tc>
          <w:tcPr>
            <w:tcW w:w="5960" w:type="dxa"/>
            <w:shd w:val="clear" w:color="auto" w:fill="auto"/>
            <w:vAlign w:val="bottom"/>
          </w:tcPr>
          <w:p w14:paraId="59029802" w14:textId="77777777" w:rsidR="0084406A" w:rsidRDefault="0084406A">
            <w:pPr>
              <w:rPr>
                <w:rFonts w:ascii="宋体"/>
              </w:rPr>
            </w:pPr>
          </w:p>
        </w:tc>
        <w:tc>
          <w:tcPr>
            <w:tcW w:w="20" w:type="dxa"/>
            <w:shd w:val="clear" w:color="auto" w:fill="auto"/>
            <w:vAlign w:val="bottom"/>
          </w:tcPr>
          <w:p w14:paraId="59029803" w14:textId="77777777" w:rsidR="0084406A" w:rsidRDefault="0084406A">
            <w:pPr>
              <w:rPr>
                <w:rFonts w:ascii="宋体"/>
              </w:rPr>
            </w:pPr>
          </w:p>
        </w:tc>
      </w:tr>
      <w:tr w:rsidR="0084406A" w14:paraId="59029806" w14:textId="77777777">
        <w:trPr>
          <w:trHeight w:val="60"/>
          <w:jc w:val="center"/>
        </w:trPr>
        <w:tc>
          <w:tcPr>
            <w:tcW w:w="0" w:type="auto"/>
            <w:gridSpan w:val="3"/>
            <w:shd w:val="clear" w:color="auto" w:fill="auto"/>
            <w:tcMar>
              <w:top w:w="0" w:type="dxa"/>
              <w:left w:w="20" w:type="dxa"/>
              <w:bottom w:w="0" w:type="dxa"/>
              <w:right w:w="20" w:type="dxa"/>
            </w:tcMar>
            <w:vAlign w:val="bottom"/>
          </w:tcPr>
          <w:p w14:paraId="59029805" w14:textId="77777777" w:rsidR="0084406A" w:rsidRDefault="0084406A">
            <w:pPr>
              <w:rPr>
                <w:rFonts w:ascii="宋体"/>
              </w:rPr>
            </w:pPr>
          </w:p>
        </w:tc>
      </w:tr>
    </w:tbl>
    <w:p w14:paraId="59029807" w14:textId="77777777" w:rsidR="0084406A" w:rsidRDefault="002B18AF">
      <w:pPr>
        <w:jc w:val="center"/>
      </w:pPr>
      <w:r>
        <w:rPr>
          <w:rFonts w:ascii="Arial" w:eastAsia="宋体" w:hAnsi="Arial" w:cs="Arial"/>
          <w:b/>
          <w:bCs/>
          <w:color w:val="000000"/>
          <w:sz w:val="18"/>
          <w:szCs w:val="18"/>
        </w:rPr>
        <w:t>Securities registered pursuant to Section 12(b) of the Act:</w:t>
      </w:r>
    </w:p>
    <w:tbl>
      <w:tblPr>
        <w:tblW w:w="4948" w:type="pct"/>
        <w:tblCellMar>
          <w:top w:w="15" w:type="dxa"/>
          <w:left w:w="15" w:type="dxa"/>
          <w:bottom w:w="15" w:type="dxa"/>
          <w:right w:w="15" w:type="dxa"/>
        </w:tblCellMar>
        <w:tblLook w:val="04A0" w:firstRow="1" w:lastRow="0" w:firstColumn="1" w:lastColumn="0" w:noHBand="0" w:noVBand="1"/>
      </w:tblPr>
      <w:tblGrid>
        <w:gridCol w:w="68"/>
        <w:gridCol w:w="3287"/>
        <w:gridCol w:w="37"/>
        <w:gridCol w:w="68"/>
        <w:gridCol w:w="1617"/>
        <w:gridCol w:w="36"/>
        <w:gridCol w:w="69"/>
        <w:gridCol w:w="3031"/>
        <w:gridCol w:w="36"/>
      </w:tblGrid>
      <w:tr w:rsidR="0084406A" w14:paraId="59029811" w14:textId="77777777">
        <w:tc>
          <w:tcPr>
            <w:tcW w:w="50" w:type="pct"/>
            <w:shd w:val="clear" w:color="auto" w:fill="auto"/>
            <w:vAlign w:val="bottom"/>
          </w:tcPr>
          <w:p w14:paraId="59029808" w14:textId="77777777" w:rsidR="0084406A" w:rsidRDefault="0084406A">
            <w:pPr>
              <w:rPr>
                <w:rFonts w:ascii="宋体"/>
              </w:rPr>
            </w:pPr>
          </w:p>
        </w:tc>
        <w:tc>
          <w:tcPr>
            <w:tcW w:w="2001" w:type="pct"/>
            <w:shd w:val="clear" w:color="auto" w:fill="auto"/>
            <w:vAlign w:val="bottom"/>
          </w:tcPr>
          <w:p w14:paraId="59029809" w14:textId="77777777" w:rsidR="0084406A" w:rsidRDefault="0084406A">
            <w:pPr>
              <w:rPr>
                <w:rFonts w:ascii="宋体"/>
              </w:rPr>
            </w:pPr>
          </w:p>
        </w:tc>
        <w:tc>
          <w:tcPr>
            <w:tcW w:w="5" w:type="pct"/>
            <w:shd w:val="clear" w:color="auto" w:fill="auto"/>
            <w:vAlign w:val="bottom"/>
          </w:tcPr>
          <w:p w14:paraId="5902980A" w14:textId="77777777" w:rsidR="0084406A" w:rsidRDefault="0084406A">
            <w:pPr>
              <w:rPr>
                <w:rFonts w:ascii="宋体"/>
              </w:rPr>
            </w:pPr>
          </w:p>
        </w:tc>
        <w:tc>
          <w:tcPr>
            <w:tcW w:w="50" w:type="pct"/>
            <w:shd w:val="clear" w:color="auto" w:fill="auto"/>
            <w:vAlign w:val="bottom"/>
          </w:tcPr>
          <w:p w14:paraId="5902980B" w14:textId="77777777" w:rsidR="0084406A" w:rsidRDefault="0084406A">
            <w:pPr>
              <w:rPr>
                <w:rFonts w:ascii="宋体"/>
              </w:rPr>
            </w:pPr>
          </w:p>
        </w:tc>
        <w:tc>
          <w:tcPr>
            <w:tcW w:w="988" w:type="pct"/>
            <w:shd w:val="clear" w:color="auto" w:fill="auto"/>
            <w:vAlign w:val="bottom"/>
          </w:tcPr>
          <w:p w14:paraId="5902980C" w14:textId="77777777" w:rsidR="0084406A" w:rsidRDefault="0084406A">
            <w:pPr>
              <w:rPr>
                <w:rFonts w:ascii="宋体"/>
              </w:rPr>
            </w:pPr>
          </w:p>
        </w:tc>
        <w:tc>
          <w:tcPr>
            <w:tcW w:w="5" w:type="pct"/>
            <w:shd w:val="clear" w:color="auto" w:fill="auto"/>
            <w:vAlign w:val="bottom"/>
          </w:tcPr>
          <w:p w14:paraId="5902980D" w14:textId="77777777" w:rsidR="0084406A" w:rsidRDefault="0084406A">
            <w:pPr>
              <w:rPr>
                <w:rFonts w:ascii="宋体"/>
              </w:rPr>
            </w:pPr>
          </w:p>
        </w:tc>
        <w:tc>
          <w:tcPr>
            <w:tcW w:w="50" w:type="pct"/>
            <w:shd w:val="clear" w:color="auto" w:fill="auto"/>
            <w:vAlign w:val="bottom"/>
          </w:tcPr>
          <w:p w14:paraId="5902980E" w14:textId="77777777" w:rsidR="0084406A" w:rsidRDefault="0084406A">
            <w:pPr>
              <w:rPr>
                <w:rFonts w:ascii="宋体"/>
              </w:rPr>
            </w:pPr>
          </w:p>
        </w:tc>
        <w:tc>
          <w:tcPr>
            <w:tcW w:w="1845" w:type="pct"/>
            <w:shd w:val="clear" w:color="auto" w:fill="auto"/>
            <w:vAlign w:val="bottom"/>
          </w:tcPr>
          <w:p w14:paraId="5902980F" w14:textId="77777777" w:rsidR="0084406A" w:rsidRDefault="0084406A">
            <w:pPr>
              <w:rPr>
                <w:rFonts w:ascii="宋体"/>
              </w:rPr>
            </w:pPr>
          </w:p>
        </w:tc>
        <w:tc>
          <w:tcPr>
            <w:tcW w:w="5" w:type="pct"/>
            <w:shd w:val="clear" w:color="auto" w:fill="auto"/>
            <w:vAlign w:val="bottom"/>
          </w:tcPr>
          <w:p w14:paraId="59029810" w14:textId="77777777" w:rsidR="0084406A" w:rsidRDefault="0084406A">
            <w:pPr>
              <w:rPr>
                <w:rFonts w:ascii="宋体"/>
              </w:rPr>
            </w:pPr>
          </w:p>
        </w:tc>
      </w:tr>
      <w:tr w:rsidR="0084406A" w14:paraId="59029815" w14:textId="77777777">
        <w:tc>
          <w:tcPr>
            <w:tcW w:w="0" w:type="auto"/>
            <w:gridSpan w:val="3"/>
            <w:shd w:val="clear" w:color="auto" w:fill="auto"/>
            <w:tcMar>
              <w:top w:w="40" w:type="dxa"/>
              <w:left w:w="20" w:type="dxa"/>
              <w:bottom w:w="40" w:type="dxa"/>
              <w:right w:w="20" w:type="dxa"/>
            </w:tcMar>
            <w:vAlign w:val="bottom"/>
          </w:tcPr>
          <w:p w14:paraId="59029812" w14:textId="77777777" w:rsidR="0084406A" w:rsidRDefault="002B18AF">
            <w:pPr>
              <w:jc w:val="center"/>
              <w:textAlignment w:val="bottom"/>
            </w:pPr>
            <w:r>
              <w:rPr>
                <w:rFonts w:ascii="Arial" w:eastAsia="宋体" w:hAnsi="Arial" w:cs="Arial"/>
                <w:b/>
                <w:bCs/>
                <w:color w:val="000000"/>
                <w:sz w:val="16"/>
                <w:szCs w:val="16"/>
              </w:rPr>
              <w:t>(Title of each class)</w:t>
            </w:r>
          </w:p>
        </w:tc>
        <w:tc>
          <w:tcPr>
            <w:tcW w:w="0" w:type="auto"/>
            <w:gridSpan w:val="3"/>
            <w:shd w:val="clear" w:color="auto" w:fill="auto"/>
            <w:tcMar>
              <w:top w:w="40" w:type="dxa"/>
              <w:left w:w="20" w:type="dxa"/>
              <w:bottom w:w="40" w:type="dxa"/>
              <w:right w:w="20" w:type="dxa"/>
            </w:tcMar>
            <w:vAlign w:val="bottom"/>
          </w:tcPr>
          <w:p w14:paraId="59029813" w14:textId="77777777" w:rsidR="0084406A" w:rsidRDefault="002B18AF">
            <w:pPr>
              <w:jc w:val="center"/>
              <w:textAlignment w:val="bottom"/>
            </w:pPr>
            <w:r>
              <w:rPr>
                <w:rFonts w:ascii="Arial" w:eastAsia="宋体" w:hAnsi="Arial" w:cs="Arial"/>
                <w:b/>
                <w:bCs/>
                <w:color w:val="000000"/>
                <w:sz w:val="16"/>
                <w:szCs w:val="16"/>
              </w:rPr>
              <w:t>(Trading symbol)</w:t>
            </w:r>
          </w:p>
        </w:tc>
        <w:tc>
          <w:tcPr>
            <w:tcW w:w="0" w:type="auto"/>
            <w:gridSpan w:val="3"/>
            <w:shd w:val="clear" w:color="auto" w:fill="auto"/>
            <w:tcMar>
              <w:top w:w="40" w:type="dxa"/>
              <w:left w:w="20" w:type="dxa"/>
              <w:bottom w:w="40" w:type="dxa"/>
              <w:right w:w="20" w:type="dxa"/>
            </w:tcMar>
            <w:vAlign w:val="bottom"/>
          </w:tcPr>
          <w:p w14:paraId="59029814" w14:textId="77777777" w:rsidR="0084406A" w:rsidRDefault="002B18AF">
            <w:pPr>
              <w:jc w:val="center"/>
              <w:textAlignment w:val="bottom"/>
            </w:pPr>
            <w:r>
              <w:rPr>
                <w:rFonts w:ascii="Arial" w:eastAsia="宋体" w:hAnsi="Arial" w:cs="Arial"/>
                <w:b/>
                <w:bCs/>
                <w:color w:val="000000"/>
                <w:sz w:val="16"/>
                <w:szCs w:val="16"/>
              </w:rPr>
              <w:t>(Name of each exchange on which registered)</w:t>
            </w:r>
          </w:p>
        </w:tc>
      </w:tr>
      <w:tr w:rsidR="0084406A" w14:paraId="59029819" w14:textId="77777777">
        <w:tc>
          <w:tcPr>
            <w:tcW w:w="0" w:type="auto"/>
            <w:gridSpan w:val="3"/>
            <w:shd w:val="clear" w:color="auto" w:fill="auto"/>
            <w:tcMar>
              <w:top w:w="40" w:type="dxa"/>
              <w:left w:w="20" w:type="dxa"/>
              <w:bottom w:w="40" w:type="dxa"/>
              <w:right w:w="20" w:type="dxa"/>
            </w:tcMar>
            <w:vAlign w:val="bottom"/>
          </w:tcPr>
          <w:p w14:paraId="59029816" w14:textId="77777777" w:rsidR="0084406A" w:rsidRDefault="002B18AF">
            <w:pPr>
              <w:jc w:val="center"/>
              <w:textAlignment w:val="bottom"/>
            </w:pPr>
            <w:r>
              <w:rPr>
                <w:rFonts w:ascii="Arial" w:eastAsia="宋体" w:hAnsi="Arial" w:cs="Arial"/>
                <w:b/>
                <w:bCs/>
                <w:color w:val="000000"/>
                <w:sz w:val="20"/>
                <w:szCs w:val="20"/>
              </w:rPr>
              <w:t xml:space="preserve">Common Stock, $0.01 par value per </w:t>
            </w:r>
            <w:r>
              <w:rPr>
                <w:rFonts w:ascii="Arial" w:eastAsia="宋体" w:hAnsi="Arial" w:cs="Arial"/>
                <w:b/>
                <w:bCs/>
                <w:color w:val="000000"/>
                <w:sz w:val="20"/>
                <w:szCs w:val="20"/>
              </w:rPr>
              <w:t>share</w:t>
            </w:r>
          </w:p>
        </w:tc>
        <w:tc>
          <w:tcPr>
            <w:tcW w:w="0" w:type="auto"/>
            <w:gridSpan w:val="3"/>
            <w:shd w:val="clear" w:color="auto" w:fill="auto"/>
            <w:tcMar>
              <w:top w:w="40" w:type="dxa"/>
              <w:left w:w="20" w:type="dxa"/>
              <w:bottom w:w="40" w:type="dxa"/>
              <w:right w:w="20" w:type="dxa"/>
            </w:tcMar>
            <w:vAlign w:val="bottom"/>
          </w:tcPr>
          <w:p w14:paraId="59029817" w14:textId="77777777" w:rsidR="0084406A" w:rsidRDefault="002B18AF">
            <w:pPr>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59029818" w14:textId="77777777" w:rsidR="0084406A" w:rsidRDefault="002B18AF">
            <w:pPr>
              <w:jc w:val="center"/>
              <w:textAlignment w:val="bottom"/>
            </w:pPr>
            <w:r>
              <w:rPr>
                <w:rFonts w:ascii="Arial" w:eastAsia="宋体" w:hAnsi="Arial" w:cs="Arial"/>
                <w:b/>
                <w:bCs/>
                <w:color w:val="000000"/>
                <w:sz w:val="20"/>
                <w:szCs w:val="20"/>
              </w:rPr>
              <w:t>The NASDAQ Global Select Market</w:t>
            </w:r>
          </w:p>
        </w:tc>
      </w:tr>
    </w:tbl>
    <w:p w14:paraId="5902981A" w14:textId="77777777" w:rsidR="0084406A" w:rsidRDefault="002B18AF">
      <w:pPr>
        <w:jc w:val="center"/>
      </w:pPr>
      <w:r>
        <w:rPr>
          <w:rFonts w:ascii="Arial" w:eastAsia="宋体" w:hAnsi="Arial" w:cs="Arial"/>
          <w:b/>
          <w:bCs/>
          <w:color w:val="000000"/>
          <w:sz w:val="18"/>
          <w:szCs w:val="18"/>
        </w:rPr>
        <w:t>Securities registered pursuant to Section 12(g) of the Act:</w:t>
      </w:r>
    </w:p>
    <w:p w14:paraId="5902981B" w14:textId="77777777" w:rsidR="0084406A" w:rsidRDefault="002B18AF">
      <w:pPr>
        <w:jc w:val="center"/>
      </w:pPr>
      <w:r>
        <w:rPr>
          <w:rFonts w:ascii="Arial" w:eastAsia="宋体" w:hAnsi="Arial" w:cs="Arial"/>
          <w:b/>
          <w:bCs/>
          <w:color w:val="000000"/>
          <w:sz w:val="18"/>
          <w:szCs w:val="18"/>
        </w:rPr>
        <w:t>None</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84406A" w14:paraId="5902981F" w14:textId="77777777">
        <w:trPr>
          <w:jc w:val="center"/>
        </w:trPr>
        <w:tc>
          <w:tcPr>
            <w:tcW w:w="20" w:type="dxa"/>
            <w:shd w:val="clear" w:color="auto" w:fill="auto"/>
            <w:vAlign w:val="bottom"/>
          </w:tcPr>
          <w:p w14:paraId="5902981C" w14:textId="77777777" w:rsidR="0084406A" w:rsidRDefault="0084406A">
            <w:pPr>
              <w:rPr>
                <w:rFonts w:ascii="宋体"/>
              </w:rPr>
            </w:pPr>
          </w:p>
        </w:tc>
        <w:tc>
          <w:tcPr>
            <w:tcW w:w="5960" w:type="dxa"/>
            <w:shd w:val="clear" w:color="auto" w:fill="auto"/>
            <w:vAlign w:val="bottom"/>
          </w:tcPr>
          <w:p w14:paraId="5902981D" w14:textId="77777777" w:rsidR="0084406A" w:rsidRDefault="0084406A">
            <w:pPr>
              <w:rPr>
                <w:rFonts w:ascii="宋体"/>
              </w:rPr>
            </w:pPr>
          </w:p>
        </w:tc>
        <w:tc>
          <w:tcPr>
            <w:tcW w:w="20" w:type="dxa"/>
            <w:shd w:val="clear" w:color="auto" w:fill="auto"/>
            <w:vAlign w:val="bottom"/>
          </w:tcPr>
          <w:p w14:paraId="5902981E" w14:textId="77777777" w:rsidR="0084406A" w:rsidRDefault="0084406A">
            <w:pPr>
              <w:rPr>
                <w:rFonts w:ascii="宋体"/>
              </w:rPr>
            </w:pPr>
          </w:p>
        </w:tc>
      </w:tr>
      <w:tr w:rsidR="0084406A" w14:paraId="59029821" w14:textId="77777777">
        <w:trPr>
          <w:trHeight w:val="60"/>
          <w:jc w:val="center"/>
        </w:trPr>
        <w:tc>
          <w:tcPr>
            <w:tcW w:w="0" w:type="auto"/>
            <w:gridSpan w:val="3"/>
            <w:shd w:val="clear" w:color="auto" w:fill="auto"/>
            <w:tcMar>
              <w:top w:w="0" w:type="dxa"/>
              <w:left w:w="20" w:type="dxa"/>
              <w:bottom w:w="0" w:type="dxa"/>
              <w:right w:w="20" w:type="dxa"/>
            </w:tcMar>
            <w:vAlign w:val="bottom"/>
          </w:tcPr>
          <w:p w14:paraId="59029820" w14:textId="77777777" w:rsidR="0084406A" w:rsidRDefault="0084406A">
            <w:pPr>
              <w:rPr>
                <w:rFonts w:ascii="宋体"/>
              </w:rPr>
            </w:pPr>
          </w:p>
        </w:tc>
      </w:tr>
    </w:tbl>
    <w:p w14:paraId="59029822" w14:textId="77777777" w:rsidR="0084406A" w:rsidRDefault="002B18AF">
      <w:pPr>
        <w:spacing w:before="20"/>
        <w:jc w:val="both"/>
      </w:pPr>
      <w:r>
        <w:rPr>
          <w:rFonts w:ascii="Arial" w:eastAsia="宋体" w:hAnsi="Arial" w:cs="Arial"/>
          <w:color w:val="000000"/>
          <w:sz w:val="16"/>
          <w:szCs w:val="16"/>
        </w:rPr>
        <w:t xml:space="preserve">Indicate by check mark if the registrant is a well-known seasoned issuer, as defined in Rule 405 of the Securities </w:t>
      </w:r>
      <w:r>
        <w:rPr>
          <w:rFonts w:ascii="Arial" w:eastAsia="宋体" w:hAnsi="Arial" w:cs="Arial"/>
          <w:color w:val="000000"/>
          <w:sz w:val="16"/>
          <w:szCs w:val="16"/>
        </w:rPr>
        <w:t>Act.    Yes  ☑     No  </w:t>
      </w:r>
      <w:r>
        <w:rPr>
          <w:rFonts w:ascii="Times New Roman" w:eastAsia="宋体" w:hAnsi="Times New Roman"/>
          <w:color w:val="000000"/>
          <w:sz w:val="16"/>
          <w:szCs w:val="16"/>
        </w:rPr>
        <w:t>☐</w:t>
      </w:r>
    </w:p>
    <w:p w14:paraId="59029823" w14:textId="77777777" w:rsidR="0084406A" w:rsidRDefault="002B18AF">
      <w:pPr>
        <w:spacing w:before="120"/>
        <w:jc w:val="both"/>
      </w:pPr>
      <w:r>
        <w:rPr>
          <w:rFonts w:ascii="Arial" w:eastAsia="宋体" w:hAnsi="Arial" w:cs="Arial"/>
          <w:color w:val="000000"/>
          <w:sz w:val="16"/>
          <w:szCs w:val="16"/>
        </w:rPr>
        <w:t>Indicate by check mark if the registrant is not required to file reports pursuant to Section 13 or Section 15(d) of the Exchange Act.    Yes  </w:t>
      </w:r>
      <w:r>
        <w:rPr>
          <w:rFonts w:ascii="Times New Roman" w:eastAsia="宋体" w:hAnsi="Times New Roman"/>
          <w:color w:val="000000"/>
          <w:sz w:val="16"/>
          <w:szCs w:val="16"/>
        </w:rPr>
        <w:t>☐</w:t>
      </w:r>
      <w:r>
        <w:rPr>
          <w:rFonts w:ascii="Arial" w:eastAsia="宋体" w:hAnsi="Arial" w:cs="Arial"/>
          <w:color w:val="000000"/>
          <w:sz w:val="16"/>
          <w:szCs w:val="16"/>
        </w:rPr>
        <w:t>    No  ☑</w:t>
      </w:r>
    </w:p>
    <w:p w14:paraId="59029824" w14:textId="77777777" w:rsidR="0084406A" w:rsidRDefault="002B18AF">
      <w:pPr>
        <w:spacing w:before="120"/>
        <w:jc w:val="both"/>
      </w:pPr>
      <w:r>
        <w:rPr>
          <w:rFonts w:ascii="Arial" w:eastAsia="宋体" w:hAnsi="Arial" w:cs="Arial"/>
          <w:color w:val="000000"/>
          <w:sz w:val="16"/>
          <w:szCs w:val="16"/>
        </w:rPr>
        <w:t>Indicate by check mark whether the registrant (1) has filed all reports requir</w:t>
      </w:r>
      <w:r>
        <w:rPr>
          <w:rFonts w:ascii="Arial" w:eastAsia="宋体" w:hAnsi="Arial" w:cs="Arial"/>
          <w:color w:val="000000"/>
          <w:sz w:val="16"/>
          <w:szCs w:val="16"/>
        </w:rPr>
        <w:t>ed to be filed by Section 13 or 15(d) of the Securities Exchange Act of 1934 during the preceding 12 months (or for such shorter period that the registrant was required to file such reports), and (2) has been subject to such filing requirements for the pas</w:t>
      </w:r>
      <w:r>
        <w:rPr>
          <w:rFonts w:ascii="Arial" w:eastAsia="宋体" w:hAnsi="Arial" w:cs="Arial"/>
          <w:color w:val="000000"/>
          <w:sz w:val="16"/>
          <w:szCs w:val="16"/>
        </w:rPr>
        <w:t>t 90 days.    Yes  ☑     No  </w:t>
      </w:r>
      <w:r>
        <w:rPr>
          <w:rFonts w:ascii="Times New Roman" w:eastAsia="宋体" w:hAnsi="Times New Roman"/>
          <w:color w:val="000000"/>
          <w:sz w:val="16"/>
          <w:szCs w:val="16"/>
        </w:rPr>
        <w:t>☐</w:t>
      </w:r>
    </w:p>
    <w:p w14:paraId="59029825" w14:textId="77777777" w:rsidR="0084406A" w:rsidRDefault="002B18AF">
      <w:pPr>
        <w:spacing w:before="120"/>
        <w:jc w:val="both"/>
      </w:pPr>
      <w:r>
        <w:rPr>
          <w:rFonts w:ascii="Arial" w:eastAsia="宋体" w:hAnsi="Arial" w:cs="Arial"/>
          <w:color w:val="000000"/>
          <w:sz w:val="16"/>
          <w:szCs w:val="16"/>
        </w:rPr>
        <w:lastRenderedPageBreak/>
        <w:t>Indicate by check mark whether the registrant has submitted electronically every Interactive Data File required to be submitted pursuant to Rule 405 of Regulation S-T during the preceding 12 months (or for such shorter period</w:t>
      </w:r>
      <w:r>
        <w:rPr>
          <w:rFonts w:ascii="Arial" w:eastAsia="宋体" w:hAnsi="Arial" w:cs="Arial"/>
          <w:color w:val="000000"/>
          <w:sz w:val="16"/>
          <w:szCs w:val="16"/>
        </w:rPr>
        <w:t xml:space="preserve"> that the registrant was required to submit such files):    Yes  ☑    No </w:t>
      </w:r>
      <w:r>
        <w:rPr>
          <w:rFonts w:ascii="Times New Roman" w:eastAsia="宋体" w:hAnsi="Times New Roman"/>
          <w:color w:val="000000"/>
          <w:sz w:val="16"/>
          <w:szCs w:val="16"/>
        </w:rPr>
        <w:t>☐</w:t>
      </w:r>
    </w:p>
    <w:p w14:paraId="59029826" w14:textId="77777777" w:rsidR="0084406A" w:rsidRDefault="002B18AF">
      <w:pPr>
        <w:spacing w:before="120"/>
        <w:jc w:val="both"/>
      </w:pPr>
      <w:r>
        <w:rPr>
          <w:rFonts w:ascii="Arial" w:eastAsia="宋体" w:hAnsi="Arial" w:cs="Arial"/>
          <w:color w:val="000000"/>
          <w:sz w:val="16"/>
          <w:szCs w:val="16"/>
        </w:rPr>
        <w:t>Indicate by check mark whether the registrant is a large accelerated filer, an accelerated filer, a non-accelerated filer, a smaller reporting company, or an emerging growth company</w:t>
      </w:r>
      <w:r>
        <w:rPr>
          <w:rFonts w:ascii="Arial" w:eastAsia="宋体" w:hAnsi="Arial" w:cs="Arial"/>
          <w:color w:val="000000"/>
          <w:sz w:val="16"/>
          <w:szCs w:val="16"/>
        </w:rPr>
        <w:t>. See definition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3"/>
        <w:gridCol w:w="1621"/>
        <w:gridCol w:w="37"/>
        <w:gridCol w:w="63"/>
        <w:gridCol w:w="2988"/>
        <w:gridCol w:w="36"/>
        <w:gridCol w:w="63"/>
        <w:gridCol w:w="3148"/>
        <w:gridCol w:w="36"/>
        <w:gridCol w:w="37"/>
        <w:gridCol w:w="208"/>
        <w:gridCol w:w="36"/>
      </w:tblGrid>
      <w:tr w:rsidR="0084406A" w14:paraId="59029833" w14:textId="77777777">
        <w:tc>
          <w:tcPr>
            <w:tcW w:w="50" w:type="pct"/>
            <w:shd w:val="clear" w:color="auto" w:fill="auto"/>
            <w:vAlign w:val="bottom"/>
          </w:tcPr>
          <w:p w14:paraId="59029827" w14:textId="77777777" w:rsidR="0084406A" w:rsidRDefault="0084406A">
            <w:pPr>
              <w:rPr>
                <w:rFonts w:ascii="宋体"/>
              </w:rPr>
            </w:pPr>
          </w:p>
        </w:tc>
        <w:tc>
          <w:tcPr>
            <w:tcW w:w="984" w:type="pct"/>
            <w:shd w:val="clear" w:color="auto" w:fill="auto"/>
            <w:vAlign w:val="bottom"/>
          </w:tcPr>
          <w:p w14:paraId="59029828" w14:textId="77777777" w:rsidR="0084406A" w:rsidRDefault="0084406A">
            <w:pPr>
              <w:rPr>
                <w:rFonts w:ascii="宋体"/>
              </w:rPr>
            </w:pPr>
          </w:p>
        </w:tc>
        <w:tc>
          <w:tcPr>
            <w:tcW w:w="5" w:type="pct"/>
            <w:shd w:val="clear" w:color="auto" w:fill="auto"/>
            <w:vAlign w:val="bottom"/>
          </w:tcPr>
          <w:p w14:paraId="59029829" w14:textId="77777777" w:rsidR="0084406A" w:rsidRDefault="0084406A">
            <w:pPr>
              <w:rPr>
                <w:rFonts w:ascii="宋体"/>
              </w:rPr>
            </w:pPr>
          </w:p>
        </w:tc>
        <w:tc>
          <w:tcPr>
            <w:tcW w:w="50" w:type="pct"/>
            <w:shd w:val="clear" w:color="auto" w:fill="auto"/>
            <w:vAlign w:val="bottom"/>
          </w:tcPr>
          <w:p w14:paraId="5902982A" w14:textId="77777777" w:rsidR="0084406A" w:rsidRDefault="0084406A">
            <w:pPr>
              <w:rPr>
                <w:rFonts w:ascii="宋体"/>
              </w:rPr>
            </w:pPr>
          </w:p>
        </w:tc>
        <w:tc>
          <w:tcPr>
            <w:tcW w:w="1803" w:type="pct"/>
            <w:shd w:val="clear" w:color="auto" w:fill="auto"/>
            <w:vAlign w:val="bottom"/>
          </w:tcPr>
          <w:p w14:paraId="5902982B" w14:textId="77777777" w:rsidR="0084406A" w:rsidRDefault="0084406A">
            <w:pPr>
              <w:rPr>
                <w:rFonts w:ascii="宋体"/>
              </w:rPr>
            </w:pPr>
          </w:p>
        </w:tc>
        <w:tc>
          <w:tcPr>
            <w:tcW w:w="5" w:type="pct"/>
            <w:shd w:val="clear" w:color="auto" w:fill="auto"/>
            <w:vAlign w:val="bottom"/>
          </w:tcPr>
          <w:p w14:paraId="5902982C" w14:textId="77777777" w:rsidR="0084406A" w:rsidRDefault="0084406A">
            <w:pPr>
              <w:rPr>
                <w:rFonts w:ascii="宋体"/>
              </w:rPr>
            </w:pPr>
          </w:p>
        </w:tc>
        <w:tc>
          <w:tcPr>
            <w:tcW w:w="50" w:type="pct"/>
            <w:shd w:val="clear" w:color="auto" w:fill="auto"/>
            <w:vAlign w:val="bottom"/>
          </w:tcPr>
          <w:p w14:paraId="5902982D" w14:textId="77777777" w:rsidR="0084406A" w:rsidRDefault="0084406A">
            <w:pPr>
              <w:rPr>
                <w:rFonts w:ascii="宋体"/>
              </w:rPr>
            </w:pPr>
          </w:p>
        </w:tc>
        <w:tc>
          <w:tcPr>
            <w:tcW w:w="1899" w:type="pct"/>
            <w:shd w:val="clear" w:color="auto" w:fill="auto"/>
            <w:vAlign w:val="bottom"/>
          </w:tcPr>
          <w:p w14:paraId="5902982E" w14:textId="77777777" w:rsidR="0084406A" w:rsidRDefault="0084406A">
            <w:pPr>
              <w:rPr>
                <w:rFonts w:ascii="宋体"/>
              </w:rPr>
            </w:pPr>
          </w:p>
        </w:tc>
        <w:tc>
          <w:tcPr>
            <w:tcW w:w="5" w:type="pct"/>
            <w:shd w:val="clear" w:color="auto" w:fill="auto"/>
            <w:vAlign w:val="bottom"/>
          </w:tcPr>
          <w:p w14:paraId="5902982F" w14:textId="77777777" w:rsidR="0084406A" w:rsidRDefault="0084406A">
            <w:pPr>
              <w:rPr>
                <w:rFonts w:ascii="宋体"/>
              </w:rPr>
            </w:pPr>
          </w:p>
        </w:tc>
        <w:tc>
          <w:tcPr>
            <w:tcW w:w="5" w:type="pct"/>
            <w:shd w:val="clear" w:color="auto" w:fill="auto"/>
            <w:vAlign w:val="bottom"/>
          </w:tcPr>
          <w:p w14:paraId="59029830" w14:textId="77777777" w:rsidR="0084406A" w:rsidRDefault="0084406A">
            <w:pPr>
              <w:rPr>
                <w:rFonts w:ascii="宋体"/>
              </w:rPr>
            </w:pPr>
          </w:p>
        </w:tc>
        <w:tc>
          <w:tcPr>
            <w:tcW w:w="137" w:type="pct"/>
            <w:shd w:val="clear" w:color="auto" w:fill="auto"/>
            <w:vAlign w:val="bottom"/>
          </w:tcPr>
          <w:p w14:paraId="59029831" w14:textId="77777777" w:rsidR="0084406A" w:rsidRDefault="0084406A">
            <w:pPr>
              <w:rPr>
                <w:rFonts w:ascii="宋体"/>
              </w:rPr>
            </w:pPr>
          </w:p>
        </w:tc>
        <w:tc>
          <w:tcPr>
            <w:tcW w:w="5" w:type="pct"/>
            <w:shd w:val="clear" w:color="auto" w:fill="auto"/>
            <w:vAlign w:val="bottom"/>
          </w:tcPr>
          <w:p w14:paraId="59029832" w14:textId="77777777" w:rsidR="0084406A" w:rsidRDefault="0084406A">
            <w:pPr>
              <w:rPr>
                <w:rFonts w:ascii="宋体"/>
              </w:rPr>
            </w:pPr>
          </w:p>
        </w:tc>
      </w:tr>
      <w:tr w:rsidR="0084406A" w14:paraId="59029838" w14:textId="77777777">
        <w:tc>
          <w:tcPr>
            <w:tcW w:w="0" w:type="auto"/>
            <w:gridSpan w:val="3"/>
            <w:shd w:val="clear" w:color="auto" w:fill="auto"/>
            <w:tcMar>
              <w:top w:w="40" w:type="dxa"/>
              <w:left w:w="20" w:type="dxa"/>
              <w:bottom w:w="40" w:type="dxa"/>
              <w:right w:w="20" w:type="dxa"/>
            </w:tcMar>
            <w:vAlign w:val="bottom"/>
          </w:tcPr>
          <w:p w14:paraId="59029834" w14:textId="77777777" w:rsidR="0084406A" w:rsidRDefault="002B18AF">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9029835" w14:textId="77777777" w:rsidR="0084406A" w:rsidRDefault="002B18AF">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59029836" w14:textId="77777777" w:rsidR="0084406A" w:rsidRDefault="002B18AF">
            <w:pPr>
              <w:textAlignment w:val="bottom"/>
            </w:pPr>
            <w:r>
              <w:rPr>
                <w:rFonts w:ascii="Arial" w:eastAsia="宋体" w:hAnsi="Arial" w:cs="Arial"/>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59029837" w14:textId="77777777" w:rsidR="0084406A" w:rsidRDefault="002B18AF">
            <w:pPr>
              <w:textAlignment w:val="bottom"/>
            </w:pPr>
            <w:r>
              <w:rPr>
                <w:rFonts w:ascii="Arial" w:eastAsia="宋体" w:hAnsi="Arial" w:cs="Arial"/>
                <w:color w:val="000000"/>
                <w:sz w:val="16"/>
                <w:szCs w:val="16"/>
              </w:rPr>
              <w:t>☐</w:t>
            </w:r>
          </w:p>
        </w:tc>
      </w:tr>
      <w:tr w:rsidR="0084406A" w14:paraId="5902983D" w14:textId="77777777">
        <w:tc>
          <w:tcPr>
            <w:tcW w:w="0" w:type="auto"/>
            <w:gridSpan w:val="3"/>
            <w:shd w:val="clear" w:color="auto" w:fill="auto"/>
            <w:tcMar>
              <w:top w:w="40" w:type="dxa"/>
              <w:left w:w="20" w:type="dxa"/>
              <w:bottom w:w="40" w:type="dxa"/>
              <w:right w:w="20" w:type="dxa"/>
            </w:tcMar>
            <w:vAlign w:val="bottom"/>
          </w:tcPr>
          <w:p w14:paraId="59029839" w14:textId="77777777" w:rsidR="0084406A" w:rsidRDefault="002B18AF">
            <w:pPr>
              <w:textAlignment w:val="bottom"/>
            </w:pPr>
            <w:r>
              <w:rPr>
                <w:rFonts w:ascii="Arial" w:eastAsia="宋体" w:hAnsi="Arial" w:cs="Arial"/>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5902983A" w14:textId="77777777" w:rsidR="0084406A" w:rsidRDefault="002B18AF">
            <w:pPr>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5902983B" w14:textId="77777777" w:rsidR="0084406A" w:rsidRDefault="002B18AF">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5902983C" w14:textId="77777777" w:rsidR="0084406A" w:rsidRDefault="002B18AF">
            <w:pPr>
              <w:textAlignment w:val="bottom"/>
            </w:pPr>
            <w:r>
              <w:rPr>
                <w:rFonts w:ascii="Arial" w:eastAsia="宋体" w:hAnsi="Arial" w:cs="Arial"/>
                <w:color w:val="000000"/>
                <w:sz w:val="16"/>
                <w:szCs w:val="16"/>
              </w:rPr>
              <w:t>☐</w:t>
            </w:r>
          </w:p>
        </w:tc>
      </w:tr>
      <w:tr w:rsidR="0084406A" w14:paraId="59029842" w14:textId="77777777">
        <w:tc>
          <w:tcPr>
            <w:tcW w:w="0" w:type="auto"/>
            <w:gridSpan w:val="3"/>
            <w:shd w:val="clear" w:color="auto" w:fill="auto"/>
            <w:tcMar>
              <w:top w:w="40" w:type="dxa"/>
              <w:left w:w="20" w:type="dxa"/>
              <w:bottom w:w="40" w:type="dxa"/>
              <w:right w:w="20" w:type="dxa"/>
            </w:tcMar>
            <w:vAlign w:val="bottom"/>
          </w:tcPr>
          <w:p w14:paraId="5902983E" w14:textId="77777777" w:rsidR="0084406A" w:rsidRDefault="002B18AF">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5902983F" w14:textId="77777777" w:rsidR="0084406A" w:rsidRDefault="002B18AF">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5902984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41" w14:textId="77777777" w:rsidR="0084406A" w:rsidRDefault="0084406A">
            <w:pPr>
              <w:rPr>
                <w:rFonts w:ascii="宋体"/>
              </w:rPr>
            </w:pPr>
          </w:p>
        </w:tc>
      </w:tr>
    </w:tbl>
    <w:p w14:paraId="59029843" w14:textId="77777777" w:rsidR="0084406A" w:rsidRDefault="002B18AF">
      <w:pPr>
        <w:spacing w:before="2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59029844" w14:textId="77777777" w:rsidR="0084406A" w:rsidRDefault="002B18AF">
      <w:pPr>
        <w:spacing w:before="120"/>
      </w:pPr>
      <w:r>
        <w:rPr>
          <w:rFonts w:ascii="Arial" w:eastAsia="宋体" w:hAnsi="Arial" w:cs="Arial"/>
          <w:color w:val="000000"/>
          <w:sz w:val="16"/>
          <w:szCs w:val="16"/>
        </w:rPr>
        <w:t>In</w:t>
      </w:r>
      <w:r>
        <w:rPr>
          <w:rFonts w:ascii="Arial" w:eastAsia="宋体" w:hAnsi="Arial" w:cs="Arial"/>
          <w:color w:val="000000"/>
          <w:sz w:val="16"/>
          <w:szCs w:val="16"/>
        </w:rPr>
        <w:t xml:space="preserve">dicate by check mark whether the registrant has filed a report on and attestation to its management’s assessment of the effectiveness of its internal control over financial reporting under Section 404(b) of the Sarbanes-Oxley Act (15 U.S.C.7262(b)) by the </w:t>
      </w:r>
      <w:r>
        <w:rPr>
          <w:rFonts w:ascii="Arial" w:eastAsia="宋体" w:hAnsi="Arial" w:cs="Arial"/>
          <w:color w:val="000000"/>
          <w:sz w:val="16"/>
          <w:szCs w:val="16"/>
        </w:rPr>
        <w:t>registered public accounting firm that prepared or issued its audit report. ☑ </w:t>
      </w:r>
    </w:p>
    <w:p w14:paraId="59029845" w14:textId="77777777" w:rsidR="0084406A" w:rsidRDefault="002B18AF">
      <w:pPr>
        <w:spacing w:before="120"/>
      </w:pPr>
      <w:r>
        <w:rPr>
          <w:rFonts w:ascii="Arial" w:eastAsia="宋体" w:hAnsi="Arial" w:cs="Arial"/>
          <w:color w:val="000000"/>
          <w:sz w:val="16"/>
          <w:szCs w:val="16"/>
        </w:rPr>
        <w:t>Indicate by check mark whether the registrant is a shell company (as defined by Rule 12b-2 of the Exchange Act).    Yes  ☐    No  ☑ </w:t>
      </w:r>
    </w:p>
    <w:p w14:paraId="59029846" w14:textId="77777777" w:rsidR="0084406A" w:rsidRDefault="0084406A"/>
    <w:p w14:paraId="59029847" w14:textId="77777777" w:rsidR="0084406A" w:rsidRDefault="002B18AF">
      <w:r>
        <w:pict w14:anchorId="5902BAF2">
          <v:rect id="_x0000_i1025" style="width:415.3pt;height:1.5pt" o:hralign="center" o:hrstd="t" o:hr="t" fillcolor="#a0a0a0" stroked="f"/>
        </w:pict>
      </w:r>
    </w:p>
    <w:p w14:paraId="59029848" w14:textId="77777777" w:rsidR="0084406A" w:rsidRDefault="0084406A"/>
    <w:p w14:paraId="59029849" w14:textId="77777777" w:rsidR="0084406A" w:rsidRDefault="002B18AF">
      <w:pPr>
        <w:spacing w:before="120"/>
      </w:pPr>
      <w:r>
        <w:rPr>
          <w:rFonts w:ascii="Arial" w:eastAsia="宋体" w:hAnsi="Arial" w:cs="Arial"/>
          <w:color w:val="000000"/>
          <w:sz w:val="16"/>
          <w:szCs w:val="16"/>
        </w:rPr>
        <w:t>As of June 26, 2021, the aggregate marke</w:t>
      </w:r>
      <w:r>
        <w:rPr>
          <w:rFonts w:ascii="Arial" w:eastAsia="宋体" w:hAnsi="Arial" w:cs="Arial"/>
          <w:color w:val="000000"/>
          <w:sz w:val="16"/>
          <w:szCs w:val="16"/>
        </w:rPr>
        <w:t xml:space="preserve">t value of the registrant’s common stock held by non-affiliates of the registrant was approximately $103.4 billion based on the reported closing sale price of $85.62 per share as reported on The NASDAQ Global Select Market (NASDAQ) on June 25, 2021, which </w:t>
      </w:r>
      <w:r>
        <w:rPr>
          <w:rFonts w:ascii="Arial" w:eastAsia="宋体" w:hAnsi="Arial" w:cs="Arial"/>
          <w:color w:val="000000"/>
          <w:sz w:val="16"/>
          <w:szCs w:val="16"/>
        </w:rPr>
        <w:t xml:space="preserve">was the last business day of the registrant’s most recently completed second fiscal quarter. </w:t>
      </w:r>
    </w:p>
    <w:p w14:paraId="5902984A" w14:textId="77777777" w:rsidR="0084406A" w:rsidRDefault="002B18AF">
      <w:pPr>
        <w:spacing w:before="120"/>
      </w:pPr>
      <w:r>
        <w:rPr>
          <w:rFonts w:ascii="Arial" w:eastAsia="宋体" w:hAnsi="Arial" w:cs="Arial"/>
          <w:color w:val="000000"/>
          <w:sz w:val="16"/>
          <w:szCs w:val="16"/>
        </w:rPr>
        <w:t>Indicate the number of shares outstanding of each of the registrant’s classes of common stock, as of the latest practicable date: 1,199,303,422 shares of common s</w:t>
      </w:r>
      <w:r>
        <w:rPr>
          <w:rFonts w:ascii="Arial" w:eastAsia="宋体" w:hAnsi="Arial" w:cs="Arial"/>
          <w:color w:val="000000"/>
          <w:sz w:val="16"/>
          <w:szCs w:val="16"/>
        </w:rPr>
        <w:t>tock, $0.01 par value per share, as of January 28, 2022.</w:t>
      </w:r>
    </w:p>
    <w:tbl>
      <w:tblPr>
        <w:tblW w:w="6000" w:type="dxa"/>
        <w:jc w:val="center"/>
        <w:tblCellMar>
          <w:top w:w="15" w:type="dxa"/>
          <w:left w:w="15" w:type="dxa"/>
          <w:bottom w:w="15" w:type="dxa"/>
          <w:right w:w="15" w:type="dxa"/>
        </w:tblCellMar>
        <w:tblLook w:val="04A0" w:firstRow="1" w:lastRow="0" w:firstColumn="1" w:lastColumn="0" w:noHBand="0" w:noVBand="1"/>
      </w:tblPr>
      <w:tblGrid>
        <w:gridCol w:w="36"/>
        <w:gridCol w:w="5928"/>
        <w:gridCol w:w="36"/>
      </w:tblGrid>
      <w:tr w:rsidR="0084406A" w14:paraId="5902984E" w14:textId="77777777">
        <w:trPr>
          <w:jc w:val="center"/>
        </w:trPr>
        <w:tc>
          <w:tcPr>
            <w:tcW w:w="20" w:type="dxa"/>
            <w:shd w:val="clear" w:color="auto" w:fill="auto"/>
            <w:vAlign w:val="bottom"/>
          </w:tcPr>
          <w:p w14:paraId="5902984B" w14:textId="77777777" w:rsidR="0084406A" w:rsidRDefault="0084406A">
            <w:pPr>
              <w:rPr>
                <w:rFonts w:ascii="宋体"/>
              </w:rPr>
            </w:pPr>
          </w:p>
        </w:tc>
        <w:tc>
          <w:tcPr>
            <w:tcW w:w="5960" w:type="dxa"/>
            <w:shd w:val="clear" w:color="auto" w:fill="auto"/>
            <w:vAlign w:val="bottom"/>
          </w:tcPr>
          <w:p w14:paraId="5902984C" w14:textId="77777777" w:rsidR="0084406A" w:rsidRDefault="0084406A">
            <w:pPr>
              <w:rPr>
                <w:rFonts w:ascii="宋体"/>
              </w:rPr>
            </w:pPr>
          </w:p>
        </w:tc>
        <w:tc>
          <w:tcPr>
            <w:tcW w:w="20" w:type="dxa"/>
            <w:shd w:val="clear" w:color="auto" w:fill="auto"/>
            <w:vAlign w:val="bottom"/>
          </w:tcPr>
          <w:p w14:paraId="5902984D" w14:textId="77777777" w:rsidR="0084406A" w:rsidRDefault="0084406A">
            <w:pPr>
              <w:rPr>
                <w:rFonts w:ascii="宋体"/>
              </w:rPr>
            </w:pPr>
          </w:p>
        </w:tc>
      </w:tr>
      <w:tr w:rsidR="0084406A" w14:paraId="59029850"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5902984F" w14:textId="77777777" w:rsidR="0084406A" w:rsidRDefault="0084406A">
            <w:pPr>
              <w:rPr>
                <w:rFonts w:ascii="宋体"/>
              </w:rPr>
            </w:pPr>
          </w:p>
        </w:tc>
      </w:tr>
    </w:tbl>
    <w:p w14:paraId="59029851" w14:textId="77777777" w:rsidR="0084406A" w:rsidRDefault="002B18AF">
      <w:pPr>
        <w:spacing w:after="120"/>
        <w:jc w:val="center"/>
      </w:pPr>
      <w:r>
        <w:rPr>
          <w:rFonts w:ascii="Arial" w:eastAsia="宋体" w:hAnsi="Arial" w:cs="Arial"/>
          <w:b/>
          <w:bCs/>
          <w:color w:val="000000"/>
          <w:sz w:val="18"/>
          <w:szCs w:val="18"/>
        </w:rPr>
        <w:t>DOCUMENTS INCORPORATED BY REFERENCE</w:t>
      </w:r>
    </w:p>
    <w:p w14:paraId="59029852" w14:textId="77777777" w:rsidR="0084406A" w:rsidRDefault="002B18AF">
      <w:r>
        <w:rPr>
          <w:rFonts w:ascii="Arial" w:eastAsia="宋体" w:hAnsi="Arial" w:cs="Arial"/>
          <w:color w:val="000000"/>
          <w:sz w:val="16"/>
          <w:szCs w:val="16"/>
        </w:rPr>
        <w:t>Portions of the registrant’s proxy statement for the 2022 Annual Meeting of Stockholders (2022 Proxy Statement) are incorporated into Part III hereof. The 2022 Proxy Statement will be filed with the U.S. Securities and Exchange Commission within 120 days a</w:t>
      </w:r>
      <w:r>
        <w:rPr>
          <w:rFonts w:ascii="Arial" w:eastAsia="宋体" w:hAnsi="Arial" w:cs="Arial"/>
          <w:color w:val="000000"/>
          <w:sz w:val="16"/>
          <w:szCs w:val="16"/>
        </w:rPr>
        <w:t xml:space="preserve">fter the registrant’s fiscal year ended December 25, 2021. </w:t>
      </w:r>
    </w:p>
    <w:p w14:paraId="59029853" w14:textId="77777777" w:rsidR="0084406A" w:rsidRDefault="0084406A"/>
    <w:p w14:paraId="59029854" w14:textId="77777777" w:rsidR="0084406A" w:rsidRDefault="002B18AF">
      <w:r>
        <w:pict w14:anchorId="5902BAF3">
          <v:rect id="_x0000_i1026" style="width:415.3pt;height:1.5pt" o:hralign="center" o:hrstd="t" o:hr="t" fillcolor="#a0a0a0" stroked="f"/>
        </w:pict>
      </w:r>
    </w:p>
    <w:p w14:paraId="59029855" w14:textId="77777777" w:rsidR="0084406A" w:rsidRDefault="0084406A"/>
    <w:p w14:paraId="59029856" w14:textId="77777777" w:rsidR="0084406A" w:rsidRDefault="0084406A">
      <w:pPr>
        <w:jc w:val="center"/>
      </w:pPr>
    </w:p>
    <w:p w14:paraId="59029857" w14:textId="77777777" w:rsidR="0084406A" w:rsidRDefault="002B18AF">
      <w:pPr>
        <w:spacing w:before="180"/>
        <w:jc w:val="center"/>
      </w:pPr>
      <w:r>
        <w:rPr>
          <w:rFonts w:ascii="Arial" w:eastAsia="宋体" w:hAnsi="Arial" w:cs="Arial"/>
          <w:b/>
          <w:bCs/>
          <w:color w:val="000000"/>
          <w:sz w:val="20"/>
          <w:szCs w:val="20"/>
        </w:rPr>
        <w:t>INDEX</w:t>
      </w:r>
    </w:p>
    <w:tbl>
      <w:tblPr>
        <w:tblW w:w="5000" w:type="pct"/>
        <w:tblCellMar>
          <w:top w:w="15" w:type="dxa"/>
          <w:left w:w="15" w:type="dxa"/>
          <w:bottom w:w="15" w:type="dxa"/>
          <w:right w:w="15" w:type="dxa"/>
        </w:tblCellMar>
        <w:tblLook w:val="04A0" w:firstRow="1" w:lastRow="0" w:firstColumn="1" w:lastColumn="0" w:noHBand="0" w:noVBand="1"/>
      </w:tblPr>
      <w:tblGrid>
        <w:gridCol w:w="68"/>
        <w:gridCol w:w="1367"/>
        <w:gridCol w:w="37"/>
        <w:gridCol w:w="69"/>
        <w:gridCol w:w="6123"/>
        <w:gridCol w:w="39"/>
        <w:gridCol w:w="69"/>
        <w:gridCol w:w="528"/>
        <w:gridCol w:w="36"/>
      </w:tblGrid>
      <w:tr w:rsidR="0084406A" w14:paraId="59029861" w14:textId="77777777">
        <w:tc>
          <w:tcPr>
            <w:tcW w:w="50" w:type="pct"/>
            <w:shd w:val="clear" w:color="auto" w:fill="auto"/>
            <w:vAlign w:val="bottom"/>
          </w:tcPr>
          <w:p w14:paraId="59029858" w14:textId="77777777" w:rsidR="0084406A" w:rsidRDefault="0084406A">
            <w:pPr>
              <w:rPr>
                <w:rFonts w:ascii="宋体"/>
              </w:rPr>
            </w:pPr>
          </w:p>
        </w:tc>
        <w:tc>
          <w:tcPr>
            <w:tcW w:w="829" w:type="pct"/>
            <w:shd w:val="clear" w:color="auto" w:fill="auto"/>
            <w:vAlign w:val="bottom"/>
          </w:tcPr>
          <w:p w14:paraId="59029859" w14:textId="77777777" w:rsidR="0084406A" w:rsidRDefault="0084406A">
            <w:pPr>
              <w:rPr>
                <w:rFonts w:ascii="宋体"/>
              </w:rPr>
            </w:pPr>
          </w:p>
        </w:tc>
        <w:tc>
          <w:tcPr>
            <w:tcW w:w="5" w:type="pct"/>
            <w:shd w:val="clear" w:color="auto" w:fill="auto"/>
            <w:vAlign w:val="bottom"/>
          </w:tcPr>
          <w:p w14:paraId="5902985A" w14:textId="77777777" w:rsidR="0084406A" w:rsidRDefault="0084406A">
            <w:pPr>
              <w:rPr>
                <w:rFonts w:ascii="宋体"/>
              </w:rPr>
            </w:pPr>
          </w:p>
        </w:tc>
        <w:tc>
          <w:tcPr>
            <w:tcW w:w="50" w:type="pct"/>
            <w:shd w:val="clear" w:color="auto" w:fill="auto"/>
            <w:vAlign w:val="bottom"/>
          </w:tcPr>
          <w:p w14:paraId="5902985B" w14:textId="77777777" w:rsidR="0084406A" w:rsidRDefault="0084406A">
            <w:pPr>
              <w:rPr>
                <w:rFonts w:ascii="宋体"/>
              </w:rPr>
            </w:pPr>
          </w:p>
        </w:tc>
        <w:tc>
          <w:tcPr>
            <w:tcW w:w="3680" w:type="pct"/>
            <w:shd w:val="clear" w:color="auto" w:fill="auto"/>
            <w:vAlign w:val="bottom"/>
          </w:tcPr>
          <w:p w14:paraId="5902985C" w14:textId="77777777" w:rsidR="0084406A" w:rsidRDefault="0084406A">
            <w:pPr>
              <w:rPr>
                <w:rFonts w:ascii="宋体"/>
              </w:rPr>
            </w:pPr>
          </w:p>
        </w:tc>
        <w:tc>
          <w:tcPr>
            <w:tcW w:w="5" w:type="pct"/>
            <w:shd w:val="clear" w:color="auto" w:fill="auto"/>
            <w:vAlign w:val="bottom"/>
          </w:tcPr>
          <w:p w14:paraId="5902985D" w14:textId="77777777" w:rsidR="0084406A" w:rsidRDefault="0084406A">
            <w:pPr>
              <w:rPr>
                <w:rFonts w:ascii="宋体"/>
              </w:rPr>
            </w:pPr>
          </w:p>
        </w:tc>
        <w:tc>
          <w:tcPr>
            <w:tcW w:w="50" w:type="pct"/>
            <w:shd w:val="clear" w:color="auto" w:fill="auto"/>
            <w:vAlign w:val="bottom"/>
          </w:tcPr>
          <w:p w14:paraId="5902985E" w14:textId="77777777" w:rsidR="0084406A" w:rsidRDefault="0084406A">
            <w:pPr>
              <w:rPr>
                <w:rFonts w:ascii="宋体"/>
              </w:rPr>
            </w:pPr>
          </w:p>
        </w:tc>
        <w:tc>
          <w:tcPr>
            <w:tcW w:w="325" w:type="pct"/>
            <w:shd w:val="clear" w:color="auto" w:fill="auto"/>
            <w:vAlign w:val="bottom"/>
          </w:tcPr>
          <w:p w14:paraId="5902985F" w14:textId="77777777" w:rsidR="0084406A" w:rsidRDefault="0084406A">
            <w:pPr>
              <w:rPr>
                <w:rFonts w:ascii="宋体"/>
              </w:rPr>
            </w:pPr>
          </w:p>
        </w:tc>
        <w:tc>
          <w:tcPr>
            <w:tcW w:w="5" w:type="pct"/>
            <w:shd w:val="clear" w:color="auto" w:fill="auto"/>
            <w:vAlign w:val="bottom"/>
          </w:tcPr>
          <w:p w14:paraId="59029860" w14:textId="77777777" w:rsidR="0084406A" w:rsidRDefault="0084406A">
            <w:pPr>
              <w:rPr>
                <w:rFonts w:ascii="宋体"/>
              </w:rPr>
            </w:pPr>
          </w:p>
        </w:tc>
      </w:tr>
      <w:tr w:rsidR="0084406A" w14:paraId="59029865" w14:textId="77777777">
        <w:tc>
          <w:tcPr>
            <w:tcW w:w="0" w:type="auto"/>
            <w:gridSpan w:val="3"/>
            <w:shd w:val="clear" w:color="auto" w:fill="auto"/>
            <w:tcMar>
              <w:top w:w="40" w:type="dxa"/>
              <w:left w:w="20" w:type="dxa"/>
              <w:bottom w:w="40" w:type="dxa"/>
              <w:right w:w="20" w:type="dxa"/>
            </w:tcMar>
          </w:tcPr>
          <w:p w14:paraId="59029862" w14:textId="77777777" w:rsidR="0084406A" w:rsidRDefault="002B18AF">
            <w:pPr>
              <w:textAlignment w:val="top"/>
            </w:pPr>
            <w:hyperlink r:id="rId7" w:anchor="ib7cf537e07124691a6505a5505cd30c3_10" w:history="1">
              <w:r>
                <w:rPr>
                  <w:rStyle w:val="a5"/>
                  <w:rFonts w:ascii="Arial" w:eastAsia="宋体" w:hAnsi="Arial" w:cs="Arial"/>
                  <w:b/>
                  <w:bCs/>
                  <w:sz w:val="16"/>
                  <w:szCs w:val="16"/>
                </w:rPr>
                <w:t>PART I</w:t>
              </w:r>
            </w:hyperlink>
          </w:p>
        </w:tc>
        <w:tc>
          <w:tcPr>
            <w:tcW w:w="0" w:type="auto"/>
            <w:gridSpan w:val="3"/>
            <w:shd w:val="clear" w:color="auto" w:fill="auto"/>
            <w:tcMar>
              <w:top w:w="0" w:type="dxa"/>
              <w:left w:w="20" w:type="dxa"/>
              <w:bottom w:w="0" w:type="dxa"/>
              <w:right w:w="20" w:type="dxa"/>
            </w:tcMar>
            <w:vAlign w:val="bottom"/>
          </w:tcPr>
          <w:p w14:paraId="5902986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864" w14:textId="77777777" w:rsidR="0084406A" w:rsidRDefault="002B18AF">
            <w:pPr>
              <w:jc w:val="right"/>
              <w:textAlignment w:val="top"/>
            </w:pPr>
            <w:hyperlink r:id="rId8" w:anchor="ib7cf537e07124691a6505a5505cd30c3_10" w:history="1">
              <w:r>
                <w:rPr>
                  <w:rStyle w:val="a5"/>
                  <w:rFonts w:ascii="Arial" w:eastAsia="宋体" w:hAnsi="Arial" w:cs="Arial"/>
                  <w:sz w:val="16"/>
                  <w:szCs w:val="16"/>
                </w:rPr>
                <w:t>1</w:t>
              </w:r>
            </w:hyperlink>
          </w:p>
        </w:tc>
      </w:tr>
      <w:tr w:rsidR="0084406A" w14:paraId="59029869" w14:textId="77777777">
        <w:trPr>
          <w:trHeight w:val="60"/>
        </w:trPr>
        <w:tc>
          <w:tcPr>
            <w:tcW w:w="0" w:type="auto"/>
            <w:gridSpan w:val="3"/>
            <w:shd w:val="clear" w:color="auto" w:fill="auto"/>
            <w:tcMar>
              <w:top w:w="0" w:type="dxa"/>
              <w:left w:w="20" w:type="dxa"/>
              <w:bottom w:w="0" w:type="dxa"/>
              <w:right w:w="20" w:type="dxa"/>
            </w:tcMar>
            <w:vAlign w:val="bottom"/>
          </w:tcPr>
          <w:p w14:paraId="5902986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6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68" w14:textId="77777777" w:rsidR="0084406A" w:rsidRDefault="0084406A">
            <w:pPr>
              <w:rPr>
                <w:rFonts w:ascii="宋体"/>
              </w:rPr>
            </w:pPr>
          </w:p>
        </w:tc>
      </w:tr>
      <w:tr w:rsidR="0084406A" w14:paraId="5902986D" w14:textId="77777777">
        <w:tc>
          <w:tcPr>
            <w:tcW w:w="0" w:type="auto"/>
            <w:gridSpan w:val="3"/>
            <w:shd w:val="clear" w:color="auto" w:fill="auto"/>
            <w:tcMar>
              <w:top w:w="40" w:type="dxa"/>
              <w:left w:w="20" w:type="dxa"/>
              <w:bottom w:w="40" w:type="dxa"/>
              <w:right w:w="20" w:type="dxa"/>
            </w:tcMar>
          </w:tcPr>
          <w:p w14:paraId="5902986A" w14:textId="77777777" w:rsidR="0084406A" w:rsidRDefault="002B18AF">
            <w:pPr>
              <w:textAlignment w:val="top"/>
            </w:pPr>
            <w:hyperlink r:id="rId9" w:anchor="ib7cf537e07124691a6505a5505cd30c3_13" w:history="1">
              <w:r>
                <w:rPr>
                  <w:rStyle w:val="a5"/>
                  <w:rFonts w:ascii="Arial" w:eastAsia="宋体" w:hAnsi="Arial" w:cs="Arial"/>
                  <w:sz w:val="16"/>
                  <w:szCs w:val="16"/>
                </w:rPr>
                <w:t>ITEM 1.</w:t>
              </w:r>
            </w:hyperlink>
          </w:p>
        </w:tc>
        <w:tc>
          <w:tcPr>
            <w:tcW w:w="0" w:type="auto"/>
            <w:gridSpan w:val="3"/>
            <w:shd w:val="clear" w:color="auto" w:fill="auto"/>
            <w:tcMar>
              <w:top w:w="40" w:type="dxa"/>
              <w:left w:w="20" w:type="dxa"/>
              <w:bottom w:w="40" w:type="dxa"/>
              <w:right w:w="20" w:type="dxa"/>
            </w:tcMar>
          </w:tcPr>
          <w:p w14:paraId="5902986B" w14:textId="77777777" w:rsidR="0084406A" w:rsidRDefault="002B18AF">
            <w:pPr>
              <w:textAlignment w:val="top"/>
            </w:pPr>
            <w:hyperlink r:id="rId10" w:anchor="ib7cf537e07124691a6505a5505cd30c3_13" w:history="1">
              <w:r>
                <w:rPr>
                  <w:rStyle w:val="a5"/>
                  <w:rFonts w:ascii="Arial" w:eastAsia="宋体" w:hAnsi="Arial" w:cs="Arial"/>
                  <w:sz w:val="16"/>
                  <w:szCs w:val="16"/>
                </w:rPr>
                <w:t>Business</w:t>
              </w:r>
            </w:hyperlink>
          </w:p>
        </w:tc>
        <w:tc>
          <w:tcPr>
            <w:tcW w:w="0" w:type="auto"/>
            <w:gridSpan w:val="3"/>
            <w:shd w:val="clear" w:color="auto" w:fill="auto"/>
            <w:tcMar>
              <w:top w:w="40" w:type="dxa"/>
              <w:left w:w="20" w:type="dxa"/>
              <w:bottom w:w="40" w:type="dxa"/>
              <w:right w:w="20" w:type="dxa"/>
            </w:tcMar>
          </w:tcPr>
          <w:p w14:paraId="5902986C" w14:textId="77777777" w:rsidR="0084406A" w:rsidRDefault="002B18AF">
            <w:pPr>
              <w:jc w:val="right"/>
              <w:textAlignment w:val="top"/>
            </w:pPr>
            <w:hyperlink r:id="rId11" w:anchor="ib7cf537e07124691a6505a5505cd30c3_13" w:history="1">
              <w:r>
                <w:rPr>
                  <w:rStyle w:val="a5"/>
                  <w:rFonts w:ascii="Arial" w:eastAsia="宋体" w:hAnsi="Arial" w:cs="Arial"/>
                  <w:sz w:val="16"/>
                  <w:szCs w:val="16"/>
                </w:rPr>
                <w:t>1</w:t>
              </w:r>
            </w:hyperlink>
          </w:p>
        </w:tc>
      </w:tr>
      <w:tr w:rsidR="0084406A" w14:paraId="59029871" w14:textId="77777777">
        <w:trPr>
          <w:trHeight w:val="60"/>
        </w:trPr>
        <w:tc>
          <w:tcPr>
            <w:tcW w:w="0" w:type="auto"/>
            <w:gridSpan w:val="3"/>
            <w:shd w:val="clear" w:color="auto" w:fill="auto"/>
            <w:tcMar>
              <w:top w:w="0" w:type="dxa"/>
              <w:left w:w="20" w:type="dxa"/>
              <w:bottom w:w="0" w:type="dxa"/>
              <w:right w:w="20" w:type="dxa"/>
            </w:tcMar>
            <w:vAlign w:val="bottom"/>
          </w:tcPr>
          <w:p w14:paraId="5902986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6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70" w14:textId="77777777" w:rsidR="0084406A" w:rsidRDefault="0084406A">
            <w:pPr>
              <w:rPr>
                <w:rFonts w:ascii="宋体"/>
              </w:rPr>
            </w:pPr>
          </w:p>
        </w:tc>
      </w:tr>
      <w:tr w:rsidR="0084406A" w14:paraId="59029875" w14:textId="77777777">
        <w:tc>
          <w:tcPr>
            <w:tcW w:w="0" w:type="auto"/>
            <w:gridSpan w:val="3"/>
            <w:shd w:val="clear" w:color="auto" w:fill="auto"/>
            <w:tcMar>
              <w:top w:w="40" w:type="dxa"/>
              <w:left w:w="20" w:type="dxa"/>
              <w:bottom w:w="40" w:type="dxa"/>
              <w:right w:w="20" w:type="dxa"/>
            </w:tcMar>
          </w:tcPr>
          <w:p w14:paraId="59029872" w14:textId="77777777" w:rsidR="0084406A" w:rsidRDefault="002B18AF">
            <w:pPr>
              <w:textAlignment w:val="top"/>
            </w:pPr>
            <w:hyperlink r:id="rId12" w:anchor="ib7cf537e07124691a6505a5505cd30c3_16" w:history="1">
              <w:r>
                <w:rPr>
                  <w:rStyle w:val="a5"/>
                  <w:rFonts w:ascii="Arial" w:eastAsia="宋体" w:hAnsi="Arial" w:cs="Arial"/>
                  <w:sz w:val="16"/>
                  <w:szCs w:val="16"/>
                </w:rPr>
                <w:t>ITEM 1A.</w:t>
              </w:r>
            </w:hyperlink>
          </w:p>
        </w:tc>
        <w:tc>
          <w:tcPr>
            <w:tcW w:w="0" w:type="auto"/>
            <w:gridSpan w:val="3"/>
            <w:shd w:val="clear" w:color="auto" w:fill="auto"/>
            <w:tcMar>
              <w:top w:w="40" w:type="dxa"/>
              <w:left w:w="20" w:type="dxa"/>
              <w:bottom w:w="40" w:type="dxa"/>
              <w:right w:w="20" w:type="dxa"/>
            </w:tcMar>
          </w:tcPr>
          <w:p w14:paraId="59029873" w14:textId="77777777" w:rsidR="0084406A" w:rsidRDefault="002B18AF">
            <w:pPr>
              <w:textAlignment w:val="top"/>
            </w:pPr>
            <w:hyperlink r:id="rId13" w:anchor="ib7cf537e07124691a6505a5505cd30c3_16" w:history="1">
              <w:r>
                <w:rPr>
                  <w:rStyle w:val="a5"/>
                  <w:rFonts w:ascii="Arial" w:eastAsia="宋体" w:hAnsi="Arial" w:cs="Arial"/>
                  <w:sz w:val="16"/>
                  <w:szCs w:val="16"/>
                </w:rPr>
                <w:t>Risk Factors</w:t>
              </w:r>
            </w:hyperlink>
          </w:p>
        </w:tc>
        <w:tc>
          <w:tcPr>
            <w:tcW w:w="0" w:type="auto"/>
            <w:gridSpan w:val="3"/>
            <w:shd w:val="clear" w:color="auto" w:fill="auto"/>
            <w:tcMar>
              <w:top w:w="40" w:type="dxa"/>
              <w:left w:w="20" w:type="dxa"/>
              <w:bottom w:w="40" w:type="dxa"/>
              <w:right w:w="20" w:type="dxa"/>
            </w:tcMar>
          </w:tcPr>
          <w:p w14:paraId="59029874" w14:textId="77777777" w:rsidR="0084406A" w:rsidRDefault="002B18AF">
            <w:pPr>
              <w:jc w:val="right"/>
              <w:textAlignment w:val="top"/>
            </w:pPr>
            <w:hyperlink r:id="rId14" w:anchor="ib7cf537e07124691a6505a5505cd30c3_16" w:history="1">
              <w:r>
                <w:rPr>
                  <w:rStyle w:val="a5"/>
                  <w:rFonts w:ascii="Arial" w:eastAsia="宋体" w:hAnsi="Arial" w:cs="Arial"/>
                  <w:sz w:val="16"/>
                  <w:szCs w:val="16"/>
                </w:rPr>
                <w:t>13</w:t>
              </w:r>
            </w:hyperlink>
          </w:p>
        </w:tc>
      </w:tr>
      <w:tr w:rsidR="0084406A" w14:paraId="59029879" w14:textId="77777777">
        <w:trPr>
          <w:trHeight w:val="60"/>
        </w:trPr>
        <w:tc>
          <w:tcPr>
            <w:tcW w:w="0" w:type="auto"/>
            <w:gridSpan w:val="3"/>
            <w:shd w:val="clear" w:color="auto" w:fill="auto"/>
            <w:tcMar>
              <w:top w:w="0" w:type="dxa"/>
              <w:left w:w="20" w:type="dxa"/>
              <w:bottom w:w="0" w:type="dxa"/>
              <w:right w:w="20" w:type="dxa"/>
            </w:tcMar>
            <w:vAlign w:val="bottom"/>
          </w:tcPr>
          <w:p w14:paraId="5902987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7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78" w14:textId="77777777" w:rsidR="0084406A" w:rsidRDefault="0084406A">
            <w:pPr>
              <w:rPr>
                <w:rFonts w:ascii="宋体"/>
              </w:rPr>
            </w:pPr>
          </w:p>
        </w:tc>
      </w:tr>
      <w:tr w:rsidR="0084406A" w14:paraId="5902987D" w14:textId="77777777">
        <w:tc>
          <w:tcPr>
            <w:tcW w:w="0" w:type="auto"/>
            <w:gridSpan w:val="3"/>
            <w:shd w:val="clear" w:color="auto" w:fill="auto"/>
            <w:tcMar>
              <w:top w:w="40" w:type="dxa"/>
              <w:left w:w="20" w:type="dxa"/>
              <w:bottom w:w="40" w:type="dxa"/>
              <w:right w:w="20" w:type="dxa"/>
            </w:tcMar>
          </w:tcPr>
          <w:p w14:paraId="5902987A" w14:textId="77777777" w:rsidR="0084406A" w:rsidRDefault="002B18AF">
            <w:pPr>
              <w:textAlignment w:val="top"/>
            </w:pPr>
            <w:hyperlink r:id="rId15" w:anchor="ib7cf537e07124691a6505a5505cd30c3_19" w:history="1">
              <w:r>
                <w:rPr>
                  <w:rStyle w:val="a5"/>
                  <w:rFonts w:ascii="Arial" w:eastAsia="宋体" w:hAnsi="Arial" w:cs="Arial"/>
                  <w:sz w:val="16"/>
                  <w:szCs w:val="16"/>
                </w:rPr>
                <w:t>ITEM 1B.</w:t>
              </w:r>
            </w:hyperlink>
          </w:p>
        </w:tc>
        <w:tc>
          <w:tcPr>
            <w:tcW w:w="0" w:type="auto"/>
            <w:gridSpan w:val="3"/>
            <w:shd w:val="clear" w:color="auto" w:fill="auto"/>
            <w:tcMar>
              <w:top w:w="40" w:type="dxa"/>
              <w:left w:w="20" w:type="dxa"/>
              <w:bottom w:w="40" w:type="dxa"/>
              <w:right w:w="20" w:type="dxa"/>
            </w:tcMar>
          </w:tcPr>
          <w:p w14:paraId="5902987B" w14:textId="77777777" w:rsidR="0084406A" w:rsidRDefault="002B18AF">
            <w:pPr>
              <w:textAlignment w:val="top"/>
            </w:pPr>
            <w:hyperlink r:id="rId16" w:anchor="ib7cf537e07124691a6505a5505cd30c3_19" w:history="1">
              <w:r>
                <w:rPr>
                  <w:rStyle w:val="a5"/>
                  <w:rFonts w:ascii="Arial" w:eastAsia="宋体" w:hAnsi="Arial" w:cs="Arial"/>
                  <w:sz w:val="16"/>
                  <w:szCs w:val="16"/>
                </w:rPr>
                <w:t>Unresolved Staff Comments</w:t>
              </w:r>
            </w:hyperlink>
          </w:p>
        </w:tc>
        <w:tc>
          <w:tcPr>
            <w:tcW w:w="0" w:type="auto"/>
            <w:gridSpan w:val="3"/>
            <w:shd w:val="clear" w:color="auto" w:fill="auto"/>
            <w:tcMar>
              <w:top w:w="40" w:type="dxa"/>
              <w:left w:w="20" w:type="dxa"/>
              <w:bottom w:w="40" w:type="dxa"/>
              <w:right w:w="20" w:type="dxa"/>
            </w:tcMar>
          </w:tcPr>
          <w:p w14:paraId="5902987C" w14:textId="77777777" w:rsidR="0084406A" w:rsidRDefault="002B18AF">
            <w:pPr>
              <w:jc w:val="right"/>
              <w:textAlignment w:val="top"/>
            </w:pPr>
            <w:hyperlink r:id="rId17" w:anchor="ib7cf537e07124691a6505a5505cd30c3_19" w:history="1">
              <w:r>
                <w:rPr>
                  <w:rStyle w:val="a5"/>
                  <w:rFonts w:ascii="Arial" w:eastAsia="宋体" w:hAnsi="Arial" w:cs="Arial"/>
                  <w:sz w:val="16"/>
                  <w:szCs w:val="16"/>
                </w:rPr>
                <w:t>35</w:t>
              </w:r>
            </w:hyperlink>
          </w:p>
        </w:tc>
      </w:tr>
      <w:tr w:rsidR="0084406A" w14:paraId="59029881" w14:textId="77777777">
        <w:trPr>
          <w:trHeight w:val="60"/>
        </w:trPr>
        <w:tc>
          <w:tcPr>
            <w:tcW w:w="0" w:type="auto"/>
            <w:gridSpan w:val="3"/>
            <w:shd w:val="clear" w:color="auto" w:fill="auto"/>
            <w:tcMar>
              <w:top w:w="0" w:type="dxa"/>
              <w:left w:w="20" w:type="dxa"/>
              <w:bottom w:w="0" w:type="dxa"/>
              <w:right w:w="20" w:type="dxa"/>
            </w:tcMar>
            <w:vAlign w:val="bottom"/>
          </w:tcPr>
          <w:p w14:paraId="5902987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7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80" w14:textId="77777777" w:rsidR="0084406A" w:rsidRDefault="0084406A">
            <w:pPr>
              <w:rPr>
                <w:rFonts w:ascii="宋体"/>
              </w:rPr>
            </w:pPr>
          </w:p>
        </w:tc>
      </w:tr>
      <w:tr w:rsidR="0084406A" w14:paraId="59029885" w14:textId="77777777">
        <w:tc>
          <w:tcPr>
            <w:tcW w:w="0" w:type="auto"/>
            <w:gridSpan w:val="3"/>
            <w:shd w:val="clear" w:color="auto" w:fill="auto"/>
            <w:tcMar>
              <w:top w:w="40" w:type="dxa"/>
              <w:left w:w="20" w:type="dxa"/>
              <w:bottom w:w="40" w:type="dxa"/>
              <w:right w:w="20" w:type="dxa"/>
            </w:tcMar>
          </w:tcPr>
          <w:p w14:paraId="59029882" w14:textId="77777777" w:rsidR="0084406A" w:rsidRDefault="002B18AF">
            <w:pPr>
              <w:textAlignment w:val="top"/>
            </w:pPr>
            <w:hyperlink r:id="rId18" w:anchor="ib7cf537e07124691a6505a5505cd30c3_22" w:history="1">
              <w:r>
                <w:rPr>
                  <w:rStyle w:val="a5"/>
                  <w:rFonts w:ascii="Arial" w:eastAsia="宋体" w:hAnsi="Arial" w:cs="Arial"/>
                  <w:sz w:val="16"/>
                  <w:szCs w:val="16"/>
                </w:rPr>
                <w:t>ITEM 2.</w:t>
              </w:r>
            </w:hyperlink>
          </w:p>
        </w:tc>
        <w:tc>
          <w:tcPr>
            <w:tcW w:w="0" w:type="auto"/>
            <w:gridSpan w:val="3"/>
            <w:shd w:val="clear" w:color="auto" w:fill="auto"/>
            <w:tcMar>
              <w:top w:w="40" w:type="dxa"/>
              <w:left w:w="20" w:type="dxa"/>
              <w:bottom w:w="40" w:type="dxa"/>
              <w:right w:w="20" w:type="dxa"/>
            </w:tcMar>
          </w:tcPr>
          <w:p w14:paraId="59029883" w14:textId="77777777" w:rsidR="0084406A" w:rsidRDefault="002B18AF">
            <w:pPr>
              <w:textAlignment w:val="top"/>
            </w:pPr>
            <w:hyperlink r:id="rId19" w:anchor="ib7cf537e07124691a6505a5505cd30c3_22" w:history="1">
              <w:r>
                <w:rPr>
                  <w:rStyle w:val="a5"/>
                  <w:rFonts w:ascii="Arial" w:eastAsia="宋体" w:hAnsi="Arial" w:cs="Arial"/>
                  <w:sz w:val="16"/>
                  <w:szCs w:val="16"/>
                </w:rPr>
                <w:t>Properties</w:t>
              </w:r>
            </w:hyperlink>
          </w:p>
        </w:tc>
        <w:tc>
          <w:tcPr>
            <w:tcW w:w="0" w:type="auto"/>
            <w:gridSpan w:val="3"/>
            <w:shd w:val="clear" w:color="auto" w:fill="auto"/>
            <w:tcMar>
              <w:top w:w="40" w:type="dxa"/>
              <w:left w:w="20" w:type="dxa"/>
              <w:bottom w:w="40" w:type="dxa"/>
              <w:right w:w="20" w:type="dxa"/>
            </w:tcMar>
          </w:tcPr>
          <w:p w14:paraId="59029884" w14:textId="77777777" w:rsidR="0084406A" w:rsidRDefault="002B18AF">
            <w:pPr>
              <w:jc w:val="right"/>
              <w:textAlignment w:val="top"/>
            </w:pPr>
            <w:hyperlink r:id="rId20" w:anchor="ib7cf537e07124691a6505a5505cd30c3_22" w:history="1">
              <w:r>
                <w:rPr>
                  <w:rStyle w:val="a5"/>
                  <w:rFonts w:ascii="Arial" w:eastAsia="宋体" w:hAnsi="Arial" w:cs="Arial"/>
                  <w:sz w:val="16"/>
                  <w:szCs w:val="16"/>
                </w:rPr>
                <w:t>35</w:t>
              </w:r>
            </w:hyperlink>
          </w:p>
        </w:tc>
      </w:tr>
      <w:tr w:rsidR="0084406A" w14:paraId="59029889" w14:textId="77777777">
        <w:trPr>
          <w:trHeight w:val="60"/>
        </w:trPr>
        <w:tc>
          <w:tcPr>
            <w:tcW w:w="0" w:type="auto"/>
            <w:gridSpan w:val="3"/>
            <w:shd w:val="clear" w:color="auto" w:fill="auto"/>
            <w:tcMar>
              <w:top w:w="0" w:type="dxa"/>
              <w:left w:w="20" w:type="dxa"/>
              <w:bottom w:w="0" w:type="dxa"/>
              <w:right w:w="20" w:type="dxa"/>
            </w:tcMar>
            <w:vAlign w:val="bottom"/>
          </w:tcPr>
          <w:p w14:paraId="5902988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8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88" w14:textId="77777777" w:rsidR="0084406A" w:rsidRDefault="0084406A">
            <w:pPr>
              <w:rPr>
                <w:rFonts w:ascii="宋体"/>
              </w:rPr>
            </w:pPr>
          </w:p>
        </w:tc>
      </w:tr>
      <w:tr w:rsidR="0084406A" w14:paraId="5902988D" w14:textId="77777777">
        <w:tc>
          <w:tcPr>
            <w:tcW w:w="0" w:type="auto"/>
            <w:gridSpan w:val="3"/>
            <w:shd w:val="clear" w:color="auto" w:fill="auto"/>
            <w:tcMar>
              <w:top w:w="40" w:type="dxa"/>
              <w:left w:w="20" w:type="dxa"/>
              <w:bottom w:w="40" w:type="dxa"/>
              <w:right w:w="20" w:type="dxa"/>
            </w:tcMar>
          </w:tcPr>
          <w:p w14:paraId="5902988A" w14:textId="77777777" w:rsidR="0084406A" w:rsidRDefault="002B18AF">
            <w:pPr>
              <w:textAlignment w:val="top"/>
            </w:pPr>
            <w:hyperlink r:id="rId21" w:anchor="ib7cf537e07124691a6505a5505cd30c3_25" w:history="1">
              <w:r>
                <w:rPr>
                  <w:rStyle w:val="a5"/>
                  <w:rFonts w:ascii="Arial" w:eastAsia="宋体" w:hAnsi="Arial" w:cs="Arial"/>
                  <w:sz w:val="16"/>
                  <w:szCs w:val="16"/>
                </w:rPr>
                <w:t>ITEM 3.</w:t>
              </w:r>
            </w:hyperlink>
          </w:p>
        </w:tc>
        <w:tc>
          <w:tcPr>
            <w:tcW w:w="0" w:type="auto"/>
            <w:gridSpan w:val="3"/>
            <w:shd w:val="clear" w:color="auto" w:fill="auto"/>
            <w:tcMar>
              <w:top w:w="40" w:type="dxa"/>
              <w:left w:w="20" w:type="dxa"/>
              <w:bottom w:w="40" w:type="dxa"/>
              <w:right w:w="20" w:type="dxa"/>
            </w:tcMar>
          </w:tcPr>
          <w:p w14:paraId="5902988B" w14:textId="77777777" w:rsidR="0084406A" w:rsidRDefault="002B18AF">
            <w:pPr>
              <w:textAlignment w:val="top"/>
            </w:pPr>
            <w:hyperlink r:id="rId22" w:anchor="ib7cf537e07124691a6505a5505cd30c3_25" w:history="1">
              <w:r>
                <w:rPr>
                  <w:rStyle w:val="a5"/>
                  <w:rFonts w:ascii="Arial" w:eastAsia="宋体" w:hAnsi="Arial" w:cs="Arial"/>
                  <w:sz w:val="16"/>
                  <w:szCs w:val="16"/>
                </w:rPr>
                <w:t>Legal Proceedings</w:t>
              </w:r>
            </w:hyperlink>
          </w:p>
        </w:tc>
        <w:tc>
          <w:tcPr>
            <w:tcW w:w="0" w:type="auto"/>
            <w:gridSpan w:val="3"/>
            <w:shd w:val="clear" w:color="auto" w:fill="auto"/>
            <w:tcMar>
              <w:top w:w="40" w:type="dxa"/>
              <w:left w:w="20" w:type="dxa"/>
              <w:bottom w:w="40" w:type="dxa"/>
              <w:right w:w="20" w:type="dxa"/>
            </w:tcMar>
          </w:tcPr>
          <w:p w14:paraId="5902988C" w14:textId="77777777" w:rsidR="0084406A" w:rsidRDefault="002B18AF">
            <w:pPr>
              <w:jc w:val="right"/>
              <w:textAlignment w:val="top"/>
            </w:pPr>
            <w:hyperlink r:id="rId23" w:anchor="ib7cf537e07124691a6505a5505cd30c3_25" w:history="1">
              <w:r>
                <w:rPr>
                  <w:rStyle w:val="a5"/>
                  <w:rFonts w:ascii="Arial" w:eastAsia="宋体" w:hAnsi="Arial" w:cs="Arial"/>
                  <w:sz w:val="16"/>
                  <w:szCs w:val="16"/>
                </w:rPr>
                <w:t>36</w:t>
              </w:r>
            </w:hyperlink>
          </w:p>
        </w:tc>
      </w:tr>
      <w:tr w:rsidR="0084406A" w14:paraId="59029891" w14:textId="77777777">
        <w:trPr>
          <w:trHeight w:val="60"/>
        </w:trPr>
        <w:tc>
          <w:tcPr>
            <w:tcW w:w="0" w:type="auto"/>
            <w:gridSpan w:val="3"/>
            <w:shd w:val="clear" w:color="auto" w:fill="auto"/>
            <w:tcMar>
              <w:top w:w="0" w:type="dxa"/>
              <w:left w:w="20" w:type="dxa"/>
              <w:bottom w:w="0" w:type="dxa"/>
              <w:right w:w="20" w:type="dxa"/>
            </w:tcMar>
            <w:vAlign w:val="bottom"/>
          </w:tcPr>
          <w:p w14:paraId="5902988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8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90" w14:textId="77777777" w:rsidR="0084406A" w:rsidRDefault="0084406A">
            <w:pPr>
              <w:rPr>
                <w:rFonts w:ascii="宋体"/>
              </w:rPr>
            </w:pPr>
          </w:p>
        </w:tc>
      </w:tr>
      <w:tr w:rsidR="0084406A" w14:paraId="59029895" w14:textId="77777777">
        <w:tc>
          <w:tcPr>
            <w:tcW w:w="0" w:type="auto"/>
            <w:gridSpan w:val="3"/>
            <w:shd w:val="clear" w:color="auto" w:fill="auto"/>
            <w:tcMar>
              <w:top w:w="40" w:type="dxa"/>
              <w:left w:w="20" w:type="dxa"/>
              <w:bottom w:w="40" w:type="dxa"/>
              <w:right w:w="20" w:type="dxa"/>
            </w:tcMar>
          </w:tcPr>
          <w:p w14:paraId="59029892" w14:textId="77777777" w:rsidR="0084406A" w:rsidRDefault="002B18AF">
            <w:pPr>
              <w:textAlignment w:val="top"/>
            </w:pPr>
            <w:hyperlink r:id="rId24" w:anchor="ib7cf537e07124691a6505a5505cd30c3_28" w:history="1">
              <w:r>
                <w:rPr>
                  <w:rStyle w:val="a5"/>
                  <w:rFonts w:ascii="Arial" w:eastAsia="宋体" w:hAnsi="Arial" w:cs="Arial"/>
                  <w:sz w:val="16"/>
                  <w:szCs w:val="16"/>
                </w:rPr>
                <w:t>ITEM 4.</w:t>
              </w:r>
            </w:hyperlink>
          </w:p>
        </w:tc>
        <w:tc>
          <w:tcPr>
            <w:tcW w:w="0" w:type="auto"/>
            <w:gridSpan w:val="3"/>
            <w:shd w:val="clear" w:color="auto" w:fill="auto"/>
            <w:tcMar>
              <w:top w:w="40" w:type="dxa"/>
              <w:left w:w="20" w:type="dxa"/>
              <w:bottom w:w="40" w:type="dxa"/>
              <w:right w:w="20" w:type="dxa"/>
            </w:tcMar>
          </w:tcPr>
          <w:p w14:paraId="59029893" w14:textId="77777777" w:rsidR="0084406A" w:rsidRDefault="002B18AF">
            <w:pPr>
              <w:textAlignment w:val="top"/>
            </w:pPr>
            <w:hyperlink r:id="rId25" w:anchor="ib7cf537e07124691a6505a5505cd30c3_28" w:history="1">
              <w:r>
                <w:rPr>
                  <w:rStyle w:val="a5"/>
                  <w:rFonts w:ascii="Arial" w:eastAsia="宋体" w:hAnsi="Arial" w:cs="Arial"/>
                  <w:sz w:val="16"/>
                  <w:szCs w:val="16"/>
                </w:rPr>
                <w:t>Mine Safety Disclosures</w:t>
              </w:r>
            </w:hyperlink>
          </w:p>
        </w:tc>
        <w:tc>
          <w:tcPr>
            <w:tcW w:w="0" w:type="auto"/>
            <w:gridSpan w:val="3"/>
            <w:shd w:val="clear" w:color="auto" w:fill="auto"/>
            <w:tcMar>
              <w:top w:w="40" w:type="dxa"/>
              <w:left w:w="20" w:type="dxa"/>
              <w:bottom w:w="40" w:type="dxa"/>
              <w:right w:w="20" w:type="dxa"/>
            </w:tcMar>
          </w:tcPr>
          <w:p w14:paraId="59029894" w14:textId="77777777" w:rsidR="0084406A" w:rsidRDefault="002B18AF">
            <w:pPr>
              <w:jc w:val="right"/>
              <w:textAlignment w:val="top"/>
            </w:pPr>
            <w:hyperlink r:id="rId26" w:anchor="ib7cf537e07124691a6505a5505cd30c3_28" w:history="1">
              <w:r>
                <w:rPr>
                  <w:rStyle w:val="a5"/>
                  <w:rFonts w:ascii="Arial" w:eastAsia="宋体" w:hAnsi="Arial" w:cs="Arial"/>
                  <w:sz w:val="16"/>
                  <w:szCs w:val="16"/>
                </w:rPr>
                <w:t>36</w:t>
              </w:r>
            </w:hyperlink>
          </w:p>
        </w:tc>
      </w:tr>
      <w:tr w:rsidR="0084406A" w14:paraId="59029899" w14:textId="77777777">
        <w:trPr>
          <w:trHeight w:val="60"/>
        </w:trPr>
        <w:tc>
          <w:tcPr>
            <w:tcW w:w="0" w:type="auto"/>
            <w:gridSpan w:val="3"/>
            <w:shd w:val="clear" w:color="auto" w:fill="auto"/>
            <w:tcMar>
              <w:top w:w="0" w:type="dxa"/>
              <w:left w:w="20" w:type="dxa"/>
              <w:bottom w:w="0" w:type="dxa"/>
              <w:right w:w="20" w:type="dxa"/>
            </w:tcMar>
            <w:vAlign w:val="bottom"/>
          </w:tcPr>
          <w:p w14:paraId="5902989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9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98" w14:textId="77777777" w:rsidR="0084406A" w:rsidRDefault="0084406A">
            <w:pPr>
              <w:rPr>
                <w:rFonts w:ascii="宋体"/>
              </w:rPr>
            </w:pPr>
          </w:p>
        </w:tc>
      </w:tr>
      <w:tr w:rsidR="0084406A" w14:paraId="5902989D" w14:textId="77777777">
        <w:tc>
          <w:tcPr>
            <w:tcW w:w="0" w:type="auto"/>
            <w:gridSpan w:val="3"/>
            <w:shd w:val="clear" w:color="auto" w:fill="auto"/>
            <w:tcMar>
              <w:top w:w="40" w:type="dxa"/>
              <w:left w:w="20" w:type="dxa"/>
              <w:bottom w:w="40" w:type="dxa"/>
              <w:right w:w="20" w:type="dxa"/>
            </w:tcMar>
          </w:tcPr>
          <w:p w14:paraId="5902989A" w14:textId="77777777" w:rsidR="0084406A" w:rsidRDefault="002B18AF">
            <w:pPr>
              <w:textAlignment w:val="top"/>
            </w:pPr>
            <w:hyperlink r:id="rId27" w:anchor="ib7cf537e07124691a6505a5505cd30c3_31" w:history="1">
              <w:r>
                <w:rPr>
                  <w:rStyle w:val="a5"/>
                  <w:rFonts w:ascii="Arial" w:eastAsia="宋体" w:hAnsi="Arial" w:cs="Arial"/>
                  <w:b/>
                  <w:bCs/>
                  <w:sz w:val="16"/>
                  <w:szCs w:val="16"/>
                </w:rPr>
                <w:t>PART II</w:t>
              </w:r>
            </w:hyperlink>
          </w:p>
        </w:tc>
        <w:tc>
          <w:tcPr>
            <w:tcW w:w="0" w:type="auto"/>
            <w:gridSpan w:val="3"/>
            <w:shd w:val="clear" w:color="auto" w:fill="auto"/>
            <w:tcMar>
              <w:top w:w="0" w:type="dxa"/>
              <w:left w:w="20" w:type="dxa"/>
              <w:bottom w:w="0" w:type="dxa"/>
              <w:right w:w="20" w:type="dxa"/>
            </w:tcMar>
            <w:vAlign w:val="bottom"/>
          </w:tcPr>
          <w:p w14:paraId="5902989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89C" w14:textId="77777777" w:rsidR="0084406A" w:rsidRDefault="002B18AF">
            <w:pPr>
              <w:jc w:val="right"/>
              <w:textAlignment w:val="top"/>
            </w:pPr>
            <w:hyperlink r:id="rId28" w:anchor="ib7cf537e07124691a6505a5505cd30c3_31" w:history="1">
              <w:r>
                <w:rPr>
                  <w:rStyle w:val="a5"/>
                  <w:rFonts w:ascii="Arial" w:eastAsia="宋体" w:hAnsi="Arial" w:cs="Arial"/>
                  <w:sz w:val="16"/>
                  <w:szCs w:val="16"/>
                </w:rPr>
                <w:t>37</w:t>
              </w:r>
            </w:hyperlink>
          </w:p>
        </w:tc>
      </w:tr>
      <w:tr w:rsidR="0084406A" w14:paraId="590298A1" w14:textId="77777777">
        <w:trPr>
          <w:trHeight w:val="60"/>
        </w:trPr>
        <w:tc>
          <w:tcPr>
            <w:tcW w:w="0" w:type="auto"/>
            <w:gridSpan w:val="3"/>
            <w:shd w:val="clear" w:color="auto" w:fill="auto"/>
            <w:tcMar>
              <w:top w:w="0" w:type="dxa"/>
              <w:left w:w="20" w:type="dxa"/>
              <w:bottom w:w="0" w:type="dxa"/>
              <w:right w:w="20" w:type="dxa"/>
            </w:tcMar>
            <w:vAlign w:val="bottom"/>
          </w:tcPr>
          <w:p w14:paraId="5902989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9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A0" w14:textId="77777777" w:rsidR="0084406A" w:rsidRDefault="0084406A">
            <w:pPr>
              <w:rPr>
                <w:rFonts w:ascii="宋体"/>
              </w:rPr>
            </w:pPr>
          </w:p>
        </w:tc>
      </w:tr>
      <w:tr w:rsidR="0084406A" w14:paraId="590298A5" w14:textId="77777777">
        <w:tc>
          <w:tcPr>
            <w:tcW w:w="0" w:type="auto"/>
            <w:gridSpan w:val="3"/>
            <w:shd w:val="clear" w:color="auto" w:fill="auto"/>
            <w:tcMar>
              <w:top w:w="40" w:type="dxa"/>
              <w:left w:w="20" w:type="dxa"/>
              <w:bottom w:w="40" w:type="dxa"/>
              <w:right w:w="20" w:type="dxa"/>
            </w:tcMar>
          </w:tcPr>
          <w:p w14:paraId="590298A2" w14:textId="77777777" w:rsidR="0084406A" w:rsidRDefault="002B18AF">
            <w:pPr>
              <w:textAlignment w:val="top"/>
            </w:pPr>
            <w:hyperlink r:id="rId29" w:anchor="ib7cf537e07124691a6505a5505cd30c3_34" w:history="1">
              <w:r>
                <w:rPr>
                  <w:rStyle w:val="a5"/>
                  <w:rFonts w:ascii="Arial" w:eastAsia="宋体" w:hAnsi="Arial" w:cs="Arial"/>
                  <w:sz w:val="16"/>
                  <w:szCs w:val="16"/>
                </w:rPr>
                <w:t>ITEM 5.</w:t>
              </w:r>
            </w:hyperlink>
          </w:p>
        </w:tc>
        <w:tc>
          <w:tcPr>
            <w:tcW w:w="0" w:type="auto"/>
            <w:gridSpan w:val="3"/>
            <w:shd w:val="clear" w:color="auto" w:fill="auto"/>
            <w:tcMar>
              <w:top w:w="40" w:type="dxa"/>
              <w:left w:w="20" w:type="dxa"/>
              <w:bottom w:w="40" w:type="dxa"/>
              <w:right w:w="20" w:type="dxa"/>
            </w:tcMar>
          </w:tcPr>
          <w:p w14:paraId="590298A3" w14:textId="77777777" w:rsidR="0084406A" w:rsidRDefault="002B18AF">
            <w:pPr>
              <w:textAlignment w:val="top"/>
            </w:pPr>
            <w:hyperlink r:id="rId30" w:anchor="ib7cf537e07124691a6505a5505cd30c3_34" w:history="1">
              <w:r>
                <w:rPr>
                  <w:rStyle w:val="a5"/>
                  <w:rFonts w:ascii="Arial" w:eastAsia="宋体" w:hAnsi="Arial" w:cs="Arial"/>
                  <w:sz w:val="16"/>
                  <w:szCs w:val="16"/>
                </w:rPr>
                <w:t xml:space="preserve">Market for Registrant’s Common Equity, Related Stockholder Matters and Issuer Purchases of Equity Securities </w:t>
              </w:r>
            </w:hyperlink>
          </w:p>
        </w:tc>
        <w:tc>
          <w:tcPr>
            <w:tcW w:w="0" w:type="auto"/>
            <w:gridSpan w:val="3"/>
            <w:shd w:val="clear" w:color="auto" w:fill="auto"/>
            <w:tcMar>
              <w:top w:w="40" w:type="dxa"/>
              <w:left w:w="20" w:type="dxa"/>
              <w:bottom w:w="40" w:type="dxa"/>
              <w:right w:w="20" w:type="dxa"/>
            </w:tcMar>
          </w:tcPr>
          <w:p w14:paraId="590298A4" w14:textId="77777777" w:rsidR="0084406A" w:rsidRDefault="002B18AF">
            <w:pPr>
              <w:jc w:val="right"/>
              <w:textAlignment w:val="top"/>
            </w:pPr>
            <w:hyperlink r:id="rId31" w:anchor="ib7cf537e07124691a6505a5505cd30c3_34" w:history="1">
              <w:r>
                <w:rPr>
                  <w:rStyle w:val="a5"/>
                  <w:rFonts w:ascii="Arial" w:eastAsia="宋体" w:hAnsi="Arial" w:cs="Arial"/>
                  <w:sz w:val="16"/>
                  <w:szCs w:val="16"/>
                </w:rPr>
                <w:t>37</w:t>
              </w:r>
            </w:hyperlink>
          </w:p>
        </w:tc>
      </w:tr>
      <w:tr w:rsidR="0084406A" w14:paraId="590298A9" w14:textId="77777777">
        <w:trPr>
          <w:trHeight w:val="60"/>
        </w:trPr>
        <w:tc>
          <w:tcPr>
            <w:tcW w:w="0" w:type="auto"/>
            <w:gridSpan w:val="3"/>
            <w:shd w:val="clear" w:color="auto" w:fill="auto"/>
            <w:tcMar>
              <w:top w:w="0" w:type="dxa"/>
              <w:left w:w="20" w:type="dxa"/>
              <w:bottom w:w="0" w:type="dxa"/>
              <w:right w:w="20" w:type="dxa"/>
            </w:tcMar>
            <w:vAlign w:val="bottom"/>
          </w:tcPr>
          <w:p w14:paraId="590298A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A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A8" w14:textId="77777777" w:rsidR="0084406A" w:rsidRDefault="0084406A">
            <w:pPr>
              <w:rPr>
                <w:rFonts w:ascii="宋体"/>
              </w:rPr>
            </w:pPr>
          </w:p>
        </w:tc>
      </w:tr>
      <w:tr w:rsidR="0084406A" w14:paraId="590298AD" w14:textId="77777777">
        <w:tc>
          <w:tcPr>
            <w:tcW w:w="0" w:type="auto"/>
            <w:gridSpan w:val="3"/>
            <w:shd w:val="clear" w:color="auto" w:fill="auto"/>
            <w:tcMar>
              <w:top w:w="40" w:type="dxa"/>
              <w:left w:w="20" w:type="dxa"/>
              <w:bottom w:w="40" w:type="dxa"/>
              <w:right w:w="20" w:type="dxa"/>
            </w:tcMar>
          </w:tcPr>
          <w:p w14:paraId="590298AA" w14:textId="77777777" w:rsidR="0084406A" w:rsidRDefault="002B18AF">
            <w:pPr>
              <w:textAlignment w:val="top"/>
            </w:pPr>
            <w:r>
              <w:rPr>
                <w:rFonts w:ascii="Arial" w:eastAsia="宋体" w:hAnsi="Arial" w:cs="Arial"/>
                <w:color w:val="0000FF"/>
                <w:sz w:val="16"/>
                <w:szCs w:val="16"/>
                <w:u w:val="single"/>
              </w:rPr>
              <w:t>ITEM 6.</w:t>
            </w:r>
          </w:p>
        </w:tc>
        <w:tc>
          <w:tcPr>
            <w:tcW w:w="0" w:type="auto"/>
            <w:gridSpan w:val="3"/>
            <w:shd w:val="clear" w:color="auto" w:fill="auto"/>
            <w:tcMar>
              <w:top w:w="40" w:type="dxa"/>
              <w:left w:w="20" w:type="dxa"/>
              <w:bottom w:w="40" w:type="dxa"/>
              <w:right w:w="20" w:type="dxa"/>
            </w:tcMar>
          </w:tcPr>
          <w:p w14:paraId="590298AB" w14:textId="77777777" w:rsidR="0084406A" w:rsidRDefault="002B18AF">
            <w:pPr>
              <w:textAlignment w:val="top"/>
            </w:pPr>
            <w:hyperlink r:id="rId32" w:anchor="ib7cf537e07124691a6505a5505cd30c3_37" w:history="1">
              <w:r>
                <w:rPr>
                  <w:rStyle w:val="a5"/>
                  <w:rFonts w:ascii="Arial" w:eastAsia="宋体" w:hAnsi="Arial" w:cs="Arial"/>
                  <w:sz w:val="16"/>
                  <w:szCs w:val="16"/>
                </w:rPr>
                <w:t>[Reserved]</w:t>
              </w:r>
            </w:hyperlink>
          </w:p>
        </w:tc>
        <w:tc>
          <w:tcPr>
            <w:tcW w:w="0" w:type="auto"/>
            <w:gridSpan w:val="3"/>
            <w:shd w:val="clear" w:color="auto" w:fill="auto"/>
            <w:tcMar>
              <w:top w:w="40" w:type="dxa"/>
              <w:left w:w="20" w:type="dxa"/>
              <w:bottom w:w="40" w:type="dxa"/>
              <w:right w:w="20" w:type="dxa"/>
            </w:tcMar>
          </w:tcPr>
          <w:p w14:paraId="590298AC" w14:textId="77777777" w:rsidR="0084406A" w:rsidRDefault="002B18AF">
            <w:pPr>
              <w:jc w:val="right"/>
              <w:textAlignment w:val="top"/>
            </w:pPr>
            <w:hyperlink r:id="rId33" w:anchor="ib7cf537e07124691a6505a5505cd30c3_37" w:history="1">
              <w:r>
                <w:rPr>
                  <w:rStyle w:val="a5"/>
                  <w:rFonts w:ascii="Arial" w:eastAsia="宋体" w:hAnsi="Arial" w:cs="Arial"/>
                  <w:sz w:val="16"/>
                  <w:szCs w:val="16"/>
                </w:rPr>
                <w:t>38</w:t>
              </w:r>
            </w:hyperlink>
          </w:p>
        </w:tc>
      </w:tr>
      <w:tr w:rsidR="0084406A" w14:paraId="590298B1" w14:textId="77777777">
        <w:trPr>
          <w:trHeight w:val="60"/>
        </w:trPr>
        <w:tc>
          <w:tcPr>
            <w:tcW w:w="0" w:type="auto"/>
            <w:gridSpan w:val="3"/>
            <w:shd w:val="clear" w:color="auto" w:fill="auto"/>
            <w:tcMar>
              <w:top w:w="0" w:type="dxa"/>
              <w:left w:w="20" w:type="dxa"/>
              <w:bottom w:w="0" w:type="dxa"/>
              <w:right w:w="20" w:type="dxa"/>
            </w:tcMar>
            <w:vAlign w:val="bottom"/>
          </w:tcPr>
          <w:p w14:paraId="590298A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A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B0" w14:textId="77777777" w:rsidR="0084406A" w:rsidRDefault="0084406A">
            <w:pPr>
              <w:rPr>
                <w:rFonts w:ascii="宋体"/>
              </w:rPr>
            </w:pPr>
          </w:p>
        </w:tc>
      </w:tr>
      <w:tr w:rsidR="0084406A" w14:paraId="590298B5" w14:textId="77777777">
        <w:tc>
          <w:tcPr>
            <w:tcW w:w="0" w:type="auto"/>
            <w:gridSpan w:val="3"/>
            <w:shd w:val="clear" w:color="auto" w:fill="auto"/>
            <w:tcMar>
              <w:top w:w="40" w:type="dxa"/>
              <w:left w:w="20" w:type="dxa"/>
              <w:bottom w:w="40" w:type="dxa"/>
              <w:right w:w="20" w:type="dxa"/>
            </w:tcMar>
          </w:tcPr>
          <w:p w14:paraId="590298B2" w14:textId="77777777" w:rsidR="0084406A" w:rsidRDefault="002B18AF">
            <w:pPr>
              <w:textAlignment w:val="top"/>
            </w:pPr>
            <w:hyperlink r:id="rId34" w:anchor="ib7cf537e07124691a6505a5505cd30c3_40" w:history="1">
              <w:r>
                <w:rPr>
                  <w:rStyle w:val="a5"/>
                  <w:rFonts w:ascii="Arial" w:eastAsia="宋体" w:hAnsi="Arial" w:cs="Arial"/>
                  <w:sz w:val="16"/>
                  <w:szCs w:val="16"/>
                </w:rPr>
                <w:t>ITEM 7.</w:t>
              </w:r>
            </w:hyperlink>
          </w:p>
        </w:tc>
        <w:tc>
          <w:tcPr>
            <w:tcW w:w="0" w:type="auto"/>
            <w:gridSpan w:val="3"/>
            <w:shd w:val="clear" w:color="auto" w:fill="auto"/>
            <w:tcMar>
              <w:top w:w="40" w:type="dxa"/>
              <w:left w:w="20" w:type="dxa"/>
              <w:bottom w:w="40" w:type="dxa"/>
              <w:right w:w="20" w:type="dxa"/>
            </w:tcMar>
          </w:tcPr>
          <w:p w14:paraId="590298B3" w14:textId="77777777" w:rsidR="0084406A" w:rsidRDefault="002B18AF">
            <w:pPr>
              <w:textAlignment w:val="top"/>
            </w:pPr>
            <w:hyperlink r:id="rId35" w:anchor="ib7cf537e07124691a6505a5505cd30c3_40" w:history="1">
              <w:r>
                <w:rPr>
                  <w:rStyle w:val="a5"/>
                  <w:rFonts w:ascii="Arial" w:eastAsia="宋体" w:hAnsi="Arial" w:cs="Arial"/>
                  <w:sz w:val="16"/>
                  <w:szCs w:val="16"/>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590298B4" w14:textId="77777777" w:rsidR="0084406A" w:rsidRDefault="002B18AF">
            <w:pPr>
              <w:jc w:val="right"/>
              <w:textAlignment w:val="top"/>
            </w:pPr>
            <w:hyperlink r:id="rId36" w:anchor="ib7cf537e07124691a6505a5505cd30c3_40" w:history="1">
              <w:r>
                <w:rPr>
                  <w:rStyle w:val="a5"/>
                  <w:rFonts w:ascii="Arial" w:eastAsia="宋体" w:hAnsi="Arial" w:cs="Arial"/>
                  <w:sz w:val="16"/>
                  <w:szCs w:val="16"/>
                </w:rPr>
                <w:t>39</w:t>
              </w:r>
            </w:hyperlink>
          </w:p>
        </w:tc>
      </w:tr>
      <w:tr w:rsidR="0084406A" w14:paraId="590298B9" w14:textId="77777777">
        <w:trPr>
          <w:trHeight w:val="60"/>
        </w:trPr>
        <w:tc>
          <w:tcPr>
            <w:tcW w:w="0" w:type="auto"/>
            <w:gridSpan w:val="3"/>
            <w:shd w:val="clear" w:color="auto" w:fill="auto"/>
            <w:tcMar>
              <w:top w:w="0" w:type="dxa"/>
              <w:left w:w="20" w:type="dxa"/>
              <w:bottom w:w="0" w:type="dxa"/>
              <w:right w:w="20" w:type="dxa"/>
            </w:tcMar>
            <w:vAlign w:val="bottom"/>
          </w:tcPr>
          <w:p w14:paraId="590298B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B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B8" w14:textId="77777777" w:rsidR="0084406A" w:rsidRDefault="0084406A">
            <w:pPr>
              <w:rPr>
                <w:rFonts w:ascii="宋体"/>
              </w:rPr>
            </w:pPr>
          </w:p>
        </w:tc>
      </w:tr>
      <w:tr w:rsidR="0084406A" w14:paraId="590298BD" w14:textId="77777777">
        <w:tc>
          <w:tcPr>
            <w:tcW w:w="0" w:type="auto"/>
            <w:gridSpan w:val="3"/>
            <w:shd w:val="clear" w:color="auto" w:fill="auto"/>
            <w:tcMar>
              <w:top w:w="40" w:type="dxa"/>
              <w:left w:w="20" w:type="dxa"/>
              <w:bottom w:w="40" w:type="dxa"/>
              <w:right w:w="20" w:type="dxa"/>
            </w:tcMar>
          </w:tcPr>
          <w:p w14:paraId="590298BA" w14:textId="77777777" w:rsidR="0084406A" w:rsidRDefault="002B18AF">
            <w:pPr>
              <w:textAlignment w:val="top"/>
            </w:pPr>
            <w:hyperlink r:id="rId37" w:anchor="ib7cf537e07124691a6505a5505cd30c3_100" w:history="1">
              <w:r>
                <w:rPr>
                  <w:rStyle w:val="a5"/>
                  <w:rFonts w:ascii="Arial" w:eastAsia="宋体" w:hAnsi="Arial" w:cs="Arial"/>
                  <w:sz w:val="16"/>
                  <w:szCs w:val="16"/>
                </w:rPr>
                <w:t>ITEM 7A.</w:t>
              </w:r>
            </w:hyperlink>
          </w:p>
        </w:tc>
        <w:tc>
          <w:tcPr>
            <w:tcW w:w="0" w:type="auto"/>
            <w:gridSpan w:val="3"/>
            <w:shd w:val="clear" w:color="auto" w:fill="auto"/>
            <w:tcMar>
              <w:top w:w="40" w:type="dxa"/>
              <w:left w:w="20" w:type="dxa"/>
              <w:bottom w:w="40" w:type="dxa"/>
              <w:right w:w="20" w:type="dxa"/>
            </w:tcMar>
          </w:tcPr>
          <w:p w14:paraId="590298BB" w14:textId="77777777" w:rsidR="0084406A" w:rsidRDefault="002B18AF">
            <w:pPr>
              <w:textAlignment w:val="top"/>
            </w:pPr>
            <w:hyperlink r:id="rId38" w:anchor="ib7cf537e07124691a6505a5505cd30c3_100" w:history="1">
              <w:r>
                <w:rPr>
                  <w:rStyle w:val="a5"/>
                  <w:rFonts w:ascii="Arial" w:eastAsia="宋体" w:hAnsi="Arial" w:cs="Arial"/>
                  <w:sz w:val="16"/>
                  <w:szCs w:val="16"/>
                </w:rPr>
                <w:t xml:space="preserve">Quantitative and Qualitative Disclosure About Market Risk </w:t>
              </w:r>
            </w:hyperlink>
          </w:p>
        </w:tc>
        <w:tc>
          <w:tcPr>
            <w:tcW w:w="0" w:type="auto"/>
            <w:gridSpan w:val="3"/>
            <w:shd w:val="clear" w:color="auto" w:fill="auto"/>
            <w:tcMar>
              <w:top w:w="40" w:type="dxa"/>
              <w:left w:w="20" w:type="dxa"/>
              <w:bottom w:w="40" w:type="dxa"/>
              <w:right w:w="20" w:type="dxa"/>
            </w:tcMar>
          </w:tcPr>
          <w:p w14:paraId="590298BC" w14:textId="77777777" w:rsidR="0084406A" w:rsidRDefault="002B18AF">
            <w:pPr>
              <w:jc w:val="right"/>
              <w:textAlignment w:val="top"/>
            </w:pPr>
            <w:hyperlink r:id="rId39" w:anchor="ib7cf537e07124691a6505a5505cd30c3_100" w:history="1">
              <w:r>
                <w:rPr>
                  <w:rStyle w:val="a5"/>
                  <w:rFonts w:ascii="Arial" w:eastAsia="宋体" w:hAnsi="Arial" w:cs="Arial"/>
                  <w:sz w:val="16"/>
                  <w:szCs w:val="16"/>
                </w:rPr>
                <w:t>47</w:t>
              </w:r>
            </w:hyperlink>
          </w:p>
        </w:tc>
      </w:tr>
      <w:tr w:rsidR="0084406A" w14:paraId="590298C1" w14:textId="77777777">
        <w:trPr>
          <w:trHeight w:val="60"/>
        </w:trPr>
        <w:tc>
          <w:tcPr>
            <w:tcW w:w="0" w:type="auto"/>
            <w:gridSpan w:val="3"/>
            <w:shd w:val="clear" w:color="auto" w:fill="auto"/>
            <w:tcMar>
              <w:top w:w="0" w:type="dxa"/>
              <w:left w:w="20" w:type="dxa"/>
              <w:bottom w:w="0" w:type="dxa"/>
              <w:right w:w="20" w:type="dxa"/>
            </w:tcMar>
            <w:vAlign w:val="bottom"/>
          </w:tcPr>
          <w:p w14:paraId="590298B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B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C0" w14:textId="77777777" w:rsidR="0084406A" w:rsidRDefault="0084406A">
            <w:pPr>
              <w:rPr>
                <w:rFonts w:ascii="宋体"/>
              </w:rPr>
            </w:pPr>
          </w:p>
        </w:tc>
      </w:tr>
      <w:tr w:rsidR="0084406A" w14:paraId="590298C5" w14:textId="77777777">
        <w:tc>
          <w:tcPr>
            <w:tcW w:w="0" w:type="auto"/>
            <w:gridSpan w:val="3"/>
            <w:shd w:val="clear" w:color="auto" w:fill="auto"/>
            <w:tcMar>
              <w:top w:w="40" w:type="dxa"/>
              <w:left w:w="20" w:type="dxa"/>
              <w:bottom w:w="40" w:type="dxa"/>
              <w:right w:w="20" w:type="dxa"/>
            </w:tcMar>
          </w:tcPr>
          <w:p w14:paraId="590298C2" w14:textId="77777777" w:rsidR="0084406A" w:rsidRDefault="002B18AF">
            <w:pPr>
              <w:textAlignment w:val="top"/>
            </w:pPr>
            <w:hyperlink r:id="rId40" w:anchor="ib7cf537e07124691a6505a5505cd30c3_103" w:history="1">
              <w:r>
                <w:rPr>
                  <w:rStyle w:val="a5"/>
                  <w:rFonts w:ascii="Arial" w:eastAsia="宋体" w:hAnsi="Arial" w:cs="Arial"/>
                  <w:sz w:val="16"/>
                  <w:szCs w:val="16"/>
                </w:rPr>
                <w:t>ITEM 8.</w:t>
              </w:r>
            </w:hyperlink>
          </w:p>
        </w:tc>
        <w:tc>
          <w:tcPr>
            <w:tcW w:w="0" w:type="auto"/>
            <w:gridSpan w:val="3"/>
            <w:shd w:val="clear" w:color="auto" w:fill="auto"/>
            <w:tcMar>
              <w:top w:w="40" w:type="dxa"/>
              <w:left w:w="20" w:type="dxa"/>
              <w:bottom w:w="40" w:type="dxa"/>
              <w:right w:w="20" w:type="dxa"/>
            </w:tcMar>
          </w:tcPr>
          <w:p w14:paraId="590298C3" w14:textId="77777777" w:rsidR="0084406A" w:rsidRDefault="002B18AF">
            <w:pPr>
              <w:textAlignment w:val="top"/>
            </w:pPr>
            <w:hyperlink r:id="rId41" w:anchor="ib7cf537e07124691a6505a5505cd30c3_103" w:history="1">
              <w:r>
                <w:rPr>
                  <w:rStyle w:val="a5"/>
                  <w:rFonts w:ascii="Arial" w:eastAsia="宋体" w:hAnsi="Arial" w:cs="Arial"/>
                  <w:sz w:val="16"/>
                  <w:szCs w:val="16"/>
                </w:rPr>
                <w:t>Financial Statements and Supplementary Data</w:t>
              </w:r>
            </w:hyperlink>
          </w:p>
        </w:tc>
        <w:tc>
          <w:tcPr>
            <w:tcW w:w="0" w:type="auto"/>
            <w:gridSpan w:val="3"/>
            <w:shd w:val="clear" w:color="auto" w:fill="auto"/>
            <w:tcMar>
              <w:top w:w="40" w:type="dxa"/>
              <w:left w:w="20" w:type="dxa"/>
              <w:bottom w:w="40" w:type="dxa"/>
              <w:right w:w="20" w:type="dxa"/>
            </w:tcMar>
          </w:tcPr>
          <w:p w14:paraId="590298C4" w14:textId="77777777" w:rsidR="0084406A" w:rsidRDefault="002B18AF">
            <w:pPr>
              <w:jc w:val="right"/>
              <w:textAlignment w:val="top"/>
            </w:pPr>
            <w:hyperlink r:id="rId42" w:anchor="ib7cf537e07124691a6505a5505cd30c3_103" w:history="1">
              <w:r>
                <w:rPr>
                  <w:rStyle w:val="a5"/>
                  <w:rFonts w:ascii="Arial" w:eastAsia="宋体" w:hAnsi="Arial" w:cs="Arial"/>
                  <w:sz w:val="16"/>
                  <w:szCs w:val="16"/>
                </w:rPr>
                <w:t>4</w:t>
              </w:r>
              <w:r>
                <w:rPr>
                  <w:rStyle w:val="a5"/>
                  <w:rFonts w:ascii="Arial" w:eastAsia="宋体" w:hAnsi="Arial" w:cs="Arial"/>
                  <w:sz w:val="16"/>
                  <w:szCs w:val="16"/>
                </w:rPr>
                <w:t>8</w:t>
              </w:r>
            </w:hyperlink>
          </w:p>
        </w:tc>
      </w:tr>
      <w:tr w:rsidR="0084406A" w14:paraId="590298C9" w14:textId="77777777">
        <w:trPr>
          <w:trHeight w:val="60"/>
        </w:trPr>
        <w:tc>
          <w:tcPr>
            <w:tcW w:w="0" w:type="auto"/>
            <w:gridSpan w:val="3"/>
            <w:shd w:val="clear" w:color="auto" w:fill="auto"/>
            <w:tcMar>
              <w:top w:w="0" w:type="dxa"/>
              <w:left w:w="20" w:type="dxa"/>
              <w:bottom w:w="0" w:type="dxa"/>
              <w:right w:w="20" w:type="dxa"/>
            </w:tcMar>
            <w:vAlign w:val="bottom"/>
          </w:tcPr>
          <w:p w14:paraId="590298C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C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C8" w14:textId="77777777" w:rsidR="0084406A" w:rsidRDefault="0084406A">
            <w:pPr>
              <w:rPr>
                <w:rFonts w:ascii="宋体"/>
              </w:rPr>
            </w:pPr>
          </w:p>
        </w:tc>
      </w:tr>
      <w:tr w:rsidR="0084406A" w14:paraId="590298CD" w14:textId="77777777">
        <w:tc>
          <w:tcPr>
            <w:tcW w:w="0" w:type="auto"/>
            <w:gridSpan w:val="3"/>
            <w:shd w:val="clear" w:color="auto" w:fill="auto"/>
            <w:tcMar>
              <w:top w:w="40" w:type="dxa"/>
              <w:left w:w="20" w:type="dxa"/>
              <w:bottom w:w="40" w:type="dxa"/>
              <w:right w:w="20" w:type="dxa"/>
            </w:tcMar>
          </w:tcPr>
          <w:p w14:paraId="590298CA" w14:textId="77777777" w:rsidR="0084406A" w:rsidRDefault="002B18AF">
            <w:pPr>
              <w:textAlignment w:val="top"/>
            </w:pPr>
            <w:hyperlink r:id="rId43" w:anchor="ib7cf537e07124691a6505a5505cd30c3_190" w:history="1">
              <w:r>
                <w:rPr>
                  <w:rStyle w:val="a5"/>
                  <w:rFonts w:ascii="Arial" w:eastAsia="宋体" w:hAnsi="Arial" w:cs="Arial"/>
                  <w:sz w:val="16"/>
                  <w:szCs w:val="16"/>
                </w:rPr>
                <w:t>ITEM 9.</w:t>
              </w:r>
            </w:hyperlink>
          </w:p>
        </w:tc>
        <w:tc>
          <w:tcPr>
            <w:tcW w:w="0" w:type="auto"/>
            <w:gridSpan w:val="3"/>
            <w:shd w:val="clear" w:color="auto" w:fill="auto"/>
            <w:tcMar>
              <w:top w:w="40" w:type="dxa"/>
              <w:left w:w="20" w:type="dxa"/>
              <w:bottom w:w="40" w:type="dxa"/>
              <w:right w:w="20" w:type="dxa"/>
            </w:tcMar>
          </w:tcPr>
          <w:p w14:paraId="590298CB" w14:textId="77777777" w:rsidR="0084406A" w:rsidRDefault="002B18AF">
            <w:pPr>
              <w:textAlignment w:val="top"/>
            </w:pPr>
            <w:hyperlink r:id="rId44" w:anchor="ib7cf537e07124691a6505a5505cd30c3_190" w:history="1">
              <w:r>
                <w:rPr>
                  <w:rStyle w:val="a5"/>
                  <w:rFonts w:ascii="Arial" w:eastAsia="宋体" w:hAnsi="Arial" w:cs="Arial"/>
                  <w:sz w:val="16"/>
                  <w:szCs w:val="16"/>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590298CC" w14:textId="77777777" w:rsidR="0084406A" w:rsidRDefault="002B18AF">
            <w:pPr>
              <w:jc w:val="right"/>
              <w:textAlignment w:val="top"/>
            </w:pPr>
            <w:hyperlink r:id="rId45" w:anchor="ib7cf537e07124691a6505a5505cd30c3_190" w:history="1">
              <w:r>
                <w:rPr>
                  <w:rStyle w:val="a5"/>
                  <w:rFonts w:ascii="Arial" w:eastAsia="宋体" w:hAnsi="Arial" w:cs="Arial"/>
                  <w:sz w:val="16"/>
                  <w:szCs w:val="16"/>
                </w:rPr>
                <w:t>85</w:t>
              </w:r>
            </w:hyperlink>
          </w:p>
        </w:tc>
      </w:tr>
      <w:tr w:rsidR="0084406A" w14:paraId="590298D1" w14:textId="77777777">
        <w:trPr>
          <w:trHeight w:val="60"/>
        </w:trPr>
        <w:tc>
          <w:tcPr>
            <w:tcW w:w="0" w:type="auto"/>
            <w:gridSpan w:val="3"/>
            <w:shd w:val="clear" w:color="auto" w:fill="auto"/>
            <w:tcMar>
              <w:top w:w="0" w:type="dxa"/>
              <w:left w:w="20" w:type="dxa"/>
              <w:bottom w:w="0" w:type="dxa"/>
              <w:right w:w="20" w:type="dxa"/>
            </w:tcMar>
            <w:vAlign w:val="bottom"/>
          </w:tcPr>
          <w:p w14:paraId="590298C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C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D0" w14:textId="77777777" w:rsidR="0084406A" w:rsidRDefault="0084406A">
            <w:pPr>
              <w:rPr>
                <w:rFonts w:ascii="宋体"/>
              </w:rPr>
            </w:pPr>
          </w:p>
        </w:tc>
      </w:tr>
      <w:tr w:rsidR="0084406A" w14:paraId="590298D5" w14:textId="77777777">
        <w:tc>
          <w:tcPr>
            <w:tcW w:w="0" w:type="auto"/>
            <w:gridSpan w:val="3"/>
            <w:shd w:val="clear" w:color="auto" w:fill="auto"/>
            <w:tcMar>
              <w:top w:w="40" w:type="dxa"/>
              <w:left w:w="20" w:type="dxa"/>
              <w:bottom w:w="40" w:type="dxa"/>
              <w:right w:w="20" w:type="dxa"/>
            </w:tcMar>
          </w:tcPr>
          <w:p w14:paraId="590298D2" w14:textId="77777777" w:rsidR="0084406A" w:rsidRDefault="002B18AF">
            <w:pPr>
              <w:textAlignment w:val="top"/>
            </w:pPr>
            <w:hyperlink r:id="rId46" w:anchor="ib7cf537e07124691a6505a5505cd30c3_193" w:history="1">
              <w:r>
                <w:rPr>
                  <w:rStyle w:val="a5"/>
                  <w:rFonts w:ascii="Arial" w:eastAsia="宋体" w:hAnsi="Arial" w:cs="Arial"/>
                  <w:sz w:val="16"/>
                  <w:szCs w:val="16"/>
                </w:rPr>
                <w:t>ITEM 9A.</w:t>
              </w:r>
            </w:hyperlink>
          </w:p>
        </w:tc>
        <w:tc>
          <w:tcPr>
            <w:tcW w:w="0" w:type="auto"/>
            <w:gridSpan w:val="3"/>
            <w:shd w:val="clear" w:color="auto" w:fill="auto"/>
            <w:tcMar>
              <w:top w:w="40" w:type="dxa"/>
              <w:left w:w="20" w:type="dxa"/>
              <w:bottom w:w="40" w:type="dxa"/>
              <w:right w:w="20" w:type="dxa"/>
            </w:tcMar>
          </w:tcPr>
          <w:p w14:paraId="590298D3" w14:textId="77777777" w:rsidR="0084406A" w:rsidRDefault="002B18AF">
            <w:pPr>
              <w:textAlignment w:val="top"/>
            </w:pPr>
            <w:hyperlink r:id="rId47" w:anchor="ib7cf537e07124691a6505a5505cd30c3_193" w:history="1">
              <w:r>
                <w:rPr>
                  <w:rStyle w:val="a5"/>
                  <w:rFonts w:ascii="Arial" w:eastAsia="宋体" w:hAnsi="Arial" w:cs="Arial"/>
                  <w:sz w:val="16"/>
                  <w:szCs w:val="16"/>
                </w:rPr>
                <w:t>Controls and Procedures</w:t>
              </w:r>
            </w:hyperlink>
          </w:p>
        </w:tc>
        <w:tc>
          <w:tcPr>
            <w:tcW w:w="0" w:type="auto"/>
            <w:gridSpan w:val="3"/>
            <w:shd w:val="clear" w:color="auto" w:fill="auto"/>
            <w:tcMar>
              <w:top w:w="40" w:type="dxa"/>
              <w:left w:w="20" w:type="dxa"/>
              <w:bottom w:w="40" w:type="dxa"/>
              <w:right w:w="20" w:type="dxa"/>
            </w:tcMar>
          </w:tcPr>
          <w:p w14:paraId="590298D4" w14:textId="77777777" w:rsidR="0084406A" w:rsidRDefault="002B18AF">
            <w:pPr>
              <w:jc w:val="right"/>
              <w:textAlignment w:val="top"/>
            </w:pPr>
            <w:hyperlink r:id="rId48" w:anchor="ib7cf537e07124691a6505a5505cd30c3_193" w:history="1">
              <w:r>
                <w:rPr>
                  <w:rStyle w:val="a5"/>
                  <w:rFonts w:ascii="Arial" w:eastAsia="宋体" w:hAnsi="Arial" w:cs="Arial"/>
                  <w:sz w:val="16"/>
                  <w:szCs w:val="16"/>
                </w:rPr>
                <w:t>85</w:t>
              </w:r>
            </w:hyperlink>
          </w:p>
        </w:tc>
      </w:tr>
      <w:tr w:rsidR="0084406A" w14:paraId="590298D9" w14:textId="77777777">
        <w:trPr>
          <w:trHeight w:val="60"/>
        </w:trPr>
        <w:tc>
          <w:tcPr>
            <w:tcW w:w="0" w:type="auto"/>
            <w:gridSpan w:val="3"/>
            <w:shd w:val="clear" w:color="auto" w:fill="auto"/>
            <w:tcMar>
              <w:top w:w="0" w:type="dxa"/>
              <w:left w:w="20" w:type="dxa"/>
              <w:bottom w:w="0" w:type="dxa"/>
              <w:right w:w="20" w:type="dxa"/>
            </w:tcMar>
            <w:vAlign w:val="bottom"/>
          </w:tcPr>
          <w:p w14:paraId="590298D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D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D8" w14:textId="77777777" w:rsidR="0084406A" w:rsidRDefault="0084406A">
            <w:pPr>
              <w:rPr>
                <w:rFonts w:ascii="宋体"/>
              </w:rPr>
            </w:pPr>
          </w:p>
        </w:tc>
      </w:tr>
      <w:tr w:rsidR="0084406A" w14:paraId="590298DD" w14:textId="77777777">
        <w:tc>
          <w:tcPr>
            <w:tcW w:w="0" w:type="auto"/>
            <w:gridSpan w:val="3"/>
            <w:shd w:val="clear" w:color="auto" w:fill="auto"/>
            <w:tcMar>
              <w:top w:w="40" w:type="dxa"/>
              <w:left w:w="20" w:type="dxa"/>
              <w:bottom w:w="40" w:type="dxa"/>
              <w:right w:w="20" w:type="dxa"/>
            </w:tcMar>
          </w:tcPr>
          <w:p w14:paraId="590298DA" w14:textId="77777777" w:rsidR="0084406A" w:rsidRDefault="002B18AF">
            <w:pPr>
              <w:textAlignment w:val="top"/>
            </w:pPr>
            <w:hyperlink r:id="rId49" w:anchor="ib7cf537e07124691a6505a5505cd30c3_196" w:history="1">
              <w:r>
                <w:rPr>
                  <w:rStyle w:val="a5"/>
                  <w:rFonts w:ascii="Arial" w:eastAsia="宋体" w:hAnsi="Arial" w:cs="Arial"/>
                  <w:sz w:val="16"/>
                  <w:szCs w:val="16"/>
                </w:rPr>
                <w:t>ITEM 9B.</w:t>
              </w:r>
            </w:hyperlink>
          </w:p>
        </w:tc>
        <w:tc>
          <w:tcPr>
            <w:tcW w:w="0" w:type="auto"/>
            <w:gridSpan w:val="3"/>
            <w:shd w:val="clear" w:color="auto" w:fill="auto"/>
            <w:tcMar>
              <w:top w:w="40" w:type="dxa"/>
              <w:left w:w="20" w:type="dxa"/>
              <w:bottom w:w="40" w:type="dxa"/>
              <w:right w:w="20" w:type="dxa"/>
            </w:tcMar>
          </w:tcPr>
          <w:p w14:paraId="590298DB" w14:textId="77777777" w:rsidR="0084406A" w:rsidRDefault="002B18AF">
            <w:pPr>
              <w:textAlignment w:val="top"/>
            </w:pPr>
            <w:hyperlink r:id="rId50" w:anchor="ib7cf537e07124691a6505a5505cd30c3_196" w:history="1">
              <w:r>
                <w:rPr>
                  <w:rStyle w:val="a5"/>
                  <w:rFonts w:ascii="Arial" w:eastAsia="宋体" w:hAnsi="Arial" w:cs="Arial"/>
                  <w:sz w:val="16"/>
                  <w:szCs w:val="16"/>
                </w:rPr>
                <w:t>Other Information</w:t>
              </w:r>
            </w:hyperlink>
          </w:p>
        </w:tc>
        <w:tc>
          <w:tcPr>
            <w:tcW w:w="0" w:type="auto"/>
            <w:gridSpan w:val="3"/>
            <w:shd w:val="clear" w:color="auto" w:fill="auto"/>
            <w:tcMar>
              <w:top w:w="40" w:type="dxa"/>
              <w:left w:w="20" w:type="dxa"/>
              <w:bottom w:w="40" w:type="dxa"/>
              <w:right w:w="20" w:type="dxa"/>
            </w:tcMar>
          </w:tcPr>
          <w:p w14:paraId="590298DC" w14:textId="77777777" w:rsidR="0084406A" w:rsidRDefault="002B18AF">
            <w:pPr>
              <w:jc w:val="right"/>
              <w:textAlignment w:val="top"/>
            </w:pPr>
            <w:hyperlink r:id="rId51" w:anchor="ib7cf537e07124691a6505a5505cd30c3_196" w:history="1">
              <w:r>
                <w:rPr>
                  <w:rStyle w:val="a5"/>
                  <w:rFonts w:ascii="Arial" w:eastAsia="宋体" w:hAnsi="Arial" w:cs="Arial"/>
                  <w:sz w:val="16"/>
                  <w:szCs w:val="16"/>
                </w:rPr>
                <w:t>86</w:t>
              </w:r>
            </w:hyperlink>
          </w:p>
        </w:tc>
      </w:tr>
      <w:tr w:rsidR="0084406A" w14:paraId="590298E1" w14:textId="77777777">
        <w:trPr>
          <w:trHeight w:val="60"/>
        </w:trPr>
        <w:tc>
          <w:tcPr>
            <w:tcW w:w="0" w:type="auto"/>
            <w:gridSpan w:val="3"/>
            <w:shd w:val="clear" w:color="auto" w:fill="auto"/>
            <w:tcMar>
              <w:top w:w="0" w:type="dxa"/>
              <w:left w:w="20" w:type="dxa"/>
              <w:bottom w:w="0" w:type="dxa"/>
              <w:right w:w="20" w:type="dxa"/>
            </w:tcMar>
            <w:vAlign w:val="bottom"/>
          </w:tcPr>
          <w:p w14:paraId="590298D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D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E0" w14:textId="77777777" w:rsidR="0084406A" w:rsidRDefault="0084406A">
            <w:pPr>
              <w:rPr>
                <w:rFonts w:ascii="宋体"/>
              </w:rPr>
            </w:pPr>
          </w:p>
        </w:tc>
      </w:tr>
      <w:tr w:rsidR="0084406A" w14:paraId="590298E5" w14:textId="77777777">
        <w:tc>
          <w:tcPr>
            <w:tcW w:w="0" w:type="auto"/>
            <w:gridSpan w:val="3"/>
            <w:shd w:val="clear" w:color="auto" w:fill="auto"/>
            <w:tcMar>
              <w:top w:w="40" w:type="dxa"/>
              <w:left w:w="20" w:type="dxa"/>
              <w:bottom w:w="40" w:type="dxa"/>
              <w:right w:w="20" w:type="dxa"/>
            </w:tcMar>
          </w:tcPr>
          <w:p w14:paraId="590298E2" w14:textId="77777777" w:rsidR="0084406A" w:rsidRDefault="002B18AF">
            <w:pPr>
              <w:textAlignment w:val="top"/>
            </w:pPr>
            <w:hyperlink r:id="rId52" w:anchor="ib7cf537e07124691a6505a5505cd30c3_1936" w:history="1">
              <w:r>
                <w:rPr>
                  <w:rStyle w:val="a5"/>
                  <w:rFonts w:ascii="Arial" w:eastAsia="宋体" w:hAnsi="Arial" w:cs="Arial"/>
                  <w:sz w:val="16"/>
                  <w:szCs w:val="16"/>
                </w:rPr>
                <w:t>ITEM 9C.</w:t>
              </w:r>
            </w:hyperlink>
          </w:p>
        </w:tc>
        <w:tc>
          <w:tcPr>
            <w:tcW w:w="0" w:type="auto"/>
            <w:gridSpan w:val="3"/>
            <w:shd w:val="clear" w:color="auto" w:fill="auto"/>
            <w:tcMar>
              <w:top w:w="40" w:type="dxa"/>
              <w:left w:w="20" w:type="dxa"/>
              <w:bottom w:w="40" w:type="dxa"/>
              <w:right w:w="20" w:type="dxa"/>
            </w:tcMar>
          </w:tcPr>
          <w:p w14:paraId="590298E3" w14:textId="77777777" w:rsidR="0084406A" w:rsidRDefault="002B18AF">
            <w:pPr>
              <w:textAlignment w:val="top"/>
            </w:pPr>
            <w:hyperlink r:id="rId53" w:anchor="ib7cf537e07124691a6505a5505cd30c3_1936" w:history="1">
              <w:r>
                <w:rPr>
                  <w:rStyle w:val="a5"/>
                  <w:rFonts w:ascii="Arial" w:eastAsia="宋体" w:hAnsi="Arial" w:cs="Arial"/>
                  <w:sz w:val="16"/>
                  <w:szCs w:val="16"/>
                </w:rPr>
                <w:t>Disclosures Regarding Foreign Jurisdictions that Prevent Inspections</w:t>
              </w:r>
            </w:hyperlink>
          </w:p>
        </w:tc>
        <w:tc>
          <w:tcPr>
            <w:tcW w:w="0" w:type="auto"/>
            <w:gridSpan w:val="3"/>
            <w:shd w:val="clear" w:color="auto" w:fill="auto"/>
            <w:tcMar>
              <w:top w:w="40" w:type="dxa"/>
              <w:left w:w="20" w:type="dxa"/>
              <w:bottom w:w="40" w:type="dxa"/>
              <w:right w:w="20" w:type="dxa"/>
            </w:tcMar>
          </w:tcPr>
          <w:p w14:paraId="590298E4" w14:textId="77777777" w:rsidR="0084406A" w:rsidRDefault="002B18AF">
            <w:pPr>
              <w:jc w:val="right"/>
              <w:textAlignment w:val="top"/>
            </w:pPr>
            <w:hyperlink r:id="rId54" w:anchor="ib7cf537e07124691a6505a5505cd30c3_1936" w:history="1">
              <w:r>
                <w:rPr>
                  <w:rStyle w:val="a5"/>
                  <w:rFonts w:ascii="Arial" w:eastAsia="宋体" w:hAnsi="Arial" w:cs="Arial"/>
                  <w:sz w:val="16"/>
                  <w:szCs w:val="16"/>
                </w:rPr>
                <w:t>86</w:t>
              </w:r>
            </w:hyperlink>
          </w:p>
        </w:tc>
      </w:tr>
      <w:tr w:rsidR="0084406A" w14:paraId="590298E9" w14:textId="77777777">
        <w:trPr>
          <w:trHeight w:val="60"/>
        </w:trPr>
        <w:tc>
          <w:tcPr>
            <w:tcW w:w="0" w:type="auto"/>
            <w:gridSpan w:val="3"/>
            <w:shd w:val="clear" w:color="auto" w:fill="auto"/>
            <w:tcMar>
              <w:top w:w="0" w:type="dxa"/>
              <w:left w:w="20" w:type="dxa"/>
              <w:bottom w:w="0" w:type="dxa"/>
              <w:right w:w="20" w:type="dxa"/>
            </w:tcMar>
            <w:vAlign w:val="bottom"/>
          </w:tcPr>
          <w:p w14:paraId="590298E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E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E8" w14:textId="77777777" w:rsidR="0084406A" w:rsidRDefault="0084406A">
            <w:pPr>
              <w:rPr>
                <w:rFonts w:ascii="宋体"/>
              </w:rPr>
            </w:pPr>
          </w:p>
        </w:tc>
      </w:tr>
      <w:tr w:rsidR="0084406A" w14:paraId="590298ED" w14:textId="77777777">
        <w:tc>
          <w:tcPr>
            <w:tcW w:w="0" w:type="auto"/>
            <w:gridSpan w:val="3"/>
            <w:shd w:val="clear" w:color="auto" w:fill="auto"/>
            <w:tcMar>
              <w:top w:w="40" w:type="dxa"/>
              <w:left w:w="20" w:type="dxa"/>
              <w:bottom w:w="40" w:type="dxa"/>
              <w:right w:w="20" w:type="dxa"/>
            </w:tcMar>
          </w:tcPr>
          <w:p w14:paraId="590298EA" w14:textId="77777777" w:rsidR="0084406A" w:rsidRDefault="002B18AF">
            <w:pPr>
              <w:textAlignment w:val="top"/>
            </w:pPr>
            <w:hyperlink r:id="rId55" w:anchor="ib7cf537e07124691a6505a5505cd30c3_199" w:history="1">
              <w:r>
                <w:rPr>
                  <w:rStyle w:val="a5"/>
                  <w:rFonts w:ascii="Arial" w:eastAsia="宋体" w:hAnsi="Arial" w:cs="Arial"/>
                  <w:b/>
                  <w:bCs/>
                  <w:sz w:val="16"/>
                  <w:szCs w:val="16"/>
                </w:rPr>
                <w:t>PART III</w:t>
              </w:r>
            </w:hyperlink>
          </w:p>
        </w:tc>
        <w:tc>
          <w:tcPr>
            <w:tcW w:w="0" w:type="auto"/>
            <w:gridSpan w:val="3"/>
            <w:shd w:val="clear" w:color="auto" w:fill="auto"/>
            <w:tcMar>
              <w:top w:w="0" w:type="dxa"/>
              <w:left w:w="20" w:type="dxa"/>
              <w:bottom w:w="0" w:type="dxa"/>
              <w:right w:w="20" w:type="dxa"/>
            </w:tcMar>
            <w:vAlign w:val="bottom"/>
          </w:tcPr>
          <w:p w14:paraId="590298E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8EC" w14:textId="77777777" w:rsidR="0084406A" w:rsidRDefault="002B18AF">
            <w:pPr>
              <w:jc w:val="right"/>
              <w:textAlignment w:val="top"/>
            </w:pPr>
            <w:hyperlink r:id="rId56" w:anchor="ib7cf537e07124691a6505a5505cd30c3_199" w:history="1">
              <w:r>
                <w:rPr>
                  <w:rStyle w:val="a5"/>
                  <w:rFonts w:ascii="Arial" w:eastAsia="宋体" w:hAnsi="Arial" w:cs="Arial"/>
                  <w:sz w:val="16"/>
                  <w:szCs w:val="16"/>
                </w:rPr>
                <w:t>87</w:t>
              </w:r>
            </w:hyperlink>
          </w:p>
        </w:tc>
      </w:tr>
      <w:tr w:rsidR="0084406A" w14:paraId="590298F1" w14:textId="77777777">
        <w:trPr>
          <w:trHeight w:val="60"/>
        </w:trPr>
        <w:tc>
          <w:tcPr>
            <w:tcW w:w="0" w:type="auto"/>
            <w:gridSpan w:val="3"/>
            <w:shd w:val="clear" w:color="auto" w:fill="auto"/>
            <w:tcMar>
              <w:top w:w="0" w:type="dxa"/>
              <w:left w:w="20" w:type="dxa"/>
              <w:bottom w:w="0" w:type="dxa"/>
              <w:right w:w="20" w:type="dxa"/>
            </w:tcMar>
            <w:vAlign w:val="bottom"/>
          </w:tcPr>
          <w:p w14:paraId="590298E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E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F0" w14:textId="77777777" w:rsidR="0084406A" w:rsidRDefault="0084406A">
            <w:pPr>
              <w:rPr>
                <w:rFonts w:ascii="宋体"/>
              </w:rPr>
            </w:pPr>
          </w:p>
        </w:tc>
      </w:tr>
      <w:tr w:rsidR="0084406A" w14:paraId="590298F5" w14:textId="77777777">
        <w:tc>
          <w:tcPr>
            <w:tcW w:w="0" w:type="auto"/>
            <w:gridSpan w:val="3"/>
            <w:shd w:val="clear" w:color="auto" w:fill="auto"/>
            <w:tcMar>
              <w:top w:w="40" w:type="dxa"/>
              <w:left w:w="20" w:type="dxa"/>
              <w:bottom w:w="40" w:type="dxa"/>
              <w:right w:w="20" w:type="dxa"/>
            </w:tcMar>
          </w:tcPr>
          <w:p w14:paraId="590298F2" w14:textId="77777777" w:rsidR="0084406A" w:rsidRDefault="002B18AF">
            <w:pPr>
              <w:textAlignment w:val="top"/>
            </w:pPr>
            <w:hyperlink r:id="rId57" w:anchor="ib7cf537e07124691a6505a5505cd30c3_202" w:history="1">
              <w:r>
                <w:rPr>
                  <w:rStyle w:val="a5"/>
                  <w:rFonts w:ascii="Arial" w:eastAsia="宋体" w:hAnsi="Arial" w:cs="Arial"/>
                  <w:sz w:val="16"/>
                  <w:szCs w:val="16"/>
                </w:rPr>
                <w:t>ITEM 10.</w:t>
              </w:r>
            </w:hyperlink>
          </w:p>
        </w:tc>
        <w:tc>
          <w:tcPr>
            <w:tcW w:w="0" w:type="auto"/>
            <w:gridSpan w:val="3"/>
            <w:shd w:val="clear" w:color="auto" w:fill="auto"/>
            <w:tcMar>
              <w:top w:w="40" w:type="dxa"/>
              <w:left w:w="20" w:type="dxa"/>
              <w:bottom w:w="40" w:type="dxa"/>
              <w:right w:w="20" w:type="dxa"/>
            </w:tcMar>
          </w:tcPr>
          <w:p w14:paraId="590298F3" w14:textId="77777777" w:rsidR="0084406A" w:rsidRDefault="002B18AF">
            <w:pPr>
              <w:textAlignment w:val="top"/>
            </w:pPr>
            <w:hyperlink r:id="rId58" w:anchor="ib7cf537e07124691a6505a5505cd30c3_202" w:history="1">
              <w:r>
                <w:rPr>
                  <w:rStyle w:val="a5"/>
                  <w:rFonts w:ascii="Arial" w:eastAsia="宋体" w:hAnsi="Arial" w:cs="Arial"/>
                  <w:sz w:val="16"/>
                  <w:szCs w:val="16"/>
                </w:rPr>
                <w:t>Directors, Executive Officers and Corporate Governance</w:t>
              </w:r>
            </w:hyperlink>
          </w:p>
        </w:tc>
        <w:tc>
          <w:tcPr>
            <w:tcW w:w="0" w:type="auto"/>
            <w:gridSpan w:val="3"/>
            <w:shd w:val="clear" w:color="auto" w:fill="auto"/>
            <w:tcMar>
              <w:top w:w="40" w:type="dxa"/>
              <w:left w:w="20" w:type="dxa"/>
              <w:bottom w:w="40" w:type="dxa"/>
              <w:right w:w="20" w:type="dxa"/>
            </w:tcMar>
          </w:tcPr>
          <w:p w14:paraId="590298F4" w14:textId="77777777" w:rsidR="0084406A" w:rsidRDefault="002B18AF">
            <w:pPr>
              <w:jc w:val="right"/>
              <w:textAlignment w:val="top"/>
            </w:pPr>
            <w:hyperlink r:id="rId59" w:anchor="ib7cf537e07124691a6505a5505cd30c3_202" w:history="1">
              <w:r>
                <w:rPr>
                  <w:rStyle w:val="a5"/>
                  <w:rFonts w:ascii="Arial" w:eastAsia="宋体" w:hAnsi="Arial" w:cs="Arial"/>
                  <w:sz w:val="16"/>
                  <w:szCs w:val="16"/>
                </w:rPr>
                <w:t>87</w:t>
              </w:r>
            </w:hyperlink>
          </w:p>
        </w:tc>
      </w:tr>
      <w:tr w:rsidR="0084406A" w14:paraId="590298F9" w14:textId="77777777">
        <w:trPr>
          <w:trHeight w:val="60"/>
        </w:trPr>
        <w:tc>
          <w:tcPr>
            <w:tcW w:w="0" w:type="auto"/>
            <w:gridSpan w:val="3"/>
            <w:shd w:val="clear" w:color="auto" w:fill="auto"/>
            <w:tcMar>
              <w:top w:w="0" w:type="dxa"/>
              <w:left w:w="20" w:type="dxa"/>
              <w:bottom w:w="0" w:type="dxa"/>
              <w:right w:w="20" w:type="dxa"/>
            </w:tcMar>
            <w:vAlign w:val="bottom"/>
          </w:tcPr>
          <w:p w14:paraId="590298F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F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F8" w14:textId="77777777" w:rsidR="0084406A" w:rsidRDefault="0084406A">
            <w:pPr>
              <w:rPr>
                <w:rFonts w:ascii="宋体"/>
              </w:rPr>
            </w:pPr>
          </w:p>
        </w:tc>
      </w:tr>
      <w:tr w:rsidR="0084406A" w14:paraId="590298FD" w14:textId="77777777">
        <w:tc>
          <w:tcPr>
            <w:tcW w:w="0" w:type="auto"/>
            <w:gridSpan w:val="3"/>
            <w:shd w:val="clear" w:color="auto" w:fill="auto"/>
            <w:tcMar>
              <w:top w:w="40" w:type="dxa"/>
              <w:left w:w="20" w:type="dxa"/>
              <w:bottom w:w="40" w:type="dxa"/>
              <w:right w:w="20" w:type="dxa"/>
            </w:tcMar>
          </w:tcPr>
          <w:p w14:paraId="590298FA" w14:textId="77777777" w:rsidR="0084406A" w:rsidRDefault="002B18AF">
            <w:pPr>
              <w:textAlignment w:val="top"/>
            </w:pPr>
            <w:hyperlink r:id="rId60" w:anchor="ib7cf537e07124691a6505a5505cd30c3_205" w:history="1">
              <w:r>
                <w:rPr>
                  <w:rStyle w:val="a5"/>
                  <w:rFonts w:ascii="Arial" w:eastAsia="宋体" w:hAnsi="Arial" w:cs="Arial"/>
                  <w:sz w:val="16"/>
                  <w:szCs w:val="16"/>
                </w:rPr>
                <w:t>ITEM 11.</w:t>
              </w:r>
            </w:hyperlink>
          </w:p>
        </w:tc>
        <w:tc>
          <w:tcPr>
            <w:tcW w:w="0" w:type="auto"/>
            <w:gridSpan w:val="3"/>
            <w:shd w:val="clear" w:color="auto" w:fill="auto"/>
            <w:tcMar>
              <w:top w:w="40" w:type="dxa"/>
              <w:left w:w="20" w:type="dxa"/>
              <w:bottom w:w="40" w:type="dxa"/>
              <w:right w:w="20" w:type="dxa"/>
            </w:tcMar>
          </w:tcPr>
          <w:p w14:paraId="590298FB" w14:textId="77777777" w:rsidR="0084406A" w:rsidRDefault="002B18AF">
            <w:pPr>
              <w:textAlignment w:val="top"/>
            </w:pPr>
            <w:hyperlink r:id="rId61" w:anchor="ib7cf537e07124691a6505a5505cd30c3_205" w:history="1">
              <w:r>
                <w:rPr>
                  <w:rStyle w:val="a5"/>
                  <w:rFonts w:ascii="Arial" w:eastAsia="宋体" w:hAnsi="Arial" w:cs="Arial"/>
                  <w:sz w:val="16"/>
                  <w:szCs w:val="16"/>
                </w:rPr>
                <w:t>Executive Compensation</w:t>
              </w:r>
            </w:hyperlink>
          </w:p>
        </w:tc>
        <w:tc>
          <w:tcPr>
            <w:tcW w:w="0" w:type="auto"/>
            <w:gridSpan w:val="3"/>
            <w:shd w:val="clear" w:color="auto" w:fill="auto"/>
            <w:tcMar>
              <w:top w:w="40" w:type="dxa"/>
              <w:left w:w="20" w:type="dxa"/>
              <w:bottom w:w="40" w:type="dxa"/>
              <w:right w:w="20" w:type="dxa"/>
            </w:tcMar>
          </w:tcPr>
          <w:p w14:paraId="590298FC" w14:textId="77777777" w:rsidR="0084406A" w:rsidRDefault="002B18AF">
            <w:pPr>
              <w:jc w:val="right"/>
              <w:textAlignment w:val="top"/>
            </w:pPr>
            <w:hyperlink r:id="rId62" w:anchor="ib7cf537e07124691a6505a5505cd30c3_205" w:history="1">
              <w:r>
                <w:rPr>
                  <w:rStyle w:val="a5"/>
                  <w:rFonts w:ascii="Arial" w:eastAsia="宋体" w:hAnsi="Arial" w:cs="Arial"/>
                  <w:sz w:val="16"/>
                  <w:szCs w:val="16"/>
                </w:rPr>
                <w:t>87</w:t>
              </w:r>
            </w:hyperlink>
          </w:p>
        </w:tc>
      </w:tr>
      <w:tr w:rsidR="0084406A" w14:paraId="59029901" w14:textId="77777777">
        <w:trPr>
          <w:trHeight w:val="60"/>
        </w:trPr>
        <w:tc>
          <w:tcPr>
            <w:tcW w:w="0" w:type="auto"/>
            <w:gridSpan w:val="3"/>
            <w:shd w:val="clear" w:color="auto" w:fill="auto"/>
            <w:tcMar>
              <w:top w:w="0" w:type="dxa"/>
              <w:left w:w="20" w:type="dxa"/>
              <w:bottom w:w="0" w:type="dxa"/>
              <w:right w:w="20" w:type="dxa"/>
            </w:tcMar>
            <w:vAlign w:val="bottom"/>
          </w:tcPr>
          <w:p w14:paraId="590298F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8F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00" w14:textId="77777777" w:rsidR="0084406A" w:rsidRDefault="0084406A">
            <w:pPr>
              <w:rPr>
                <w:rFonts w:ascii="宋体"/>
              </w:rPr>
            </w:pPr>
          </w:p>
        </w:tc>
      </w:tr>
      <w:tr w:rsidR="0084406A" w14:paraId="59029905" w14:textId="77777777">
        <w:tc>
          <w:tcPr>
            <w:tcW w:w="0" w:type="auto"/>
            <w:gridSpan w:val="3"/>
            <w:shd w:val="clear" w:color="auto" w:fill="auto"/>
            <w:tcMar>
              <w:top w:w="40" w:type="dxa"/>
              <w:left w:w="20" w:type="dxa"/>
              <w:bottom w:w="40" w:type="dxa"/>
              <w:right w:w="20" w:type="dxa"/>
            </w:tcMar>
          </w:tcPr>
          <w:p w14:paraId="59029902" w14:textId="77777777" w:rsidR="0084406A" w:rsidRDefault="002B18AF">
            <w:pPr>
              <w:textAlignment w:val="top"/>
            </w:pPr>
            <w:hyperlink r:id="rId63" w:anchor="ib7cf537e07124691a6505a5505cd30c3_208" w:history="1">
              <w:r>
                <w:rPr>
                  <w:rStyle w:val="a5"/>
                  <w:rFonts w:ascii="Arial" w:eastAsia="宋体" w:hAnsi="Arial" w:cs="Arial"/>
                  <w:sz w:val="16"/>
                  <w:szCs w:val="16"/>
                </w:rPr>
                <w:t>ITEM 12.</w:t>
              </w:r>
            </w:hyperlink>
          </w:p>
        </w:tc>
        <w:tc>
          <w:tcPr>
            <w:tcW w:w="0" w:type="auto"/>
            <w:gridSpan w:val="3"/>
            <w:shd w:val="clear" w:color="auto" w:fill="auto"/>
            <w:tcMar>
              <w:top w:w="40" w:type="dxa"/>
              <w:left w:w="20" w:type="dxa"/>
              <w:bottom w:w="40" w:type="dxa"/>
              <w:right w:w="20" w:type="dxa"/>
            </w:tcMar>
          </w:tcPr>
          <w:p w14:paraId="59029903" w14:textId="77777777" w:rsidR="0084406A" w:rsidRDefault="002B18AF">
            <w:pPr>
              <w:textAlignment w:val="top"/>
            </w:pPr>
            <w:hyperlink r:id="rId64" w:anchor="ib7cf537e07124691a6505a5505cd30c3_208" w:history="1">
              <w:r>
                <w:rPr>
                  <w:rStyle w:val="a5"/>
                  <w:rFonts w:ascii="Arial" w:eastAsia="宋体" w:hAnsi="Arial" w:cs="Arial"/>
                  <w:sz w:val="16"/>
                  <w:szCs w:val="16"/>
                </w:rPr>
                <w:t>Security Ownership of Certain Benefi</w:t>
              </w:r>
              <w:r>
                <w:rPr>
                  <w:rStyle w:val="a5"/>
                  <w:rFonts w:ascii="Arial" w:eastAsia="宋体" w:hAnsi="Arial" w:cs="Arial"/>
                  <w:sz w:val="16"/>
                  <w:szCs w:val="16"/>
                </w:rPr>
                <w:t xml:space="preserve">cial Owners and Management and Related Stockholder Matters </w:t>
              </w:r>
            </w:hyperlink>
          </w:p>
        </w:tc>
        <w:tc>
          <w:tcPr>
            <w:tcW w:w="0" w:type="auto"/>
            <w:gridSpan w:val="3"/>
            <w:shd w:val="clear" w:color="auto" w:fill="auto"/>
            <w:tcMar>
              <w:top w:w="40" w:type="dxa"/>
              <w:left w:w="20" w:type="dxa"/>
              <w:bottom w:w="40" w:type="dxa"/>
              <w:right w:w="20" w:type="dxa"/>
            </w:tcMar>
          </w:tcPr>
          <w:p w14:paraId="59029904" w14:textId="77777777" w:rsidR="0084406A" w:rsidRDefault="002B18AF">
            <w:pPr>
              <w:jc w:val="right"/>
              <w:textAlignment w:val="top"/>
            </w:pPr>
            <w:hyperlink r:id="rId65" w:anchor="ib7cf537e07124691a6505a5505cd30c3_208" w:history="1">
              <w:r>
                <w:rPr>
                  <w:rStyle w:val="a5"/>
                  <w:rFonts w:ascii="Arial" w:eastAsia="宋体" w:hAnsi="Arial" w:cs="Arial"/>
                  <w:sz w:val="16"/>
                  <w:szCs w:val="16"/>
                </w:rPr>
                <w:t>87</w:t>
              </w:r>
            </w:hyperlink>
          </w:p>
        </w:tc>
      </w:tr>
      <w:tr w:rsidR="0084406A" w14:paraId="59029909" w14:textId="77777777">
        <w:trPr>
          <w:trHeight w:val="60"/>
        </w:trPr>
        <w:tc>
          <w:tcPr>
            <w:tcW w:w="0" w:type="auto"/>
            <w:gridSpan w:val="3"/>
            <w:shd w:val="clear" w:color="auto" w:fill="auto"/>
            <w:tcMar>
              <w:top w:w="0" w:type="dxa"/>
              <w:left w:w="20" w:type="dxa"/>
              <w:bottom w:w="0" w:type="dxa"/>
              <w:right w:w="20" w:type="dxa"/>
            </w:tcMar>
            <w:vAlign w:val="bottom"/>
          </w:tcPr>
          <w:p w14:paraId="5902990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0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08" w14:textId="77777777" w:rsidR="0084406A" w:rsidRDefault="0084406A">
            <w:pPr>
              <w:rPr>
                <w:rFonts w:ascii="宋体"/>
              </w:rPr>
            </w:pPr>
          </w:p>
        </w:tc>
      </w:tr>
      <w:tr w:rsidR="0084406A" w14:paraId="5902990D" w14:textId="77777777">
        <w:tc>
          <w:tcPr>
            <w:tcW w:w="0" w:type="auto"/>
            <w:gridSpan w:val="3"/>
            <w:shd w:val="clear" w:color="auto" w:fill="auto"/>
            <w:tcMar>
              <w:top w:w="40" w:type="dxa"/>
              <w:left w:w="20" w:type="dxa"/>
              <w:bottom w:w="40" w:type="dxa"/>
              <w:right w:w="20" w:type="dxa"/>
            </w:tcMar>
          </w:tcPr>
          <w:p w14:paraId="5902990A" w14:textId="77777777" w:rsidR="0084406A" w:rsidRDefault="002B18AF">
            <w:pPr>
              <w:textAlignment w:val="top"/>
            </w:pPr>
            <w:hyperlink r:id="rId66" w:anchor="ib7cf537e07124691a6505a5505cd30c3_211" w:history="1">
              <w:r>
                <w:rPr>
                  <w:rStyle w:val="a5"/>
                  <w:rFonts w:ascii="Arial" w:eastAsia="宋体" w:hAnsi="Arial" w:cs="Arial"/>
                  <w:sz w:val="16"/>
                  <w:szCs w:val="16"/>
                </w:rPr>
                <w:t>ITEM 13.</w:t>
              </w:r>
            </w:hyperlink>
          </w:p>
        </w:tc>
        <w:tc>
          <w:tcPr>
            <w:tcW w:w="0" w:type="auto"/>
            <w:gridSpan w:val="3"/>
            <w:shd w:val="clear" w:color="auto" w:fill="auto"/>
            <w:tcMar>
              <w:top w:w="40" w:type="dxa"/>
              <w:left w:w="20" w:type="dxa"/>
              <w:bottom w:w="40" w:type="dxa"/>
              <w:right w:w="20" w:type="dxa"/>
            </w:tcMar>
          </w:tcPr>
          <w:p w14:paraId="5902990B" w14:textId="77777777" w:rsidR="0084406A" w:rsidRDefault="002B18AF">
            <w:pPr>
              <w:textAlignment w:val="top"/>
            </w:pPr>
            <w:hyperlink r:id="rId67" w:anchor="ib7cf537e07124691a6505a5505cd30c3_211" w:history="1">
              <w:r>
                <w:rPr>
                  <w:rStyle w:val="a5"/>
                  <w:rFonts w:ascii="Arial" w:eastAsia="宋体" w:hAnsi="Arial" w:cs="Arial"/>
                  <w:sz w:val="16"/>
                  <w:szCs w:val="16"/>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tcPr>
          <w:p w14:paraId="5902990C" w14:textId="77777777" w:rsidR="0084406A" w:rsidRDefault="002B18AF">
            <w:pPr>
              <w:jc w:val="right"/>
              <w:textAlignment w:val="top"/>
            </w:pPr>
            <w:hyperlink r:id="rId68" w:anchor="ib7cf537e07124691a6505a5505cd30c3_211" w:history="1">
              <w:r>
                <w:rPr>
                  <w:rStyle w:val="a5"/>
                  <w:rFonts w:ascii="Arial" w:eastAsia="宋体" w:hAnsi="Arial" w:cs="Arial"/>
                  <w:sz w:val="16"/>
                  <w:szCs w:val="16"/>
                </w:rPr>
                <w:t>87</w:t>
              </w:r>
            </w:hyperlink>
          </w:p>
        </w:tc>
      </w:tr>
      <w:tr w:rsidR="0084406A" w14:paraId="59029911" w14:textId="77777777">
        <w:trPr>
          <w:trHeight w:val="60"/>
        </w:trPr>
        <w:tc>
          <w:tcPr>
            <w:tcW w:w="0" w:type="auto"/>
            <w:gridSpan w:val="3"/>
            <w:shd w:val="clear" w:color="auto" w:fill="auto"/>
            <w:tcMar>
              <w:top w:w="0" w:type="dxa"/>
              <w:left w:w="20" w:type="dxa"/>
              <w:bottom w:w="0" w:type="dxa"/>
              <w:right w:w="20" w:type="dxa"/>
            </w:tcMar>
            <w:vAlign w:val="bottom"/>
          </w:tcPr>
          <w:p w14:paraId="5902990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0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10" w14:textId="77777777" w:rsidR="0084406A" w:rsidRDefault="0084406A">
            <w:pPr>
              <w:rPr>
                <w:rFonts w:ascii="宋体"/>
              </w:rPr>
            </w:pPr>
          </w:p>
        </w:tc>
      </w:tr>
      <w:tr w:rsidR="0084406A" w14:paraId="59029915" w14:textId="77777777">
        <w:tc>
          <w:tcPr>
            <w:tcW w:w="0" w:type="auto"/>
            <w:gridSpan w:val="3"/>
            <w:shd w:val="clear" w:color="auto" w:fill="auto"/>
            <w:tcMar>
              <w:top w:w="40" w:type="dxa"/>
              <w:left w:w="20" w:type="dxa"/>
              <w:bottom w:w="40" w:type="dxa"/>
              <w:right w:w="20" w:type="dxa"/>
            </w:tcMar>
          </w:tcPr>
          <w:p w14:paraId="59029912" w14:textId="77777777" w:rsidR="0084406A" w:rsidRDefault="002B18AF">
            <w:pPr>
              <w:textAlignment w:val="top"/>
            </w:pPr>
            <w:hyperlink r:id="rId69" w:anchor="ib7cf537e07124691a6505a5505cd30c3_214" w:history="1">
              <w:r>
                <w:rPr>
                  <w:rStyle w:val="a5"/>
                  <w:rFonts w:ascii="Arial" w:eastAsia="宋体" w:hAnsi="Arial" w:cs="Arial"/>
                  <w:sz w:val="16"/>
                  <w:szCs w:val="16"/>
                </w:rPr>
                <w:t>ITEM 14.</w:t>
              </w:r>
            </w:hyperlink>
          </w:p>
        </w:tc>
        <w:tc>
          <w:tcPr>
            <w:tcW w:w="0" w:type="auto"/>
            <w:gridSpan w:val="3"/>
            <w:shd w:val="clear" w:color="auto" w:fill="auto"/>
            <w:tcMar>
              <w:top w:w="40" w:type="dxa"/>
              <w:left w:w="20" w:type="dxa"/>
              <w:bottom w:w="40" w:type="dxa"/>
              <w:right w:w="20" w:type="dxa"/>
            </w:tcMar>
          </w:tcPr>
          <w:p w14:paraId="59029913" w14:textId="77777777" w:rsidR="0084406A" w:rsidRDefault="002B18AF">
            <w:pPr>
              <w:textAlignment w:val="top"/>
            </w:pPr>
            <w:hyperlink r:id="rId70" w:anchor="ib7cf537e07124691a6505a5505cd30c3_214" w:history="1">
              <w:r>
                <w:rPr>
                  <w:rStyle w:val="a5"/>
                  <w:rFonts w:ascii="Arial" w:eastAsia="宋体" w:hAnsi="Arial" w:cs="Arial"/>
                  <w:sz w:val="16"/>
                  <w:szCs w:val="16"/>
                </w:rPr>
                <w:t>Principal Accounting Fees and Servic</w:t>
              </w:r>
              <w:r>
                <w:rPr>
                  <w:rStyle w:val="a5"/>
                  <w:rFonts w:ascii="Arial" w:eastAsia="宋体" w:hAnsi="Arial" w:cs="Arial"/>
                  <w:sz w:val="16"/>
                  <w:szCs w:val="16"/>
                </w:rPr>
                <w:t>es</w:t>
              </w:r>
            </w:hyperlink>
          </w:p>
        </w:tc>
        <w:tc>
          <w:tcPr>
            <w:tcW w:w="0" w:type="auto"/>
            <w:gridSpan w:val="3"/>
            <w:shd w:val="clear" w:color="auto" w:fill="auto"/>
            <w:tcMar>
              <w:top w:w="40" w:type="dxa"/>
              <w:left w:w="20" w:type="dxa"/>
              <w:bottom w:w="40" w:type="dxa"/>
              <w:right w:w="20" w:type="dxa"/>
            </w:tcMar>
          </w:tcPr>
          <w:p w14:paraId="59029914" w14:textId="77777777" w:rsidR="0084406A" w:rsidRDefault="002B18AF">
            <w:pPr>
              <w:jc w:val="right"/>
              <w:textAlignment w:val="top"/>
            </w:pPr>
            <w:hyperlink r:id="rId71" w:anchor="ib7cf537e07124691a6505a5505cd30c3_214" w:history="1">
              <w:r>
                <w:rPr>
                  <w:rStyle w:val="a5"/>
                  <w:rFonts w:ascii="Arial" w:eastAsia="宋体" w:hAnsi="Arial" w:cs="Arial"/>
                  <w:sz w:val="16"/>
                  <w:szCs w:val="16"/>
                </w:rPr>
                <w:t>87</w:t>
              </w:r>
            </w:hyperlink>
          </w:p>
        </w:tc>
      </w:tr>
      <w:tr w:rsidR="0084406A" w14:paraId="59029919" w14:textId="77777777">
        <w:trPr>
          <w:trHeight w:val="60"/>
        </w:trPr>
        <w:tc>
          <w:tcPr>
            <w:tcW w:w="0" w:type="auto"/>
            <w:gridSpan w:val="3"/>
            <w:shd w:val="clear" w:color="auto" w:fill="auto"/>
            <w:tcMar>
              <w:top w:w="0" w:type="dxa"/>
              <w:left w:w="20" w:type="dxa"/>
              <w:bottom w:w="0" w:type="dxa"/>
              <w:right w:w="20" w:type="dxa"/>
            </w:tcMar>
            <w:vAlign w:val="bottom"/>
          </w:tcPr>
          <w:p w14:paraId="5902991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1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18" w14:textId="77777777" w:rsidR="0084406A" w:rsidRDefault="0084406A">
            <w:pPr>
              <w:rPr>
                <w:rFonts w:ascii="宋体"/>
              </w:rPr>
            </w:pPr>
          </w:p>
        </w:tc>
      </w:tr>
      <w:tr w:rsidR="0084406A" w14:paraId="5902991D" w14:textId="77777777">
        <w:tc>
          <w:tcPr>
            <w:tcW w:w="0" w:type="auto"/>
            <w:gridSpan w:val="3"/>
            <w:shd w:val="clear" w:color="auto" w:fill="auto"/>
            <w:tcMar>
              <w:top w:w="40" w:type="dxa"/>
              <w:left w:w="20" w:type="dxa"/>
              <w:bottom w:w="40" w:type="dxa"/>
              <w:right w:w="20" w:type="dxa"/>
            </w:tcMar>
          </w:tcPr>
          <w:p w14:paraId="5902991A" w14:textId="77777777" w:rsidR="0084406A" w:rsidRDefault="002B18AF">
            <w:pPr>
              <w:textAlignment w:val="top"/>
            </w:pPr>
            <w:hyperlink r:id="rId72" w:anchor="ib7cf537e07124691a6505a5505cd30c3_217" w:history="1">
              <w:r>
                <w:rPr>
                  <w:rStyle w:val="a5"/>
                  <w:rFonts w:ascii="Arial" w:eastAsia="宋体" w:hAnsi="Arial" w:cs="Arial"/>
                  <w:b/>
                  <w:bCs/>
                  <w:sz w:val="16"/>
                  <w:szCs w:val="16"/>
                </w:rPr>
                <w:t>PART IV</w:t>
              </w:r>
            </w:hyperlink>
          </w:p>
        </w:tc>
        <w:tc>
          <w:tcPr>
            <w:tcW w:w="0" w:type="auto"/>
            <w:gridSpan w:val="3"/>
            <w:shd w:val="clear" w:color="auto" w:fill="auto"/>
            <w:tcMar>
              <w:top w:w="0" w:type="dxa"/>
              <w:left w:w="20" w:type="dxa"/>
              <w:bottom w:w="0" w:type="dxa"/>
              <w:right w:w="20" w:type="dxa"/>
            </w:tcMar>
            <w:vAlign w:val="bottom"/>
          </w:tcPr>
          <w:p w14:paraId="5902991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91C" w14:textId="77777777" w:rsidR="0084406A" w:rsidRDefault="002B18AF">
            <w:pPr>
              <w:jc w:val="right"/>
              <w:textAlignment w:val="top"/>
            </w:pPr>
            <w:hyperlink r:id="rId73" w:anchor="ib7cf537e07124691a6505a5505cd30c3_217" w:history="1">
              <w:r>
                <w:rPr>
                  <w:rStyle w:val="a5"/>
                  <w:rFonts w:ascii="Arial" w:eastAsia="宋体" w:hAnsi="Arial" w:cs="Arial"/>
                  <w:sz w:val="16"/>
                  <w:szCs w:val="16"/>
                </w:rPr>
                <w:t>88</w:t>
              </w:r>
            </w:hyperlink>
          </w:p>
        </w:tc>
      </w:tr>
      <w:tr w:rsidR="0084406A" w14:paraId="59029921" w14:textId="77777777">
        <w:trPr>
          <w:trHeight w:val="60"/>
        </w:trPr>
        <w:tc>
          <w:tcPr>
            <w:tcW w:w="0" w:type="auto"/>
            <w:gridSpan w:val="3"/>
            <w:shd w:val="clear" w:color="auto" w:fill="auto"/>
            <w:tcMar>
              <w:top w:w="0" w:type="dxa"/>
              <w:left w:w="20" w:type="dxa"/>
              <w:bottom w:w="0" w:type="dxa"/>
              <w:right w:w="20" w:type="dxa"/>
            </w:tcMar>
            <w:vAlign w:val="bottom"/>
          </w:tcPr>
          <w:p w14:paraId="5902991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1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20" w14:textId="77777777" w:rsidR="0084406A" w:rsidRDefault="0084406A">
            <w:pPr>
              <w:rPr>
                <w:rFonts w:ascii="宋体"/>
              </w:rPr>
            </w:pPr>
          </w:p>
        </w:tc>
      </w:tr>
      <w:tr w:rsidR="0084406A" w14:paraId="59029925" w14:textId="77777777">
        <w:tc>
          <w:tcPr>
            <w:tcW w:w="0" w:type="auto"/>
            <w:gridSpan w:val="3"/>
            <w:shd w:val="clear" w:color="auto" w:fill="auto"/>
            <w:tcMar>
              <w:top w:w="40" w:type="dxa"/>
              <w:left w:w="20" w:type="dxa"/>
              <w:bottom w:w="40" w:type="dxa"/>
              <w:right w:w="20" w:type="dxa"/>
            </w:tcMar>
          </w:tcPr>
          <w:p w14:paraId="59029922" w14:textId="77777777" w:rsidR="0084406A" w:rsidRDefault="002B18AF">
            <w:pPr>
              <w:textAlignment w:val="top"/>
            </w:pPr>
            <w:hyperlink r:id="rId74" w:anchor="ib7cf537e07124691a6505a5505cd30c3_220" w:history="1">
              <w:r>
                <w:rPr>
                  <w:rStyle w:val="a5"/>
                  <w:rFonts w:ascii="Arial" w:eastAsia="宋体" w:hAnsi="Arial" w:cs="Arial"/>
                  <w:sz w:val="16"/>
                  <w:szCs w:val="16"/>
                </w:rPr>
                <w:t>ITEM 15.</w:t>
              </w:r>
            </w:hyperlink>
          </w:p>
        </w:tc>
        <w:tc>
          <w:tcPr>
            <w:tcW w:w="0" w:type="auto"/>
            <w:gridSpan w:val="3"/>
            <w:shd w:val="clear" w:color="auto" w:fill="auto"/>
            <w:tcMar>
              <w:top w:w="40" w:type="dxa"/>
              <w:left w:w="20" w:type="dxa"/>
              <w:bottom w:w="40" w:type="dxa"/>
              <w:right w:w="20" w:type="dxa"/>
            </w:tcMar>
          </w:tcPr>
          <w:p w14:paraId="59029923" w14:textId="77777777" w:rsidR="0084406A" w:rsidRDefault="002B18AF">
            <w:pPr>
              <w:textAlignment w:val="top"/>
            </w:pPr>
            <w:hyperlink r:id="rId75" w:anchor="ib7cf537e07124691a6505a5505cd30c3_220" w:history="1">
              <w:r>
                <w:rPr>
                  <w:rStyle w:val="a5"/>
                  <w:rFonts w:ascii="Arial" w:eastAsia="宋体" w:hAnsi="Arial" w:cs="Arial"/>
                  <w:sz w:val="16"/>
                  <w:szCs w:val="16"/>
                </w:rPr>
                <w:t>Exhibits, Financial Statements Schedules</w:t>
              </w:r>
            </w:hyperlink>
          </w:p>
        </w:tc>
        <w:tc>
          <w:tcPr>
            <w:tcW w:w="0" w:type="auto"/>
            <w:gridSpan w:val="3"/>
            <w:shd w:val="clear" w:color="auto" w:fill="auto"/>
            <w:tcMar>
              <w:top w:w="40" w:type="dxa"/>
              <w:left w:w="20" w:type="dxa"/>
              <w:bottom w:w="40" w:type="dxa"/>
              <w:right w:w="20" w:type="dxa"/>
            </w:tcMar>
          </w:tcPr>
          <w:p w14:paraId="59029924" w14:textId="77777777" w:rsidR="0084406A" w:rsidRDefault="002B18AF">
            <w:pPr>
              <w:jc w:val="right"/>
              <w:textAlignment w:val="top"/>
            </w:pPr>
            <w:hyperlink r:id="rId76" w:anchor="ib7cf537e07124691a6505a5505cd30c3_220" w:history="1">
              <w:r>
                <w:rPr>
                  <w:rStyle w:val="a5"/>
                  <w:rFonts w:ascii="Arial" w:eastAsia="宋体" w:hAnsi="Arial" w:cs="Arial"/>
                  <w:sz w:val="16"/>
                  <w:szCs w:val="16"/>
                </w:rPr>
                <w:t>88</w:t>
              </w:r>
            </w:hyperlink>
          </w:p>
        </w:tc>
      </w:tr>
      <w:tr w:rsidR="0084406A" w14:paraId="59029929" w14:textId="77777777">
        <w:trPr>
          <w:trHeight w:val="60"/>
        </w:trPr>
        <w:tc>
          <w:tcPr>
            <w:tcW w:w="0" w:type="auto"/>
            <w:gridSpan w:val="3"/>
            <w:shd w:val="clear" w:color="auto" w:fill="auto"/>
            <w:tcMar>
              <w:top w:w="0" w:type="dxa"/>
              <w:left w:w="20" w:type="dxa"/>
              <w:bottom w:w="0" w:type="dxa"/>
              <w:right w:w="20" w:type="dxa"/>
            </w:tcMar>
            <w:vAlign w:val="bottom"/>
          </w:tcPr>
          <w:p w14:paraId="5902992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2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28" w14:textId="77777777" w:rsidR="0084406A" w:rsidRDefault="0084406A">
            <w:pPr>
              <w:rPr>
                <w:rFonts w:ascii="宋体"/>
              </w:rPr>
            </w:pPr>
          </w:p>
        </w:tc>
      </w:tr>
      <w:tr w:rsidR="0084406A" w14:paraId="5902992D" w14:textId="77777777">
        <w:tc>
          <w:tcPr>
            <w:tcW w:w="0" w:type="auto"/>
            <w:gridSpan w:val="3"/>
            <w:shd w:val="clear" w:color="auto" w:fill="auto"/>
            <w:tcMar>
              <w:top w:w="40" w:type="dxa"/>
              <w:left w:w="20" w:type="dxa"/>
              <w:bottom w:w="40" w:type="dxa"/>
              <w:right w:w="20" w:type="dxa"/>
            </w:tcMar>
          </w:tcPr>
          <w:p w14:paraId="5902992A" w14:textId="77777777" w:rsidR="0084406A" w:rsidRDefault="002B18AF">
            <w:pPr>
              <w:textAlignment w:val="top"/>
            </w:pPr>
            <w:hyperlink r:id="rId77" w:anchor="ib7cf537e07124691a6505a5505cd30c3_229" w:history="1">
              <w:r>
                <w:rPr>
                  <w:rStyle w:val="a5"/>
                  <w:rFonts w:ascii="Arial" w:eastAsia="宋体" w:hAnsi="Arial" w:cs="Arial"/>
                  <w:sz w:val="16"/>
                  <w:szCs w:val="16"/>
                </w:rPr>
                <w:t>ITEM 16.</w:t>
              </w:r>
            </w:hyperlink>
          </w:p>
        </w:tc>
        <w:tc>
          <w:tcPr>
            <w:tcW w:w="0" w:type="auto"/>
            <w:gridSpan w:val="3"/>
            <w:shd w:val="clear" w:color="auto" w:fill="auto"/>
            <w:tcMar>
              <w:top w:w="40" w:type="dxa"/>
              <w:left w:w="20" w:type="dxa"/>
              <w:bottom w:w="40" w:type="dxa"/>
              <w:right w:w="20" w:type="dxa"/>
            </w:tcMar>
          </w:tcPr>
          <w:p w14:paraId="5902992B" w14:textId="77777777" w:rsidR="0084406A" w:rsidRDefault="002B18AF">
            <w:pPr>
              <w:textAlignment w:val="top"/>
            </w:pPr>
            <w:hyperlink r:id="rId78" w:anchor="ib7cf537e07124691a6505a5505cd30c3_229" w:history="1">
              <w:r>
                <w:rPr>
                  <w:rStyle w:val="a5"/>
                  <w:rFonts w:ascii="Arial" w:eastAsia="宋体" w:hAnsi="Arial" w:cs="Arial"/>
                  <w:sz w:val="16"/>
                  <w:szCs w:val="16"/>
                </w:rPr>
                <w:t>Form 10-K Summary</w:t>
              </w:r>
            </w:hyperlink>
          </w:p>
        </w:tc>
        <w:tc>
          <w:tcPr>
            <w:tcW w:w="0" w:type="auto"/>
            <w:gridSpan w:val="3"/>
            <w:shd w:val="clear" w:color="auto" w:fill="auto"/>
            <w:tcMar>
              <w:top w:w="40" w:type="dxa"/>
              <w:left w:w="20" w:type="dxa"/>
              <w:bottom w:w="40" w:type="dxa"/>
              <w:right w:w="20" w:type="dxa"/>
            </w:tcMar>
          </w:tcPr>
          <w:p w14:paraId="5902992C" w14:textId="77777777" w:rsidR="0084406A" w:rsidRDefault="002B18AF">
            <w:pPr>
              <w:jc w:val="right"/>
              <w:textAlignment w:val="top"/>
            </w:pPr>
            <w:hyperlink r:id="rId79" w:anchor="ib7cf537e07124691a6505a5505cd30c3_229" w:history="1">
              <w:r>
                <w:rPr>
                  <w:rStyle w:val="a5"/>
                  <w:rFonts w:ascii="Arial" w:eastAsia="宋体" w:hAnsi="Arial" w:cs="Arial"/>
                  <w:sz w:val="16"/>
                  <w:szCs w:val="16"/>
                </w:rPr>
                <w:t>93</w:t>
              </w:r>
            </w:hyperlink>
          </w:p>
        </w:tc>
      </w:tr>
      <w:tr w:rsidR="0084406A" w14:paraId="59029931" w14:textId="77777777">
        <w:trPr>
          <w:trHeight w:val="60"/>
        </w:trPr>
        <w:tc>
          <w:tcPr>
            <w:tcW w:w="0" w:type="auto"/>
            <w:gridSpan w:val="3"/>
            <w:shd w:val="clear" w:color="auto" w:fill="auto"/>
            <w:tcMar>
              <w:top w:w="0" w:type="dxa"/>
              <w:left w:w="20" w:type="dxa"/>
              <w:bottom w:w="0" w:type="dxa"/>
              <w:right w:w="20" w:type="dxa"/>
            </w:tcMar>
            <w:vAlign w:val="bottom"/>
          </w:tcPr>
          <w:p w14:paraId="5902992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2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9930" w14:textId="77777777" w:rsidR="0084406A" w:rsidRDefault="0084406A">
            <w:pPr>
              <w:rPr>
                <w:rFonts w:ascii="宋体"/>
              </w:rPr>
            </w:pPr>
          </w:p>
        </w:tc>
      </w:tr>
      <w:tr w:rsidR="0084406A" w14:paraId="59029935" w14:textId="77777777">
        <w:tc>
          <w:tcPr>
            <w:tcW w:w="0" w:type="auto"/>
            <w:gridSpan w:val="3"/>
            <w:shd w:val="clear" w:color="auto" w:fill="auto"/>
            <w:tcMar>
              <w:top w:w="40" w:type="dxa"/>
              <w:left w:w="20" w:type="dxa"/>
              <w:bottom w:w="40" w:type="dxa"/>
              <w:right w:w="20" w:type="dxa"/>
            </w:tcMar>
          </w:tcPr>
          <w:p w14:paraId="59029932" w14:textId="77777777" w:rsidR="0084406A" w:rsidRDefault="002B18AF">
            <w:pPr>
              <w:textAlignment w:val="top"/>
            </w:pPr>
            <w:hyperlink r:id="rId80" w:anchor="ib7cf537e07124691a6505a5505cd30c3_232" w:history="1">
              <w:r>
                <w:rPr>
                  <w:rStyle w:val="a5"/>
                  <w:rFonts w:ascii="Arial" w:eastAsia="宋体" w:hAnsi="Arial" w:cs="Arial"/>
                  <w:sz w:val="16"/>
                  <w:szCs w:val="16"/>
                </w:rPr>
                <w:t>SIGNATURES</w:t>
              </w:r>
            </w:hyperlink>
            <w:r>
              <w:rPr>
                <w:rFonts w:ascii="Arial" w:eastAsia="宋体" w:hAnsi="Arial" w:cs="Arial"/>
                <w:color w:val="000000"/>
                <w:sz w:val="16"/>
                <w:szCs w:val="16"/>
                <w:u w:val="single"/>
              </w:rPr>
              <w:t>.</w:t>
            </w:r>
          </w:p>
        </w:tc>
        <w:tc>
          <w:tcPr>
            <w:tcW w:w="0" w:type="auto"/>
            <w:gridSpan w:val="3"/>
            <w:shd w:val="clear" w:color="auto" w:fill="auto"/>
            <w:tcMar>
              <w:top w:w="0" w:type="dxa"/>
              <w:left w:w="20" w:type="dxa"/>
              <w:bottom w:w="0" w:type="dxa"/>
              <w:right w:w="20" w:type="dxa"/>
            </w:tcMar>
            <w:vAlign w:val="bottom"/>
          </w:tcPr>
          <w:p w14:paraId="5902993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9934" w14:textId="77777777" w:rsidR="0084406A" w:rsidRDefault="002B18AF">
            <w:pPr>
              <w:jc w:val="right"/>
              <w:textAlignment w:val="top"/>
            </w:pPr>
            <w:hyperlink r:id="rId81" w:anchor="ib7cf537e07124691a6505a5505cd30c3_232" w:history="1">
              <w:r>
                <w:rPr>
                  <w:rStyle w:val="a5"/>
                  <w:rFonts w:ascii="Arial" w:eastAsia="宋体" w:hAnsi="Arial" w:cs="Arial"/>
                  <w:sz w:val="16"/>
                  <w:szCs w:val="16"/>
                </w:rPr>
                <w:t>94</w:t>
              </w:r>
            </w:hyperlink>
          </w:p>
        </w:tc>
      </w:tr>
    </w:tbl>
    <w:p w14:paraId="59029936" w14:textId="77777777" w:rsidR="0084406A" w:rsidRDefault="0084406A"/>
    <w:p w14:paraId="59029937" w14:textId="77777777" w:rsidR="0084406A" w:rsidRDefault="002B18AF">
      <w:r>
        <w:pict w14:anchorId="5902BAF4">
          <v:rect id="_x0000_i1027" style="width:415.3pt;height:1.5pt" o:hralign="center" o:hrstd="t" o:hr="t" fillcolor="#a0a0a0" stroked="f"/>
        </w:pict>
      </w:r>
    </w:p>
    <w:p w14:paraId="59029938" w14:textId="77777777" w:rsidR="0084406A" w:rsidRDefault="0084406A"/>
    <w:p w14:paraId="59029939" w14:textId="77777777" w:rsidR="0084406A" w:rsidRDefault="0084406A">
      <w:pPr>
        <w:jc w:val="center"/>
      </w:pPr>
    </w:p>
    <w:p w14:paraId="5902993A" w14:textId="77777777" w:rsidR="0084406A" w:rsidRDefault="002B18AF">
      <w:pPr>
        <w:spacing w:before="120"/>
        <w:jc w:val="center"/>
      </w:pPr>
      <w:r>
        <w:rPr>
          <w:rFonts w:ascii="Arial" w:eastAsia="宋体" w:hAnsi="Arial" w:cs="Arial"/>
          <w:b/>
          <w:bCs/>
          <w:color w:val="000000"/>
          <w:sz w:val="20"/>
          <w:szCs w:val="20"/>
        </w:rPr>
        <w:t>PART I</w:t>
      </w:r>
    </w:p>
    <w:p w14:paraId="5902993B" w14:textId="77777777" w:rsidR="0084406A" w:rsidRDefault="002B18AF">
      <w:pPr>
        <w:spacing w:before="180"/>
        <w:jc w:val="both"/>
      </w:pPr>
      <w:r>
        <w:rPr>
          <w:rFonts w:ascii="Arial" w:eastAsia="宋体" w:hAnsi="Arial" w:cs="Arial"/>
          <w:b/>
          <w:bCs/>
          <w:color w:val="000000"/>
          <w:sz w:val="20"/>
          <w:szCs w:val="20"/>
        </w:rPr>
        <w:t>ITEM 1.</w:t>
      </w:r>
      <w:r>
        <w:rPr>
          <w:rFonts w:ascii="Arial" w:eastAsia="宋体" w:hAnsi="Arial" w:cs="Arial"/>
          <w:color w:val="000000"/>
          <w:sz w:val="20"/>
          <w:szCs w:val="20"/>
        </w:rPr>
        <w:t xml:space="preserve">     </w:t>
      </w:r>
      <w:r>
        <w:rPr>
          <w:rFonts w:ascii="Arial" w:eastAsia="宋体" w:hAnsi="Arial" w:cs="Arial"/>
          <w:b/>
          <w:bCs/>
          <w:color w:val="000000"/>
          <w:sz w:val="20"/>
          <w:szCs w:val="20"/>
        </w:rPr>
        <w:t xml:space="preserve">BUSINESS </w:t>
      </w:r>
    </w:p>
    <w:p w14:paraId="5902993C" w14:textId="77777777" w:rsidR="0084406A" w:rsidRDefault="002B18AF">
      <w:pPr>
        <w:spacing w:before="180"/>
        <w:jc w:val="both"/>
      </w:pPr>
      <w:r>
        <w:rPr>
          <w:rFonts w:ascii="Arial" w:eastAsia="宋体" w:hAnsi="Arial" w:cs="Arial"/>
          <w:b/>
          <w:bCs/>
          <w:color w:val="000000"/>
          <w:sz w:val="20"/>
          <w:szCs w:val="20"/>
        </w:rPr>
        <w:t xml:space="preserve">Cautionary Statement Regarding Forward-Looking Statements </w:t>
      </w:r>
    </w:p>
    <w:p w14:paraId="5902993D" w14:textId="77777777" w:rsidR="0084406A" w:rsidRDefault="002B18AF">
      <w:pPr>
        <w:spacing w:before="180"/>
        <w:jc w:val="both"/>
      </w:pPr>
      <w:r>
        <w:rPr>
          <w:rFonts w:ascii="Arial" w:eastAsia="宋体" w:hAnsi="Arial" w:cs="Arial"/>
          <w:i/>
          <w:iCs/>
          <w:color w:val="000000"/>
          <w:sz w:val="20"/>
          <w:szCs w:val="20"/>
        </w:rPr>
        <w:t>The statements in this report include forward-looking statements within the meaning of the Private Securities Litigation Reform Act of 1995. These forward-looking statements are based on current expectations and beliefs and involve numerous risks and uncer</w:t>
      </w:r>
      <w:r>
        <w:rPr>
          <w:rFonts w:ascii="Arial" w:eastAsia="宋体" w:hAnsi="Arial" w:cs="Arial"/>
          <w:i/>
          <w:iCs/>
          <w:color w:val="000000"/>
          <w:sz w:val="20"/>
          <w:szCs w:val="20"/>
        </w:rPr>
        <w:t>tainties that could cause actual results to differ materially from expectations. These forward-looking statements speak only as of the date hereof or as of the dates indicated in the statements and should not be relied upon as predictions of future events,</w:t>
      </w:r>
      <w:r>
        <w:rPr>
          <w:rFonts w:ascii="Arial" w:eastAsia="宋体" w:hAnsi="Arial" w:cs="Arial"/>
          <w:i/>
          <w:iCs/>
          <w:color w:val="000000"/>
          <w:sz w:val="20"/>
          <w:szCs w:val="20"/>
        </w:rPr>
        <w:t xml:space="preserve"> as we cannot assure you that the events or circumstances reflected in these statements will be achieved or will occur. You can identify forward-looking statements by the use of forward-looking terminology including “believes,” “expects,” “may,” “will,” “s</w:t>
      </w:r>
      <w:r>
        <w:rPr>
          <w:rFonts w:ascii="Arial" w:eastAsia="宋体" w:hAnsi="Arial" w:cs="Arial"/>
          <w:i/>
          <w:iCs/>
          <w:color w:val="000000"/>
          <w:sz w:val="20"/>
          <w:szCs w:val="20"/>
        </w:rPr>
        <w:t>hould,” “seeks,” “intends,” “plans,” “pro forma,” “estimates,” “anticipates,” or the negative of these words and phrases, other variations of these words and phrases or comparable terminology. The forward-looking statements relate to, among other things: p</w:t>
      </w:r>
      <w:r>
        <w:rPr>
          <w:rFonts w:ascii="Arial" w:eastAsia="宋体" w:hAnsi="Arial" w:cs="Arial"/>
          <w:i/>
          <w:iCs/>
          <w:color w:val="000000"/>
          <w:sz w:val="20"/>
          <w:szCs w:val="20"/>
        </w:rPr>
        <w:t>ossible impact of future accounting rules on AMD’s consolidated financial statements; demand for AMD’s products; the growth, change and competitive landscape of the markets in which AMD participates; international sales will continue to be a significant po</w:t>
      </w:r>
      <w:r>
        <w:rPr>
          <w:rFonts w:ascii="Arial" w:eastAsia="宋体" w:hAnsi="Arial" w:cs="Arial"/>
          <w:i/>
          <w:iCs/>
          <w:color w:val="000000"/>
          <w:sz w:val="20"/>
          <w:szCs w:val="20"/>
        </w:rPr>
        <w:t>rtion of total sales in the foreseeable future; that AMD’s cash, cash equivalents and short-term investment balances, together with the availability under that certain revolving credit facility (the Revolving Credit Facility) made available to AMD and cert</w:t>
      </w:r>
      <w:r>
        <w:rPr>
          <w:rFonts w:ascii="Arial" w:eastAsia="宋体" w:hAnsi="Arial" w:cs="Arial"/>
          <w:i/>
          <w:iCs/>
          <w:color w:val="000000"/>
          <w:sz w:val="20"/>
          <w:szCs w:val="20"/>
        </w:rPr>
        <w:t xml:space="preserve">ain of its subsidiaries under the Credit Agreement, and our cash flows from operations will be sufficient to fund AMD’s operations including capital expenditures and purchase commitments over the next 12 months; AMD’s ability to obtain sufficient external </w:t>
      </w:r>
      <w:r>
        <w:rPr>
          <w:rFonts w:ascii="Arial" w:eastAsia="宋体" w:hAnsi="Arial" w:cs="Arial"/>
          <w:i/>
          <w:iCs/>
          <w:color w:val="000000"/>
          <w:sz w:val="20"/>
          <w:szCs w:val="20"/>
        </w:rPr>
        <w:t>financing on favorable terms, or at all; AMD’s expectation that based on the information presently known to management, the potential liability related to AMD’s current litigation will not have a material adverse effect on its financial condition, cash flo</w:t>
      </w:r>
      <w:r>
        <w:rPr>
          <w:rFonts w:ascii="Arial" w:eastAsia="宋体" w:hAnsi="Arial" w:cs="Arial"/>
          <w:i/>
          <w:iCs/>
          <w:color w:val="000000"/>
          <w:sz w:val="20"/>
          <w:szCs w:val="20"/>
        </w:rPr>
        <w:t>ws or results of operations; anticipated ongoing and increased costs related to enhancing and implementing information security controls; all unbilled accounts receivables are expected to be billed and collected within 12 months; revenue allocated to remai</w:t>
      </w:r>
      <w:r>
        <w:rPr>
          <w:rFonts w:ascii="Arial" w:eastAsia="宋体" w:hAnsi="Arial" w:cs="Arial"/>
          <w:i/>
          <w:iCs/>
          <w:color w:val="000000"/>
          <w:sz w:val="20"/>
          <w:szCs w:val="20"/>
        </w:rPr>
        <w:t>ning performance obligations that are unsatisfied which will be recognized over the next 12 months; a small number of customers will continue to account for a substantial part of AMD’s revenue in the future; and the acquisition of Xilinx, Inc. is currently</w:t>
      </w:r>
      <w:r>
        <w:rPr>
          <w:rFonts w:ascii="Arial" w:eastAsia="宋体" w:hAnsi="Arial" w:cs="Arial"/>
          <w:i/>
          <w:iCs/>
          <w:color w:val="000000"/>
          <w:sz w:val="20"/>
          <w:szCs w:val="20"/>
        </w:rPr>
        <w:t xml:space="preserve"> expected to close in the first quarter of 2022. For a discussion of the factors that could cause actual results to differ materially from the forward-looking statements, see “Part I, Item 1A-Risk Factors” and the “Financial Condition” section set forth in</w:t>
      </w:r>
      <w:r>
        <w:rPr>
          <w:rFonts w:ascii="Arial" w:eastAsia="宋体" w:hAnsi="Arial" w:cs="Arial"/>
          <w:i/>
          <w:iCs/>
          <w:color w:val="000000"/>
          <w:sz w:val="20"/>
          <w:szCs w:val="20"/>
        </w:rPr>
        <w:t xml:space="preserve"> “Part II, Item 7-Management’s Discussion and Analysis of Financial Condition and Results of Operations,” or MD&amp;A, and such other risks and uncertainties as set forth below in this report or detailed in our other Securities and Exchange Commission (SEC) re</w:t>
      </w:r>
      <w:r>
        <w:rPr>
          <w:rFonts w:ascii="Arial" w:eastAsia="宋体" w:hAnsi="Arial" w:cs="Arial"/>
          <w:i/>
          <w:iCs/>
          <w:color w:val="000000"/>
          <w:sz w:val="20"/>
          <w:szCs w:val="20"/>
        </w:rPr>
        <w:t xml:space="preserve">ports and filings. We assume no obligation to update forward-looking statements. </w:t>
      </w:r>
    </w:p>
    <w:p w14:paraId="5902993E" w14:textId="77777777" w:rsidR="0084406A" w:rsidRDefault="002B18AF">
      <w:pPr>
        <w:spacing w:before="180"/>
        <w:jc w:val="both"/>
      </w:pPr>
      <w:r>
        <w:rPr>
          <w:rFonts w:ascii="Arial" w:eastAsia="宋体" w:hAnsi="Arial" w:cs="Arial"/>
          <w:color w:val="000000"/>
          <w:sz w:val="20"/>
          <w:szCs w:val="20"/>
        </w:rPr>
        <w:t xml:space="preserve">References in this Annual Report on Form 10-K to “AMD,” “we,” “us,” “management,” “our” or the “Company” mean Advanced Micro Devices, Inc. and our consolidated </w:t>
      </w:r>
      <w:r>
        <w:rPr>
          <w:rFonts w:ascii="Arial" w:eastAsia="宋体" w:hAnsi="Arial" w:cs="Arial"/>
          <w:color w:val="000000"/>
          <w:sz w:val="20"/>
          <w:szCs w:val="20"/>
        </w:rPr>
        <w:t>subsidiaries.</w:t>
      </w:r>
    </w:p>
    <w:p w14:paraId="5902993F" w14:textId="77777777" w:rsidR="0084406A" w:rsidRDefault="002B18AF">
      <w:pPr>
        <w:spacing w:before="180"/>
        <w:jc w:val="both"/>
      </w:pPr>
      <w:r>
        <w:rPr>
          <w:rFonts w:ascii="Arial" w:eastAsia="宋体" w:hAnsi="Arial" w:cs="Arial"/>
          <w:b/>
          <w:bCs/>
          <w:color w:val="000000"/>
          <w:sz w:val="20"/>
          <w:szCs w:val="20"/>
        </w:rPr>
        <w:t>Overview</w:t>
      </w:r>
    </w:p>
    <w:p w14:paraId="59029940" w14:textId="77777777" w:rsidR="0084406A" w:rsidRDefault="002B18AF">
      <w:pPr>
        <w:spacing w:before="180"/>
        <w:jc w:val="both"/>
      </w:pPr>
      <w:r>
        <w:rPr>
          <w:rFonts w:ascii="Arial" w:eastAsia="宋体" w:hAnsi="Arial" w:cs="Arial"/>
          <w:color w:val="000000"/>
          <w:sz w:val="20"/>
          <w:szCs w:val="20"/>
        </w:rPr>
        <w:t>We are a global semiconductor company primarily offering:</w:t>
      </w:r>
    </w:p>
    <w:p w14:paraId="59029941" w14:textId="77777777" w:rsidR="0084406A" w:rsidRDefault="002B18AF">
      <w:pPr>
        <w:spacing w:before="180"/>
        <w:ind w:hanging="360"/>
        <w:jc w:val="both"/>
      </w:pPr>
      <w:r>
        <w:rPr>
          <w:rFonts w:ascii="Arial" w:eastAsia="宋体" w:hAnsi="Arial" w:cs="Arial"/>
          <w:color w:val="000000"/>
          <w:sz w:val="20"/>
          <w:szCs w:val="20"/>
        </w:rPr>
        <w:t>•x86 microprocessors (CPUs), as standalone devices or as incorporated into accelerated processing units (APUs), chipsets, discrete and integrated graphics processing units (GP</w:t>
      </w:r>
      <w:r>
        <w:rPr>
          <w:rFonts w:ascii="Arial" w:eastAsia="宋体" w:hAnsi="Arial" w:cs="Arial"/>
          <w:color w:val="000000"/>
          <w:sz w:val="20"/>
          <w:szCs w:val="20"/>
        </w:rPr>
        <w:t>Us), data center and professional GPUs, and development services; and</w:t>
      </w:r>
    </w:p>
    <w:p w14:paraId="59029942" w14:textId="77777777" w:rsidR="0084406A" w:rsidRDefault="002B18AF">
      <w:pPr>
        <w:spacing w:before="180"/>
        <w:ind w:hanging="360"/>
        <w:jc w:val="both"/>
      </w:pPr>
      <w:r>
        <w:rPr>
          <w:rFonts w:ascii="Arial" w:eastAsia="宋体" w:hAnsi="Arial" w:cs="Arial"/>
          <w:color w:val="000000"/>
          <w:sz w:val="20"/>
          <w:szCs w:val="20"/>
        </w:rPr>
        <w:t xml:space="preserve">•server and embedded processors, semi-custom system-on-chip (SoC) products, development services and technology for game consoles. </w:t>
      </w:r>
    </w:p>
    <w:p w14:paraId="59029943" w14:textId="77777777" w:rsidR="0084406A" w:rsidRDefault="002B18AF">
      <w:pPr>
        <w:spacing w:before="180"/>
        <w:jc w:val="both"/>
      </w:pPr>
      <w:r>
        <w:rPr>
          <w:rFonts w:ascii="Arial" w:eastAsia="宋体" w:hAnsi="Arial" w:cs="Arial"/>
          <w:color w:val="000000"/>
          <w:sz w:val="20"/>
          <w:szCs w:val="20"/>
        </w:rPr>
        <w:t>From time to time, we may also sell or license portion</w:t>
      </w:r>
      <w:r>
        <w:rPr>
          <w:rFonts w:ascii="Arial" w:eastAsia="宋体" w:hAnsi="Arial" w:cs="Arial"/>
          <w:color w:val="000000"/>
          <w:sz w:val="20"/>
          <w:szCs w:val="20"/>
        </w:rPr>
        <w:t>s of our intellectual property (IP) portfolio.</w:t>
      </w:r>
    </w:p>
    <w:p w14:paraId="59029944" w14:textId="77777777" w:rsidR="0084406A" w:rsidRDefault="0084406A">
      <w:pPr>
        <w:spacing w:before="100"/>
        <w:jc w:val="both"/>
      </w:pPr>
    </w:p>
    <w:p w14:paraId="59029945" w14:textId="77777777" w:rsidR="0084406A" w:rsidRDefault="002B18AF">
      <w:pPr>
        <w:jc w:val="center"/>
      </w:pPr>
      <w:r>
        <w:rPr>
          <w:rFonts w:ascii="Arial" w:eastAsia="宋体" w:hAnsi="Arial" w:cs="Arial"/>
          <w:color w:val="000000"/>
          <w:sz w:val="20"/>
          <w:szCs w:val="20"/>
        </w:rPr>
        <w:t>1</w:t>
      </w:r>
    </w:p>
    <w:p w14:paraId="59029946" w14:textId="77777777" w:rsidR="0084406A" w:rsidRDefault="002B18AF">
      <w:r>
        <w:pict w14:anchorId="5902BAF5">
          <v:rect id="_x0000_i1028" style="width:415.3pt;height:1.5pt" o:hralign="center" o:hrstd="t" o:hr="t" fillcolor="#a0a0a0" stroked="f"/>
        </w:pict>
      </w:r>
    </w:p>
    <w:p w14:paraId="59029947" w14:textId="77777777" w:rsidR="0084406A" w:rsidRDefault="0084406A"/>
    <w:p w14:paraId="59029948" w14:textId="77777777" w:rsidR="0084406A" w:rsidRDefault="002B18AF">
      <w:pPr>
        <w:jc w:val="both"/>
      </w:pPr>
      <w:r>
        <w:rPr>
          <w:rFonts w:ascii="Arial" w:eastAsia="宋体" w:hAnsi="Arial" w:cs="Arial"/>
          <w:b/>
          <w:bCs/>
          <w:color w:val="000000"/>
          <w:sz w:val="20"/>
          <w:szCs w:val="20"/>
        </w:rPr>
        <w:t>Additional Information</w:t>
      </w:r>
    </w:p>
    <w:p w14:paraId="59029949" w14:textId="77777777" w:rsidR="0084406A" w:rsidRDefault="002B18AF">
      <w:pPr>
        <w:spacing w:before="180"/>
        <w:jc w:val="both"/>
      </w:pPr>
      <w:r>
        <w:rPr>
          <w:rFonts w:ascii="Arial" w:eastAsia="宋体" w:hAnsi="Arial" w:cs="Arial"/>
          <w:color w:val="000000"/>
          <w:sz w:val="20"/>
          <w:szCs w:val="20"/>
        </w:rPr>
        <w:t>AMD was incorporated under the laws of Delaware on May 1, 1969 and became a publicly held company in 1972. Our common stock is currently listed on The NASDAQ Global Select Market (</w:t>
      </w:r>
      <w:r>
        <w:rPr>
          <w:rFonts w:ascii="Arial" w:eastAsia="宋体" w:hAnsi="Arial" w:cs="Arial"/>
          <w:color w:val="000000"/>
          <w:sz w:val="20"/>
          <w:szCs w:val="20"/>
        </w:rPr>
        <w:t>NASDAQ) under the symbol “AMD”. Our mailing address and executive offices are located at 2485 Augustine Drive, Santa Clara, California 95054, and our telephone number is (408) 749-4000. For financial information about geographic areas and for segment infor</w:t>
      </w:r>
      <w:r>
        <w:rPr>
          <w:rFonts w:ascii="Arial" w:eastAsia="宋体" w:hAnsi="Arial" w:cs="Arial"/>
          <w:color w:val="000000"/>
          <w:sz w:val="20"/>
          <w:szCs w:val="20"/>
        </w:rPr>
        <w:t>mation with respect to revenues and operating results, refer to the information set forth in Note 14 of our consolidated financial statements. We use a 52 or 53 week fiscal year ending on the last Saturday in December. References in this report to 2021, 20</w:t>
      </w:r>
      <w:r>
        <w:rPr>
          <w:rFonts w:ascii="Arial" w:eastAsia="宋体" w:hAnsi="Arial" w:cs="Arial"/>
          <w:color w:val="000000"/>
          <w:sz w:val="20"/>
          <w:szCs w:val="20"/>
        </w:rPr>
        <w:t>20 and 2019 refer to the fiscal year unless explicitly stated otherwise.</w:t>
      </w:r>
    </w:p>
    <w:p w14:paraId="5902994A" w14:textId="77777777" w:rsidR="0084406A" w:rsidRDefault="002B18AF">
      <w:pPr>
        <w:spacing w:before="180"/>
        <w:jc w:val="both"/>
      </w:pPr>
      <w:r>
        <w:rPr>
          <w:rFonts w:ascii="Arial" w:eastAsia="宋体" w:hAnsi="Arial" w:cs="Arial"/>
          <w:color w:val="000000"/>
          <w:sz w:val="20"/>
          <w:szCs w:val="20"/>
        </w:rPr>
        <w:t>AMD, the AMD Arrow logo, AMD CDNA, AMD Instinct, AMD RDNA, Athlon, EPYC, FirePro, FreeSync, Geode, Infinity Fabric, Radeon, Radeon Instinct, Ryzen, Threadripper, and combinations ther</w:t>
      </w:r>
      <w:r>
        <w:rPr>
          <w:rFonts w:ascii="Arial" w:eastAsia="宋体" w:hAnsi="Arial" w:cs="Arial"/>
          <w:color w:val="000000"/>
          <w:sz w:val="20"/>
          <w:szCs w:val="20"/>
        </w:rPr>
        <w:t xml:space="preserve">eof are trademarks of Advanced Micro Devices, Inc. </w:t>
      </w:r>
    </w:p>
    <w:p w14:paraId="5902994B" w14:textId="77777777" w:rsidR="0084406A" w:rsidRDefault="002B18AF">
      <w:pPr>
        <w:spacing w:before="180"/>
        <w:jc w:val="both"/>
      </w:pPr>
      <w:r>
        <w:rPr>
          <w:rFonts w:ascii="Arial" w:eastAsia="宋体" w:hAnsi="Arial" w:cs="Arial"/>
          <w:color w:val="000000"/>
          <w:sz w:val="20"/>
          <w:szCs w:val="20"/>
        </w:rPr>
        <w:t>Microsoft, Windows, DirectX and Xbox One are either registered trademarks or trademarks of Microsoft Corporation in the United States and/or other countries. PCIe is a registered trademark of PCI-SIG Corp</w:t>
      </w:r>
      <w:r>
        <w:rPr>
          <w:rFonts w:ascii="Arial" w:eastAsia="宋体" w:hAnsi="Arial" w:cs="Arial"/>
          <w:color w:val="000000"/>
          <w:sz w:val="20"/>
          <w:szCs w:val="20"/>
        </w:rPr>
        <w:t>oration. Chromebook and Stadia are trademarks of Google Inc. Linux is the registered trademark of Linus Torvalds in the United States and other countries. PlayStation is a registered trademark or trademark of Sony Interactive Entertainment, Inc. Arm is a r</w:t>
      </w:r>
      <w:r>
        <w:rPr>
          <w:rFonts w:ascii="Arial" w:eastAsia="宋体" w:hAnsi="Arial" w:cs="Arial"/>
          <w:color w:val="000000"/>
          <w:sz w:val="20"/>
          <w:szCs w:val="20"/>
        </w:rPr>
        <w:t>egistered trademark of ARM Limited (or its subsidiaries) in the United States and/or elsewhere. Vulkan and the Vulkan logo are registered trademarks of Khronos Group Inc. Apple and Mac Pro are trademarks of Apple Inc., registered in the United States and/o</w:t>
      </w:r>
      <w:r>
        <w:rPr>
          <w:rFonts w:ascii="Arial" w:eastAsia="宋体" w:hAnsi="Arial" w:cs="Arial"/>
          <w:color w:val="000000"/>
          <w:sz w:val="20"/>
          <w:szCs w:val="20"/>
        </w:rPr>
        <w:t>r other countries. Steam and the Steam logo are trademarks and/or registered trademarks of Valve Corporation in the United States and/or other countries.</w:t>
      </w:r>
    </w:p>
    <w:p w14:paraId="5902994C" w14:textId="77777777" w:rsidR="0084406A" w:rsidRDefault="002B18AF">
      <w:pPr>
        <w:spacing w:before="180"/>
        <w:jc w:val="both"/>
      </w:pPr>
      <w:r>
        <w:rPr>
          <w:rFonts w:ascii="Arial" w:eastAsia="宋体" w:hAnsi="Arial" w:cs="Arial"/>
          <w:color w:val="000000"/>
          <w:sz w:val="20"/>
          <w:szCs w:val="20"/>
        </w:rPr>
        <w:t>Other names are for informational purposes only and are used to identify companies and products and ma</w:t>
      </w:r>
      <w:r>
        <w:rPr>
          <w:rFonts w:ascii="Arial" w:eastAsia="宋体" w:hAnsi="Arial" w:cs="Arial"/>
          <w:color w:val="000000"/>
          <w:sz w:val="20"/>
          <w:szCs w:val="20"/>
        </w:rPr>
        <w:t>y be trademarks of their respective owners.</w:t>
      </w:r>
    </w:p>
    <w:p w14:paraId="5902994D" w14:textId="77777777" w:rsidR="0084406A" w:rsidRDefault="002B18AF">
      <w:pPr>
        <w:spacing w:before="180"/>
      </w:pPr>
      <w:r>
        <w:rPr>
          <w:rFonts w:ascii="Arial" w:eastAsia="宋体" w:hAnsi="Arial" w:cs="Arial"/>
          <w:b/>
          <w:bCs/>
          <w:color w:val="000000"/>
          <w:sz w:val="20"/>
          <w:szCs w:val="20"/>
        </w:rPr>
        <w:t>Website Access to Our SEC Filings and Corporate Governance Documents</w:t>
      </w:r>
    </w:p>
    <w:p w14:paraId="5902994E" w14:textId="77777777" w:rsidR="0084406A" w:rsidRDefault="002B18AF">
      <w:pPr>
        <w:spacing w:before="180"/>
        <w:jc w:val="both"/>
      </w:pPr>
      <w:r>
        <w:rPr>
          <w:rFonts w:ascii="Arial" w:eastAsia="宋体" w:hAnsi="Arial" w:cs="Arial"/>
          <w:color w:val="000000"/>
          <w:sz w:val="20"/>
          <w:szCs w:val="20"/>
        </w:rPr>
        <w:t>On the Investor Relations pages of our website, http://ir.amd.com, we post links to our filings with the SEC, our Principles of Corporate Gover</w:t>
      </w:r>
      <w:r>
        <w:rPr>
          <w:rFonts w:ascii="Arial" w:eastAsia="宋体" w:hAnsi="Arial" w:cs="Arial"/>
          <w:color w:val="000000"/>
          <w:sz w:val="20"/>
          <w:szCs w:val="20"/>
        </w:rPr>
        <w:t>nance, our Code of Ethics for our executive officers, all other senior finance executives and certain representatives from legal and internal audit, our Worldwide Standards of Business Conduct, which applies to our Board of Directors and all of our employe</w:t>
      </w:r>
      <w:r>
        <w:rPr>
          <w:rFonts w:ascii="Arial" w:eastAsia="宋体" w:hAnsi="Arial" w:cs="Arial"/>
          <w:color w:val="000000"/>
          <w:sz w:val="20"/>
          <w:szCs w:val="20"/>
        </w:rPr>
        <w:t xml:space="preserve">es, and the charters of the committees of our Board of Directors. Our filings with the SEC are posted as soon as reasonably practical after they are electronically filed with, or furnished to, the SEC. The SEC website, www.sec.gov, contains reports, proxy </w:t>
      </w:r>
      <w:r>
        <w:rPr>
          <w:rFonts w:ascii="Arial" w:eastAsia="宋体" w:hAnsi="Arial" w:cs="Arial"/>
          <w:color w:val="000000"/>
          <w:sz w:val="20"/>
          <w:szCs w:val="20"/>
        </w:rPr>
        <w:t>and information statements, and other information regarding issuers that file electronically with the SEC. You can also obtain copies of these documents by writing to us at: Corporate Secretary, AMD, 7171 Southwest Parkway, M/S B100.T, Austin, Texas 78735,</w:t>
      </w:r>
      <w:r>
        <w:rPr>
          <w:rFonts w:ascii="Arial" w:eastAsia="宋体" w:hAnsi="Arial" w:cs="Arial"/>
          <w:color w:val="000000"/>
          <w:sz w:val="20"/>
          <w:szCs w:val="20"/>
        </w:rPr>
        <w:t xml:space="preserve"> or emailing us at: Corporate.Secretary@amd.com. All of these documents and filings are available free of charge.</w:t>
      </w:r>
    </w:p>
    <w:p w14:paraId="5902994F" w14:textId="77777777" w:rsidR="0084406A" w:rsidRDefault="002B18AF">
      <w:pPr>
        <w:spacing w:before="180"/>
        <w:jc w:val="both"/>
      </w:pPr>
      <w:r>
        <w:rPr>
          <w:rFonts w:ascii="Arial" w:eastAsia="宋体" w:hAnsi="Arial" w:cs="Arial"/>
          <w:color w:val="000000"/>
          <w:sz w:val="20"/>
          <w:szCs w:val="20"/>
        </w:rPr>
        <w:t>If we make substantive amendments to our Code of Ethics or grant any waiver, including any implicit waiver, to our principal executive officer</w:t>
      </w:r>
      <w:r>
        <w:rPr>
          <w:rFonts w:ascii="Arial" w:eastAsia="宋体" w:hAnsi="Arial" w:cs="Arial"/>
          <w:color w:val="000000"/>
          <w:sz w:val="20"/>
          <w:szCs w:val="20"/>
        </w:rPr>
        <w:t>, principal financial officer, principal accounting officer, controller or persons performing similar functions, we intend to disclose the nature of such amendment or waiver on our website.</w:t>
      </w:r>
    </w:p>
    <w:p w14:paraId="59029950" w14:textId="77777777" w:rsidR="0084406A" w:rsidRDefault="002B18AF">
      <w:pPr>
        <w:spacing w:before="180"/>
        <w:jc w:val="both"/>
      </w:pPr>
      <w:r>
        <w:rPr>
          <w:rFonts w:ascii="Arial" w:eastAsia="宋体" w:hAnsi="Arial" w:cs="Arial"/>
          <w:color w:val="000000"/>
          <w:sz w:val="20"/>
          <w:szCs w:val="20"/>
        </w:rPr>
        <w:t>The information contained on our website is not incorporated by re</w:t>
      </w:r>
      <w:r>
        <w:rPr>
          <w:rFonts w:ascii="Arial" w:eastAsia="宋体" w:hAnsi="Arial" w:cs="Arial"/>
          <w:color w:val="000000"/>
          <w:sz w:val="20"/>
          <w:szCs w:val="20"/>
        </w:rPr>
        <w:t>ference in, or considered to be a part of, this report.</w:t>
      </w:r>
    </w:p>
    <w:p w14:paraId="59029951" w14:textId="77777777" w:rsidR="0084406A" w:rsidRDefault="002B18AF">
      <w:pPr>
        <w:jc w:val="center"/>
      </w:pPr>
      <w:r>
        <w:rPr>
          <w:rFonts w:ascii="Arial" w:eastAsia="宋体" w:hAnsi="Arial" w:cs="Arial"/>
          <w:color w:val="000000"/>
          <w:sz w:val="20"/>
          <w:szCs w:val="20"/>
        </w:rPr>
        <w:t>2</w:t>
      </w:r>
    </w:p>
    <w:p w14:paraId="59029952" w14:textId="77777777" w:rsidR="0084406A" w:rsidRDefault="002B18AF">
      <w:r>
        <w:pict w14:anchorId="5902BAF6">
          <v:rect id="_x0000_i1029" style="width:415.3pt;height:1.5pt" o:hralign="center" o:hrstd="t" o:hr="t" fillcolor="#a0a0a0" stroked="f"/>
        </w:pict>
      </w:r>
    </w:p>
    <w:p w14:paraId="59029953" w14:textId="77777777" w:rsidR="0084406A" w:rsidRDefault="0084406A"/>
    <w:p w14:paraId="59029954" w14:textId="77777777" w:rsidR="0084406A" w:rsidRDefault="002B18AF">
      <w:pPr>
        <w:spacing w:before="180"/>
        <w:jc w:val="both"/>
      </w:pPr>
      <w:r>
        <w:rPr>
          <w:rFonts w:ascii="Arial" w:eastAsia="宋体" w:hAnsi="Arial" w:cs="Arial"/>
          <w:b/>
          <w:bCs/>
          <w:color w:val="000000"/>
          <w:sz w:val="20"/>
          <w:szCs w:val="20"/>
        </w:rPr>
        <w:t>Pending Acquisition</w:t>
      </w:r>
    </w:p>
    <w:p w14:paraId="59029955" w14:textId="77777777" w:rsidR="0084406A" w:rsidRDefault="002B18AF">
      <w:pPr>
        <w:spacing w:before="180"/>
        <w:jc w:val="both"/>
      </w:pPr>
      <w:r>
        <w:rPr>
          <w:rFonts w:ascii="Arial" w:eastAsia="宋体" w:hAnsi="Arial" w:cs="Arial"/>
          <w:color w:val="000000"/>
          <w:sz w:val="20"/>
          <w:szCs w:val="20"/>
        </w:rPr>
        <w:t>On October 26, 2020, we entered into an Agreement and Plan of Merger (the Merger Agreement) with Thrones Merger Sub, Inc., our wholly owned subsidiary (Merger Sub), and Xilinx</w:t>
      </w:r>
      <w:r>
        <w:rPr>
          <w:rFonts w:ascii="Arial" w:eastAsia="宋体" w:hAnsi="Arial" w:cs="Arial"/>
          <w:color w:val="000000"/>
          <w:sz w:val="20"/>
          <w:szCs w:val="20"/>
        </w:rPr>
        <w:t>, Inc. (Xilinx), whereby Merger Sub will merge with and into Xilinx (the Merger), with Xilinx surviving such Merger as a wholly owned subsidiary of ours. Under the Merger Agreement, at the effective time of the Merger (the Effective Time), each share of co</w:t>
      </w:r>
      <w:r>
        <w:rPr>
          <w:rFonts w:ascii="Arial" w:eastAsia="宋体" w:hAnsi="Arial" w:cs="Arial"/>
          <w:color w:val="000000"/>
          <w:sz w:val="20"/>
          <w:szCs w:val="20"/>
        </w:rPr>
        <w:t>mmon stock of Xilinx (Xilinx Common Stock) issued and outstanding immediately prior to the Effective Time (other than treasury shares and any shares of Xilinx Common Stock held directly by us or Merger Sub) will be converted into the right to receive 1.723</w:t>
      </w:r>
      <w:r>
        <w:rPr>
          <w:rFonts w:ascii="Arial" w:eastAsia="宋体" w:hAnsi="Arial" w:cs="Arial"/>
          <w:color w:val="000000"/>
          <w:sz w:val="20"/>
          <w:szCs w:val="20"/>
        </w:rPr>
        <w:t>4 fully paid and non-assessable shares of our common stock and, if applicable, cash in lieu of fractional shares, subject to any applicable withholding. As of the signing of the Merger Agreement, the transaction was valued at $35 billion. The actual valuat</w:t>
      </w:r>
      <w:r>
        <w:rPr>
          <w:rFonts w:ascii="Arial" w:eastAsia="宋体" w:hAnsi="Arial" w:cs="Arial"/>
          <w:color w:val="000000"/>
          <w:sz w:val="20"/>
          <w:szCs w:val="20"/>
        </w:rPr>
        <w:t>ion of the transaction could differ significantly from the estimated amount due to movements in the price of our common stock, the number of shares of Xilinx common stock outstanding on the closing date of the Merger and other factors. The closing of the M</w:t>
      </w:r>
      <w:r>
        <w:rPr>
          <w:rFonts w:ascii="Arial" w:eastAsia="宋体" w:hAnsi="Arial" w:cs="Arial"/>
          <w:color w:val="000000"/>
          <w:sz w:val="20"/>
          <w:szCs w:val="20"/>
        </w:rPr>
        <w:t>erger is subject to customary conditions, including regulatory approval. On April 7, 2021, our stockholders voted to approve all the proposals relating to the Merger at a special meeting of stockholders. Xilinx stockholders also voted to approve their resp</w:t>
      </w:r>
      <w:r>
        <w:rPr>
          <w:rFonts w:ascii="Arial" w:eastAsia="宋体" w:hAnsi="Arial" w:cs="Arial"/>
          <w:color w:val="000000"/>
          <w:sz w:val="20"/>
          <w:szCs w:val="20"/>
        </w:rPr>
        <w:t>ective proposals relating to the Merger at a Xilinx special meeting held on the same day. The Merger is currently expected to close in the first quarter of 2022.</w:t>
      </w:r>
    </w:p>
    <w:p w14:paraId="59029956" w14:textId="77777777" w:rsidR="0084406A" w:rsidRDefault="002B18AF">
      <w:pPr>
        <w:spacing w:before="180"/>
        <w:jc w:val="both"/>
      </w:pPr>
      <w:r>
        <w:rPr>
          <w:rFonts w:ascii="Arial" w:eastAsia="宋体" w:hAnsi="Arial" w:cs="Arial"/>
          <w:b/>
          <w:bCs/>
          <w:color w:val="000000"/>
          <w:sz w:val="20"/>
          <w:szCs w:val="20"/>
        </w:rPr>
        <w:t>Our Industry</w:t>
      </w:r>
    </w:p>
    <w:p w14:paraId="59029957" w14:textId="77777777" w:rsidR="0084406A" w:rsidRDefault="002B18AF">
      <w:pPr>
        <w:spacing w:before="180"/>
        <w:jc w:val="both"/>
      </w:pPr>
      <w:r>
        <w:rPr>
          <w:rFonts w:ascii="Arial" w:eastAsia="宋体" w:hAnsi="Arial" w:cs="Arial"/>
          <w:color w:val="000000"/>
          <w:sz w:val="20"/>
          <w:szCs w:val="20"/>
        </w:rPr>
        <w:t xml:space="preserve">We are a global semiconductor company. Semiconductors are components used in a </w:t>
      </w:r>
      <w:r>
        <w:rPr>
          <w:rFonts w:ascii="Arial" w:eastAsia="宋体" w:hAnsi="Arial" w:cs="Arial"/>
          <w:color w:val="000000"/>
          <w:sz w:val="20"/>
          <w:szCs w:val="20"/>
        </w:rPr>
        <w:t>variety of electronic products and systems. An integrated circuit (IC) is a semiconductor device that consists of many interconnected transistors on a single chip. Since the invention of the transistor in 1948, improvements in IC process and design technol</w:t>
      </w:r>
      <w:r>
        <w:rPr>
          <w:rFonts w:ascii="Arial" w:eastAsia="宋体" w:hAnsi="Arial" w:cs="Arial"/>
          <w:color w:val="000000"/>
          <w:sz w:val="20"/>
          <w:szCs w:val="20"/>
        </w:rPr>
        <w:t>ogies have led to the development of smaller, more complex and more reliable ICs at a lower cost-per-function.</w:t>
      </w:r>
    </w:p>
    <w:p w14:paraId="59029958" w14:textId="77777777" w:rsidR="0084406A" w:rsidRDefault="002B18AF">
      <w:pPr>
        <w:spacing w:before="180"/>
        <w:jc w:val="both"/>
      </w:pPr>
      <w:r>
        <w:rPr>
          <w:rFonts w:ascii="Arial" w:eastAsia="宋体" w:hAnsi="Arial" w:cs="Arial"/>
          <w:b/>
          <w:bCs/>
          <w:color w:val="000000"/>
          <w:sz w:val="20"/>
          <w:szCs w:val="20"/>
        </w:rPr>
        <w:t>Our Strategy</w:t>
      </w:r>
    </w:p>
    <w:p w14:paraId="59029959" w14:textId="77777777" w:rsidR="0084406A" w:rsidRDefault="002B18AF">
      <w:pPr>
        <w:spacing w:before="180"/>
        <w:jc w:val="both"/>
      </w:pPr>
      <w:r>
        <w:rPr>
          <w:rFonts w:ascii="Arial" w:eastAsia="宋体" w:hAnsi="Arial" w:cs="Arial"/>
          <w:color w:val="000000"/>
          <w:sz w:val="20"/>
          <w:szCs w:val="20"/>
        </w:rPr>
        <w:t xml:space="preserve">AMD is focused on high performance computing technology, software and product leadership. Our strategy is to create and deliver the </w:t>
      </w:r>
      <w:r>
        <w:rPr>
          <w:rFonts w:ascii="Arial" w:eastAsia="宋体" w:hAnsi="Arial" w:cs="Arial"/>
          <w:color w:val="000000"/>
          <w:sz w:val="20"/>
          <w:szCs w:val="20"/>
        </w:rPr>
        <w:t>world’s leading high-performance CPUs and GPUs, and to integrate these CPUs and GPUs with hardware and software to build differentiated solutions. We invest in high-performance CPUs for client systems, as well as for high performance computing solutions, c</w:t>
      </w:r>
      <w:r>
        <w:rPr>
          <w:rFonts w:ascii="Arial" w:eastAsia="宋体" w:hAnsi="Arial" w:cs="Arial"/>
          <w:color w:val="000000"/>
          <w:sz w:val="20"/>
          <w:szCs w:val="20"/>
        </w:rPr>
        <w:t>loud infrastructure and the private and public cloud environment. We also invest in high-performance GPUs and software for markets such as gaming, compute, artificial intelligence, cloud gaming, and virtual and augmented reality. We combine our high-perfor</w:t>
      </w:r>
      <w:r>
        <w:rPr>
          <w:rFonts w:ascii="Arial" w:eastAsia="宋体" w:hAnsi="Arial" w:cs="Arial"/>
          <w:color w:val="000000"/>
          <w:sz w:val="20"/>
          <w:szCs w:val="20"/>
        </w:rPr>
        <w:t xml:space="preserve">mance CPUs and GPUs to deliver solutions that are differentiated at the chip level, such as our semi-custom SoCs and APUs, and at the solution level, such as PC and server platforms. </w:t>
      </w:r>
    </w:p>
    <w:p w14:paraId="5902995A" w14:textId="77777777" w:rsidR="0084406A" w:rsidRDefault="002B18AF">
      <w:pPr>
        <w:spacing w:before="180"/>
        <w:jc w:val="both"/>
      </w:pPr>
      <w:r>
        <w:rPr>
          <w:rFonts w:ascii="Arial" w:eastAsia="宋体" w:hAnsi="Arial" w:cs="Arial"/>
          <w:b/>
          <w:bCs/>
          <w:color w:val="000000"/>
          <w:sz w:val="20"/>
          <w:szCs w:val="20"/>
        </w:rPr>
        <w:t>Computing and Graphics Markets</w:t>
      </w:r>
    </w:p>
    <w:p w14:paraId="5902995B" w14:textId="77777777" w:rsidR="0084406A" w:rsidRDefault="002B18AF">
      <w:pPr>
        <w:spacing w:before="180"/>
        <w:jc w:val="both"/>
      </w:pPr>
      <w:r>
        <w:rPr>
          <w:rFonts w:ascii="Arial" w:eastAsia="宋体" w:hAnsi="Arial" w:cs="Arial"/>
          <w:color w:val="000000"/>
          <w:sz w:val="20"/>
          <w:szCs w:val="20"/>
        </w:rPr>
        <w:t>Our Computing and Graphics products addre</w:t>
      </w:r>
      <w:r>
        <w:rPr>
          <w:rFonts w:ascii="Arial" w:eastAsia="宋体" w:hAnsi="Arial" w:cs="Arial"/>
          <w:color w:val="000000"/>
          <w:sz w:val="20"/>
          <w:szCs w:val="20"/>
        </w:rPr>
        <w:t>ss the need for computational and visual data processing in computing devices that include personal computers, laptops / notebooks, and workstations. In the PC market, we design CPUs, APUs and GPUs for consumer and commercial desktops, notebooks and workst</w:t>
      </w:r>
      <w:r>
        <w:rPr>
          <w:rFonts w:ascii="Arial" w:eastAsia="宋体" w:hAnsi="Arial" w:cs="Arial"/>
          <w:color w:val="000000"/>
          <w:sz w:val="20"/>
          <w:szCs w:val="20"/>
        </w:rPr>
        <w:t xml:space="preserve">ations. Our CPUs and APUs are designed to bring performance, efficiency and modern security features to gamers, creators, consumers and commercial enterprises. Our GPUs address the need for improved visual and data processing in various computing devices. </w:t>
      </w:r>
    </w:p>
    <w:p w14:paraId="5902995C" w14:textId="77777777" w:rsidR="0084406A" w:rsidRDefault="002B18AF">
      <w:pPr>
        <w:spacing w:before="180"/>
        <w:jc w:val="both"/>
      </w:pPr>
      <w:r>
        <w:rPr>
          <w:rFonts w:ascii="Arial" w:eastAsia="宋体" w:hAnsi="Arial" w:cs="Arial"/>
          <w:color w:val="000000"/>
          <w:sz w:val="20"/>
          <w:szCs w:val="20"/>
        </w:rPr>
        <w:t>Many consumers use PCs as entertainment platforms, in addition to traditional productivity and communications uses, and therefore value a richer, more visually compelling and immersive experience. As a result, visual realism and graphical display capabili</w:t>
      </w:r>
      <w:r>
        <w:rPr>
          <w:rFonts w:ascii="Arial" w:eastAsia="宋体" w:hAnsi="Arial" w:cs="Arial"/>
          <w:color w:val="000000"/>
          <w:sz w:val="20"/>
          <w:szCs w:val="20"/>
        </w:rPr>
        <w:t xml:space="preserve">ties are key product differentiation elements among computing devices. This has led to the increased creation and use of processing-intensive multimedia content for playing games, capturing media, viewing online videos, editing photos and managing digital </w:t>
      </w:r>
      <w:r>
        <w:rPr>
          <w:rFonts w:ascii="Arial" w:eastAsia="宋体" w:hAnsi="Arial" w:cs="Arial"/>
          <w:color w:val="000000"/>
          <w:sz w:val="20"/>
          <w:szCs w:val="20"/>
        </w:rPr>
        <w:t xml:space="preserve">content on computing devices. In turn, these trends have contributed to higher consumer demand for performance graphics solutions and to manufacturers designing computing devices with these capabilities. Our CPUs and APUs bring performance, efficiency and </w:t>
      </w:r>
      <w:r>
        <w:rPr>
          <w:rFonts w:ascii="Arial" w:eastAsia="宋体" w:hAnsi="Arial" w:cs="Arial"/>
          <w:color w:val="000000"/>
          <w:sz w:val="20"/>
          <w:szCs w:val="20"/>
        </w:rPr>
        <w:t>modern security features to gamers, creators, consumers and enterprises. Industries that utilize computer assisted design (CAD), that develop content for media and entertainment markets and that generate professional visualizations and renderings can benef</w:t>
      </w:r>
      <w:r>
        <w:rPr>
          <w:rFonts w:ascii="Arial" w:eastAsia="宋体" w:hAnsi="Arial" w:cs="Arial"/>
          <w:color w:val="000000"/>
          <w:sz w:val="20"/>
          <w:szCs w:val="20"/>
        </w:rPr>
        <w:t>it greatly from graphics solutions optimized for the professional graphics market.</w:t>
      </w:r>
    </w:p>
    <w:p w14:paraId="5902995D" w14:textId="77777777" w:rsidR="0084406A" w:rsidRDefault="002B18AF">
      <w:pPr>
        <w:jc w:val="center"/>
      </w:pPr>
      <w:r>
        <w:rPr>
          <w:rFonts w:ascii="Arial" w:eastAsia="宋体" w:hAnsi="Arial" w:cs="Arial"/>
          <w:color w:val="000000"/>
          <w:sz w:val="20"/>
          <w:szCs w:val="20"/>
        </w:rPr>
        <w:t>3</w:t>
      </w:r>
    </w:p>
    <w:p w14:paraId="5902995E" w14:textId="77777777" w:rsidR="0084406A" w:rsidRDefault="002B18AF">
      <w:r>
        <w:pict w14:anchorId="5902BAF7">
          <v:rect id="_x0000_i1030" style="width:415.3pt;height:1.5pt" o:hralign="center" o:hrstd="t" o:hr="t" fillcolor="#a0a0a0" stroked="f"/>
        </w:pict>
      </w:r>
    </w:p>
    <w:p w14:paraId="5902995F" w14:textId="77777777" w:rsidR="0084406A" w:rsidRDefault="0084406A"/>
    <w:p w14:paraId="59029960" w14:textId="77777777" w:rsidR="0084406A" w:rsidRDefault="002B18AF">
      <w:pPr>
        <w:spacing w:before="180"/>
        <w:jc w:val="both"/>
      </w:pPr>
      <w:r>
        <w:rPr>
          <w:rFonts w:ascii="Arial" w:eastAsia="宋体" w:hAnsi="Arial" w:cs="Arial"/>
          <w:color w:val="000000"/>
          <w:sz w:val="20"/>
          <w:szCs w:val="20"/>
        </w:rPr>
        <w:t>In addition to traditional graphics markets, there is a large and growing demand for accelerated computing, powered by graphics processors in markets such as high perfo</w:t>
      </w:r>
      <w:r>
        <w:rPr>
          <w:rFonts w:ascii="Arial" w:eastAsia="宋体" w:hAnsi="Arial" w:cs="Arial"/>
          <w:color w:val="000000"/>
          <w:sz w:val="20"/>
          <w:szCs w:val="20"/>
        </w:rPr>
        <w:t>rmance computing (HPC), artificial intelligence, and Cloud Visualization (Virtual Desktop Infrastructure &amp; Cloud Gaming). Another area of the market for graphics compute is blockchain technology, which is a decentralized digital ledger used to securely sto</w:t>
      </w:r>
      <w:r>
        <w:rPr>
          <w:rFonts w:ascii="Arial" w:eastAsia="宋体" w:hAnsi="Arial" w:cs="Arial"/>
          <w:color w:val="000000"/>
          <w:sz w:val="20"/>
          <w:szCs w:val="20"/>
        </w:rPr>
        <w:t>re, transmit and process sensitive and valuable data. Blockchain applications are typically performed using specially designed application-specific integrated circuits (ASICs) or a general-purpose CPU or GPU.</w:t>
      </w:r>
    </w:p>
    <w:p w14:paraId="59029961" w14:textId="77777777" w:rsidR="0084406A" w:rsidRDefault="002B18AF">
      <w:pPr>
        <w:spacing w:before="180"/>
      </w:pPr>
      <w:r>
        <w:rPr>
          <w:rFonts w:ascii="Arial" w:eastAsia="宋体" w:hAnsi="Arial" w:cs="Arial"/>
          <w:b/>
          <w:bCs/>
          <w:i/>
          <w:iCs/>
          <w:color w:val="000000"/>
          <w:sz w:val="20"/>
          <w:szCs w:val="20"/>
        </w:rPr>
        <w:t>Our Computing Products</w:t>
      </w:r>
    </w:p>
    <w:p w14:paraId="59029962" w14:textId="77777777" w:rsidR="0084406A" w:rsidRDefault="002B18AF">
      <w:pPr>
        <w:spacing w:before="180"/>
        <w:jc w:val="both"/>
      </w:pPr>
      <w:r>
        <w:rPr>
          <w:rFonts w:ascii="Arial" w:eastAsia="宋体" w:hAnsi="Arial" w:cs="Arial"/>
          <w:color w:val="000000"/>
          <w:sz w:val="20"/>
          <w:szCs w:val="20"/>
        </w:rPr>
        <w:t xml:space="preserve">Our </w:t>
      </w:r>
      <w:r>
        <w:rPr>
          <w:rFonts w:ascii="Arial" w:eastAsia="宋体" w:hAnsi="Arial" w:cs="Arial"/>
          <w:color w:val="000000"/>
          <w:sz w:val="20"/>
          <w:szCs w:val="20"/>
        </w:rPr>
        <w:t>microprocessors are incorporated into computing platforms, which are a collection of technologies that are designed to work together to provide a more complete computing solution. We believe that integrated, balanced computing platforms consisting of micro</w:t>
      </w:r>
      <w:r>
        <w:rPr>
          <w:rFonts w:ascii="Arial" w:eastAsia="宋体" w:hAnsi="Arial" w:cs="Arial"/>
          <w:color w:val="000000"/>
          <w:sz w:val="20"/>
          <w:szCs w:val="20"/>
        </w:rPr>
        <w:t>processors, chipsets (either as discrete devices or integrated into an SoC) and GPUs (either as discrete GPUs or integrated into an APU or SoC) that work together at the system level bring end users improved system stability, increased performance and enha</w:t>
      </w:r>
      <w:r>
        <w:rPr>
          <w:rFonts w:ascii="Arial" w:eastAsia="宋体" w:hAnsi="Arial" w:cs="Arial"/>
          <w:color w:val="000000"/>
          <w:sz w:val="20"/>
          <w:szCs w:val="20"/>
        </w:rPr>
        <w:t>nced power efficiency. In addition, we believe our customers also benefit from an all-AMD platform (consisting of an APU or CPU, a discrete GPU, and a chipset when needed), as we are able to optimize interoperability, provide our customers a single point o</w:t>
      </w:r>
      <w:r>
        <w:rPr>
          <w:rFonts w:ascii="Arial" w:eastAsia="宋体" w:hAnsi="Arial" w:cs="Arial"/>
          <w:color w:val="000000"/>
          <w:sz w:val="20"/>
          <w:szCs w:val="20"/>
        </w:rPr>
        <w:t>f contact for the key platform components and enable them to bring the platforms to market quickly in a variety of PC and server system form factors.</w:t>
      </w:r>
    </w:p>
    <w:p w14:paraId="59029963" w14:textId="77777777" w:rsidR="0084406A" w:rsidRDefault="002B18AF">
      <w:pPr>
        <w:spacing w:before="180"/>
        <w:jc w:val="both"/>
      </w:pPr>
      <w:r>
        <w:rPr>
          <w:rFonts w:ascii="Arial" w:eastAsia="宋体" w:hAnsi="Arial" w:cs="Arial"/>
          <w:color w:val="000000"/>
          <w:sz w:val="20"/>
          <w:szCs w:val="20"/>
        </w:rPr>
        <w:t>We currently base our microprocessors and chipsets on the x86 instruction set architecture and the AMD Inf</w:t>
      </w:r>
      <w:r>
        <w:rPr>
          <w:rFonts w:ascii="Arial" w:eastAsia="宋体" w:hAnsi="Arial" w:cs="Arial"/>
          <w:color w:val="000000"/>
          <w:sz w:val="20"/>
          <w:szCs w:val="20"/>
        </w:rPr>
        <w:t xml:space="preserve">inity Fabric™, which connects an on-chip memory controller and input/output (I/O) channels directly to one or more microprocessor cores. We typically integrate two or more processor cores onto a single die, and each core has its own dedicated cache, which </w:t>
      </w:r>
      <w:r>
        <w:rPr>
          <w:rFonts w:ascii="Arial" w:eastAsia="宋体" w:hAnsi="Arial" w:cs="Arial"/>
          <w:color w:val="000000"/>
          <w:sz w:val="20"/>
          <w:szCs w:val="20"/>
        </w:rPr>
        <w:t>is memory that is located on the semiconductor die, permitting quick access to frequently used data and instructions. Some of our microprocessors have additional levels of cache such as L2, or second-level cache, and L3, or third-level cache, to enable fas</w:t>
      </w:r>
      <w:r>
        <w:rPr>
          <w:rFonts w:ascii="Arial" w:eastAsia="宋体" w:hAnsi="Arial" w:cs="Arial"/>
          <w:color w:val="000000"/>
          <w:sz w:val="20"/>
          <w:szCs w:val="20"/>
        </w:rPr>
        <w:t>t data access and high-performance.</w:t>
      </w:r>
    </w:p>
    <w:p w14:paraId="59029964" w14:textId="77777777" w:rsidR="0084406A" w:rsidRDefault="002B18AF">
      <w:pPr>
        <w:spacing w:before="180"/>
        <w:jc w:val="both"/>
      </w:pPr>
      <w:r>
        <w:rPr>
          <w:rFonts w:ascii="Arial" w:eastAsia="宋体" w:hAnsi="Arial" w:cs="Arial"/>
          <w:color w:val="000000"/>
          <w:sz w:val="20"/>
          <w:szCs w:val="20"/>
        </w:rPr>
        <w:t>We focus on continually improving the energy efficiency of our products through our design principles and innovations in power management technology. To that end, we offer CPUs, GPUs, APUs, SoCs and chipsets with multipl</w:t>
      </w:r>
      <w:r>
        <w:rPr>
          <w:rFonts w:ascii="Arial" w:eastAsia="宋体" w:hAnsi="Arial" w:cs="Arial"/>
          <w:color w:val="000000"/>
          <w:sz w:val="20"/>
          <w:szCs w:val="20"/>
        </w:rPr>
        <w:t xml:space="preserve">e low power states that are designed to utilize lower clock speeds and voltages to reduce processor power consumption during active and idle times. The use of intelligent, dynamic power management is designed to create lower energy use by allowing compute </w:t>
      </w:r>
      <w:r>
        <w:rPr>
          <w:rFonts w:ascii="Arial" w:eastAsia="宋体" w:hAnsi="Arial" w:cs="Arial"/>
          <w:color w:val="000000"/>
          <w:sz w:val="20"/>
          <w:szCs w:val="20"/>
        </w:rPr>
        <w:t>applications to be completed quickly and efficiently, enabling a return to the ultra-low power idle state. We also continually strive to improve security features in our products to help our customers protect their sensitive information. To that end, we of</w:t>
      </w:r>
      <w:r>
        <w:rPr>
          <w:rFonts w:ascii="Arial" w:eastAsia="宋体" w:hAnsi="Arial" w:cs="Arial"/>
          <w:color w:val="000000"/>
          <w:sz w:val="20"/>
          <w:szCs w:val="20"/>
        </w:rPr>
        <w:t>fer integrated on-chip security features and other security features our customers can choose to enable.</w:t>
      </w:r>
    </w:p>
    <w:p w14:paraId="59029965" w14:textId="77777777" w:rsidR="0084406A" w:rsidRDefault="002B18AF">
      <w:pPr>
        <w:spacing w:before="180"/>
        <w:jc w:val="both"/>
      </w:pPr>
      <w:r>
        <w:rPr>
          <w:rFonts w:ascii="Arial" w:eastAsia="宋体" w:hAnsi="Arial" w:cs="Arial"/>
          <w:b/>
          <w:bCs/>
          <w:i/>
          <w:iCs/>
          <w:color w:val="000000"/>
          <w:sz w:val="20"/>
          <w:szCs w:val="20"/>
        </w:rPr>
        <w:t>Desktop Microprocessors</w:t>
      </w:r>
      <w:r>
        <w:rPr>
          <w:rFonts w:ascii="Arial" w:eastAsia="宋体" w:hAnsi="Arial" w:cs="Arial"/>
          <w:i/>
          <w:iCs/>
          <w:color w:val="000000"/>
          <w:sz w:val="20"/>
          <w:szCs w:val="20"/>
        </w:rPr>
        <w:t>.</w:t>
      </w:r>
      <w:r>
        <w:rPr>
          <w:rFonts w:ascii="Arial" w:eastAsia="宋体" w:hAnsi="Arial" w:cs="Arial"/>
          <w:color w:val="000000"/>
          <w:sz w:val="20"/>
          <w:szCs w:val="20"/>
        </w:rPr>
        <w:t xml:space="preserve"> Our microprocessors for desktop platforms currently include the AMD Ryzen series processors and AMD Athlon processors. Our AMD</w:t>
      </w:r>
      <w:r>
        <w:rPr>
          <w:rFonts w:ascii="Arial" w:eastAsia="宋体" w:hAnsi="Arial" w:cs="Arial"/>
          <w:color w:val="000000"/>
          <w:sz w:val="20"/>
          <w:szCs w:val="20"/>
        </w:rPr>
        <w:t xml:space="preserve"> Ryzen 5000 Series desktop processor family powered by our “Zen 3” core architecture has up to 16 cores and delivers across the board leadership performance for gamers and content creators.</w:t>
      </w:r>
    </w:p>
    <w:p w14:paraId="59029966" w14:textId="77777777" w:rsidR="0084406A" w:rsidRDefault="002B18AF">
      <w:pPr>
        <w:spacing w:before="180"/>
        <w:jc w:val="both"/>
      </w:pPr>
      <w:r>
        <w:rPr>
          <w:rFonts w:ascii="Arial" w:eastAsia="宋体" w:hAnsi="Arial" w:cs="Arial"/>
          <w:b/>
          <w:bCs/>
          <w:i/>
          <w:iCs/>
          <w:color w:val="000000"/>
          <w:sz w:val="20"/>
          <w:szCs w:val="20"/>
        </w:rPr>
        <w:t>Notebook Microprocessors</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Our mobile APUs, including AMD Ryzen and</w:t>
      </w:r>
      <w:r>
        <w:rPr>
          <w:rFonts w:ascii="Arial" w:eastAsia="宋体" w:hAnsi="Arial" w:cs="Arial"/>
          <w:color w:val="000000"/>
          <w:sz w:val="20"/>
          <w:szCs w:val="20"/>
        </w:rPr>
        <w:t xml:space="preserve"> AMD Athlon mobile processors for the consumer and commercial markets, combine both high levels of performance and efficiency for notebook PC platforms. In January 2021, we launched our </w:t>
      </w:r>
      <w:r>
        <w:rPr>
          <w:rFonts w:ascii="Arial" w:eastAsia="宋体" w:hAnsi="Arial" w:cs="Arial"/>
          <w:color w:val="000000"/>
          <w:sz w:val="20"/>
          <w:szCs w:val="20"/>
          <w:shd w:val="clear" w:color="auto" w:fill="FFFFFF"/>
        </w:rPr>
        <w:t>AMD Ryzen 5000 Series Mobile Processors, which are powered with our “Z</w:t>
      </w:r>
      <w:r>
        <w:rPr>
          <w:rFonts w:ascii="Arial" w:eastAsia="宋体" w:hAnsi="Arial" w:cs="Arial"/>
          <w:color w:val="000000"/>
          <w:sz w:val="20"/>
          <w:szCs w:val="20"/>
          <w:shd w:val="clear" w:color="auto" w:fill="FFFFFF"/>
        </w:rPr>
        <w:t xml:space="preserve">en 3” core architecture and are designed for gamers, creators and professionals. </w:t>
      </w:r>
    </w:p>
    <w:p w14:paraId="59029967" w14:textId="77777777" w:rsidR="0084406A" w:rsidRDefault="002B18AF">
      <w:pPr>
        <w:spacing w:before="180"/>
        <w:jc w:val="both"/>
      </w:pPr>
      <w:r>
        <w:rPr>
          <w:rFonts w:ascii="Arial" w:eastAsia="宋体" w:hAnsi="Arial" w:cs="Arial"/>
          <w:b/>
          <w:bCs/>
          <w:i/>
          <w:iCs/>
          <w:color w:val="000000"/>
          <w:sz w:val="20"/>
          <w:szCs w:val="20"/>
        </w:rPr>
        <w:t>Commercial Microprocessors</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We offer enterprise-class desktop and notebook PC solutions sold as AMD PRO Mobile and AMD PRO desktop processors with Radeon graphics for the com</w:t>
      </w:r>
      <w:r>
        <w:rPr>
          <w:rFonts w:ascii="Arial" w:eastAsia="宋体" w:hAnsi="Arial" w:cs="Arial"/>
          <w:color w:val="000000"/>
          <w:sz w:val="20"/>
          <w:szCs w:val="20"/>
        </w:rPr>
        <w:t>mercial market. AMD Ryzen PRO, AMD Threadripper PRO and AMD Athlon PRO series solutions are designed to provide enterprise customers with the performance, security capabilities and business features such as enhanced security and manageability, platform lon</w:t>
      </w:r>
      <w:r>
        <w:rPr>
          <w:rFonts w:ascii="Arial" w:eastAsia="宋体" w:hAnsi="Arial" w:cs="Arial"/>
          <w:color w:val="000000"/>
          <w:sz w:val="20"/>
          <w:szCs w:val="20"/>
        </w:rPr>
        <w:t xml:space="preserve">gevity and extended image stability. </w:t>
      </w:r>
      <w:r>
        <w:rPr>
          <w:rFonts w:ascii="Arial" w:eastAsia="宋体" w:hAnsi="Arial" w:cs="Arial"/>
          <w:color w:val="000000"/>
          <w:sz w:val="20"/>
          <w:szCs w:val="20"/>
          <w:shd w:val="clear" w:color="auto" w:fill="FFFFFF"/>
        </w:rPr>
        <w:t xml:space="preserve">We launched the AMD Ryzen PRO 5000 Series Mobile Processors powered with our “Zen 3” core architecture for business laptops in March 2021. </w:t>
      </w:r>
    </w:p>
    <w:p w14:paraId="59029968" w14:textId="77777777" w:rsidR="0084406A" w:rsidRDefault="002B18AF">
      <w:pPr>
        <w:spacing w:before="180"/>
        <w:jc w:val="both"/>
      </w:pPr>
      <w:r>
        <w:rPr>
          <w:rFonts w:ascii="Arial" w:eastAsia="宋体" w:hAnsi="Arial" w:cs="Arial"/>
          <w:b/>
          <w:bCs/>
          <w:i/>
          <w:iCs/>
          <w:color w:val="000000"/>
          <w:sz w:val="20"/>
          <w:szCs w:val="20"/>
        </w:rPr>
        <w:t>Chipsets</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We offer a full suite of chipset products to support our AMD Ryzen an</w:t>
      </w:r>
      <w:r>
        <w:rPr>
          <w:rFonts w:ascii="Arial" w:eastAsia="宋体" w:hAnsi="Arial" w:cs="Arial"/>
          <w:color w:val="000000"/>
          <w:sz w:val="20"/>
          <w:szCs w:val="20"/>
        </w:rPr>
        <w:t xml:space="preserve">d Threadripper platforms, including the X570 chipset which supports PCIe® 4.0 (fourth generation Peripheral Component Interconnect Express motherboard interface) designed for enthusiast desktop platforms. We offer the B550 chipset and the A520 chipset for </w:t>
      </w:r>
      <w:r>
        <w:rPr>
          <w:rFonts w:ascii="Arial" w:eastAsia="宋体" w:hAnsi="Arial" w:cs="Arial"/>
          <w:color w:val="000000"/>
          <w:sz w:val="20"/>
          <w:szCs w:val="20"/>
        </w:rPr>
        <w:t>socket AM4 for 3rd Gen AMD Ryzen desktop processors and 5000 processors. In addition, we continue to offer the B450 and A320 chipsets that are combined with AMD Ryzen processors for the AM4 desktop platform for the performance and affordable mainstream pla</w:t>
      </w:r>
      <w:r>
        <w:rPr>
          <w:rFonts w:ascii="Arial" w:eastAsia="宋体" w:hAnsi="Arial" w:cs="Arial"/>
          <w:color w:val="000000"/>
          <w:sz w:val="20"/>
          <w:szCs w:val="20"/>
        </w:rPr>
        <w:t xml:space="preserve">tforms segments. In the High-End Desktop (HEDT) and Workstation segments, we offer the TRX40 and the WRX80 chipsets, respectively, to support the 3rd Gen Ryzen Threadripper and Threadripper PRO platforms offering high speed I/O and platform bandwidth. </w:t>
      </w:r>
    </w:p>
    <w:p w14:paraId="59029969" w14:textId="77777777" w:rsidR="0084406A" w:rsidRDefault="002B18AF">
      <w:pPr>
        <w:jc w:val="center"/>
      </w:pPr>
      <w:r>
        <w:rPr>
          <w:rFonts w:ascii="Arial" w:eastAsia="宋体" w:hAnsi="Arial" w:cs="Arial"/>
          <w:color w:val="000000"/>
          <w:sz w:val="20"/>
          <w:szCs w:val="20"/>
        </w:rPr>
        <w:t>4</w:t>
      </w:r>
    </w:p>
    <w:p w14:paraId="5902996A" w14:textId="77777777" w:rsidR="0084406A" w:rsidRDefault="002B18AF">
      <w:r>
        <w:pict w14:anchorId="5902BAF8">
          <v:rect id="_x0000_i1031" style="width:415.3pt;height:1.5pt" o:hralign="center" o:hrstd="t" o:hr="t" fillcolor="#a0a0a0" stroked="f"/>
        </w:pict>
      </w:r>
    </w:p>
    <w:p w14:paraId="5902996B" w14:textId="77777777" w:rsidR="0084406A" w:rsidRDefault="0084406A"/>
    <w:p w14:paraId="5902996C" w14:textId="77777777" w:rsidR="0084406A" w:rsidRDefault="002B18AF">
      <w:pPr>
        <w:spacing w:before="180"/>
        <w:jc w:val="both"/>
      </w:pPr>
      <w:r>
        <w:rPr>
          <w:rFonts w:ascii="Arial" w:eastAsia="宋体" w:hAnsi="Arial" w:cs="Arial"/>
          <w:b/>
          <w:bCs/>
          <w:i/>
          <w:iCs/>
          <w:color w:val="000000"/>
          <w:sz w:val="20"/>
          <w:szCs w:val="20"/>
        </w:rPr>
        <w:t>Our Graphics Products</w:t>
      </w:r>
    </w:p>
    <w:p w14:paraId="5902996D" w14:textId="77777777" w:rsidR="0084406A" w:rsidRDefault="002B18AF">
      <w:pPr>
        <w:spacing w:before="180"/>
        <w:jc w:val="both"/>
      </w:pPr>
      <w:r>
        <w:rPr>
          <w:rFonts w:ascii="Arial" w:eastAsia="宋体" w:hAnsi="Arial" w:cs="Arial"/>
          <w:color w:val="000000"/>
          <w:sz w:val="20"/>
          <w:szCs w:val="20"/>
        </w:rPr>
        <w:t>Graphics processing is a fundamental component across many of our products and can be found in an APU, GPU, SoC or a combination of a discrete GPU with one of the other foregoing products working in tandem. Our customers generally u</w:t>
      </w:r>
      <w:r>
        <w:rPr>
          <w:rFonts w:ascii="Arial" w:eastAsia="宋体" w:hAnsi="Arial" w:cs="Arial"/>
          <w:color w:val="000000"/>
          <w:sz w:val="20"/>
          <w:szCs w:val="20"/>
        </w:rPr>
        <w:t>se our graphics solutions to enable or increase the speed of rendering images, to help improve image resolution and color definition, and increasingly to process massive data sets for cloud and data center applications. We develop our graphics products for</w:t>
      </w:r>
      <w:r>
        <w:rPr>
          <w:rFonts w:ascii="Arial" w:eastAsia="宋体" w:hAnsi="Arial" w:cs="Arial"/>
          <w:color w:val="000000"/>
          <w:sz w:val="20"/>
          <w:szCs w:val="20"/>
        </w:rPr>
        <w:t xml:space="preserve"> use in various computing devices and entertainment platforms, including desktop PCs, notebook PCs, All-in-Ones (AIOs), professional workstations, and the data center. With each of our graphics products, we have available drivers and supporting software pa</w:t>
      </w:r>
      <w:r>
        <w:rPr>
          <w:rFonts w:ascii="Arial" w:eastAsia="宋体" w:hAnsi="Arial" w:cs="Arial"/>
          <w:color w:val="000000"/>
          <w:sz w:val="20"/>
          <w:szCs w:val="20"/>
        </w:rPr>
        <w:t>ckages that enable the effective use of these products under a variety of operating systems and applications. We have developed RDNA™ 2, a high performing and power efficient graphics architecture, which is the foundation for next-generation PC gaming grap</w:t>
      </w:r>
      <w:r>
        <w:rPr>
          <w:rFonts w:ascii="Arial" w:eastAsia="宋体" w:hAnsi="Arial" w:cs="Arial"/>
          <w:color w:val="000000"/>
          <w:sz w:val="20"/>
          <w:szCs w:val="20"/>
        </w:rPr>
        <w:t>hics, the PlayStation 5 and Xbox Series S and X consoles. Additionally, our RDNA 2 architecture supports advanced graphics features such as ray tracing, Infinity Cache and variable rate shading. Our hardware and software components are used to implement ra</w:t>
      </w:r>
      <w:r>
        <w:rPr>
          <w:rFonts w:ascii="Arial" w:eastAsia="宋体" w:hAnsi="Arial" w:cs="Arial"/>
          <w:color w:val="000000"/>
          <w:sz w:val="20"/>
          <w:szCs w:val="20"/>
        </w:rPr>
        <w:t>y tracing technology to simulate the paths of light rays moving through a movie or game scene, resulting in photorealistic 3D images.</w:t>
      </w:r>
    </w:p>
    <w:p w14:paraId="5902996E" w14:textId="77777777" w:rsidR="0084406A" w:rsidRDefault="002B18AF">
      <w:pPr>
        <w:spacing w:before="180"/>
        <w:jc w:val="both"/>
      </w:pPr>
      <w:r>
        <w:rPr>
          <w:rFonts w:ascii="Arial" w:eastAsia="宋体" w:hAnsi="Arial" w:cs="Arial"/>
          <w:color w:val="000000"/>
          <w:sz w:val="20"/>
          <w:szCs w:val="20"/>
        </w:rPr>
        <w:t>Our APUs deliver visual processing functionality for value and mainstream PCs by integrating a CPU and a GPU on a single c</w:t>
      </w:r>
      <w:r>
        <w:rPr>
          <w:rFonts w:ascii="Arial" w:eastAsia="宋体" w:hAnsi="Arial" w:cs="Arial"/>
          <w:color w:val="000000"/>
          <w:sz w:val="20"/>
          <w:szCs w:val="20"/>
        </w:rPr>
        <w:t>hip, while discrete GPUs (which are also known as dGPUs) offer high-performance graphics processing across all platforms. AMD Accelerated Parallel Processing or General Purpose GPU (GPGPU) refers to a set of advanced hardware and software technologies that</w:t>
      </w:r>
      <w:r>
        <w:rPr>
          <w:rFonts w:ascii="Arial" w:eastAsia="宋体" w:hAnsi="Arial" w:cs="Arial"/>
          <w:color w:val="000000"/>
          <w:sz w:val="20"/>
          <w:szCs w:val="20"/>
        </w:rPr>
        <w:t xml:space="preserve"> enable discrete AMD GPUs, working in concert with the CPU, to accelerate computational tasks beyond traditional CPU processing by utilizing the vast number of GPU cores while working with the CPU to process information cooperatively. In addition, computin</w:t>
      </w:r>
      <w:r>
        <w:rPr>
          <w:rFonts w:ascii="Arial" w:eastAsia="宋体" w:hAnsi="Arial" w:cs="Arial"/>
          <w:color w:val="000000"/>
          <w:sz w:val="20"/>
          <w:szCs w:val="20"/>
        </w:rPr>
        <w:t xml:space="preserve">g devices with heterogeneous computing features can run computationally-intensive tasks more efficiently, which we believe provides a superior application experience to the end user. Moreover, heterogeneous computing allows for the elevation of the GPU to </w:t>
      </w:r>
      <w:r>
        <w:rPr>
          <w:rFonts w:ascii="Arial" w:eastAsia="宋体" w:hAnsi="Arial" w:cs="Arial"/>
          <w:color w:val="000000"/>
          <w:sz w:val="20"/>
          <w:szCs w:val="20"/>
        </w:rPr>
        <w:t xml:space="preserve">the same level as the CPU for memory access, queuing, and execution. </w:t>
      </w:r>
    </w:p>
    <w:p w14:paraId="5902996F" w14:textId="77777777" w:rsidR="0084406A" w:rsidRDefault="002B18AF">
      <w:pPr>
        <w:spacing w:before="180"/>
        <w:jc w:val="both"/>
      </w:pPr>
      <w:r>
        <w:rPr>
          <w:rFonts w:ascii="Arial" w:eastAsia="宋体" w:hAnsi="Arial" w:cs="Arial"/>
          <w:b/>
          <w:bCs/>
          <w:i/>
          <w:iCs/>
          <w:color w:val="000000"/>
          <w:sz w:val="20"/>
          <w:szCs w:val="20"/>
        </w:rPr>
        <w:t>Discrete Desktop and Notebook Graphics</w:t>
      </w:r>
      <w:r>
        <w:rPr>
          <w:rFonts w:ascii="Arial" w:eastAsia="宋体" w:hAnsi="Arial" w:cs="Arial"/>
          <w:color w:val="000000"/>
          <w:sz w:val="20"/>
          <w:szCs w:val="20"/>
        </w:rPr>
        <w:t xml:space="preserve">. Our AMD Radeon™ series discrete GPU processors for desktop and notebook PCs support current generation application program interfaces (APIs) like </w:t>
      </w:r>
      <w:r>
        <w:rPr>
          <w:rFonts w:ascii="Arial" w:eastAsia="宋体" w:hAnsi="Arial" w:cs="Arial"/>
          <w:color w:val="000000"/>
          <w:sz w:val="20"/>
          <w:szCs w:val="20"/>
        </w:rPr>
        <w:t>DirectX® 12 Ultimate and Vulkan®, support new displays using AMD FreeSync™, AMD FreeSync Premium, and AMD FreeSync Premium Pro technologies, and are designed to support virtual reality (VR) in PC platforms. Our AMD Radeon Software expands remote gaming fun</w:t>
      </w:r>
      <w:r>
        <w:rPr>
          <w:rFonts w:ascii="Arial" w:eastAsia="宋体" w:hAnsi="Arial" w:cs="Arial"/>
          <w:color w:val="000000"/>
          <w:sz w:val="20"/>
          <w:szCs w:val="20"/>
        </w:rPr>
        <w:t>ctionality and enables new features and customization capabilities. In addition, we also offer tools for game developers such as our AMD FidelityFX™ open-source image quality software toolkit that helps deliver improved visual quality with minimal performa</w:t>
      </w:r>
      <w:r>
        <w:rPr>
          <w:rFonts w:ascii="Arial" w:eastAsia="宋体" w:hAnsi="Arial" w:cs="Arial"/>
          <w:color w:val="000000"/>
          <w:sz w:val="20"/>
          <w:szCs w:val="20"/>
        </w:rPr>
        <w:t xml:space="preserve">nce overhead. Our latest FidelityFX Super Resolution (FSR) uses upscaling technologies to help boost frame rates in games. </w:t>
      </w:r>
    </w:p>
    <w:p w14:paraId="59029970" w14:textId="77777777" w:rsidR="0084406A" w:rsidRDefault="002B18AF">
      <w:pPr>
        <w:spacing w:before="180"/>
        <w:jc w:val="both"/>
      </w:pPr>
      <w:r>
        <w:rPr>
          <w:rFonts w:ascii="Arial" w:eastAsia="宋体" w:hAnsi="Arial" w:cs="Arial"/>
          <w:color w:val="000000"/>
          <w:sz w:val="20"/>
          <w:szCs w:val="20"/>
        </w:rPr>
        <w:t>We offer AMD Radeon RX 6000M and RX 6000S series mobile graphics for high-performance gaming notebooks. Our AMD Advantage Design™ Fr</w:t>
      </w:r>
      <w:r>
        <w:rPr>
          <w:rFonts w:ascii="Arial" w:eastAsia="宋体" w:hAnsi="Arial" w:cs="Arial"/>
          <w:color w:val="000000"/>
          <w:sz w:val="20"/>
          <w:szCs w:val="20"/>
        </w:rPr>
        <w:t>amework, a collaboration with our global PC partners, delivers high-performance gaming notebooks by combining AMD Radeon RX series mobile graphics, AMD Software and AMD Ryzen series mobile processors with AMD smart technologies to deliver best-in-class gam</w:t>
      </w:r>
      <w:r>
        <w:rPr>
          <w:rFonts w:ascii="Arial" w:eastAsia="宋体" w:hAnsi="Arial" w:cs="Arial"/>
          <w:color w:val="000000"/>
          <w:sz w:val="20"/>
          <w:szCs w:val="20"/>
        </w:rPr>
        <w:t>ing experiences. We continued the roll-out of the AMD RDNA 2 architecture in the desktop market that began in 2020 with additional Radeon RX 6000 series graphics card launches. In July 2021, we announced the AMD Radeon RX 6600 XT graphics card, designed to</w:t>
      </w:r>
      <w:r>
        <w:rPr>
          <w:rFonts w:ascii="Arial" w:eastAsia="宋体" w:hAnsi="Arial" w:cs="Arial"/>
          <w:color w:val="000000"/>
          <w:sz w:val="20"/>
          <w:szCs w:val="20"/>
        </w:rPr>
        <w:t xml:space="preserve"> deliver high-framerate, high-fidelity and highly responsive 1080p gaming experience. </w:t>
      </w:r>
    </w:p>
    <w:p w14:paraId="59029971" w14:textId="77777777" w:rsidR="0084406A" w:rsidRDefault="002B18AF">
      <w:pPr>
        <w:spacing w:before="180"/>
        <w:jc w:val="both"/>
      </w:pPr>
      <w:r>
        <w:rPr>
          <w:rFonts w:ascii="Arial" w:eastAsia="宋体" w:hAnsi="Arial" w:cs="Arial"/>
          <w:b/>
          <w:bCs/>
          <w:i/>
          <w:iCs/>
          <w:color w:val="000000"/>
          <w:sz w:val="20"/>
          <w:szCs w:val="20"/>
        </w:rPr>
        <w:t>Professional Graphics</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 xml:space="preserve">Our AMD Radeon PRO family of professional graphics products includes multi-view graphics cards and GPUs designed for integration in mobile and </w:t>
      </w:r>
      <w:r>
        <w:rPr>
          <w:rFonts w:ascii="Arial" w:eastAsia="宋体" w:hAnsi="Arial" w:cs="Arial"/>
          <w:color w:val="000000"/>
          <w:sz w:val="20"/>
          <w:szCs w:val="20"/>
        </w:rPr>
        <w:t>desktop workstations. AMD Radeon PRO graphics cards are designed for demanding use cases such as design and manufacturing for CAD, and media and entertainment for broadcast and animation pipelines. AMD Radeon PRO supports end users utilizing GPU accelerate</w:t>
      </w:r>
      <w:r>
        <w:rPr>
          <w:rFonts w:ascii="Arial" w:eastAsia="宋体" w:hAnsi="Arial" w:cs="Arial"/>
          <w:color w:val="000000"/>
          <w:sz w:val="20"/>
          <w:szCs w:val="20"/>
        </w:rPr>
        <w:t>d visualization for construction, architecture and mechanical design through gaming and visualization engines on high resolution displays; Radeon VR Creator cards are also capable of supporting this functionality with VR and augmented reality (AR). Softwar</w:t>
      </w:r>
      <w:r>
        <w:rPr>
          <w:rFonts w:ascii="Arial" w:eastAsia="宋体" w:hAnsi="Arial" w:cs="Arial"/>
          <w:color w:val="000000"/>
          <w:sz w:val="20"/>
          <w:szCs w:val="20"/>
        </w:rPr>
        <w:t>e drivers for AMD Radeon PRO cards are designed to deliver high stability and performance across a wide variety of software packages including those requiring professional software vendor certifications. Our AMD Radeon PRO W6000 series workstation graphics</w:t>
      </w:r>
      <w:r>
        <w:rPr>
          <w:rFonts w:ascii="Arial" w:eastAsia="宋体" w:hAnsi="Arial" w:cs="Arial"/>
          <w:color w:val="000000"/>
          <w:sz w:val="20"/>
          <w:szCs w:val="20"/>
        </w:rPr>
        <w:t xml:space="preserve"> include AMD RDNA 2 architecture and AMD Infinity Cache and are designed to reduce latency and power consumption and to optimize design workloads, complex design and engineering simulations along with image and video editing applications. In July 2021, we </w:t>
      </w:r>
      <w:r>
        <w:rPr>
          <w:rFonts w:ascii="Arial" w:eastAsia="宋体" w:hAnsi="Arial" w:cs="Arial"/>
          <w:color w:val="000000"/>
          <w:sz w:val="20"/>
          <w:szCs w:val="20"/>
        </w:rPr>
        <w:t>announced the AMD Radeon RX 6600 XT graphics card, designed to deliver high-framerate, high-fidelity and highly responsive 1080p gaming experience. In August 2021, we also introduced the Radeon PRO W6000X series GPUs for the Mac Pro to power a variety of p</w:t>
      </w:r>
      <w:r>
        <w:rPr>
          <w:rFonts w:ascii="Arial" w:eastAsia="宋体" w:hAnsi="Arial" w:cs="Arial"/>
          <w:color w:val="000000"/>
          <w:sz w:val="20"/>
          <w:szCs w:val="20"/>
        </w:rPr>
        <w:t>rofessional applications and workloads, including 3D rendering, 8K video composition and color correction.</w:t>
      </w:r>
    </w:p>
    <w:p w14:paraId="59029972" w14:textId="77777777" w:rsidR="0084406A" w:rsidRDefault="002B18AF">
      <w:pPr>
        <w:jc w:val="center"/>
      </w:pPr>
      <w:r>
        <w:rPr>
          <w:rFonts w:ascii="Arial" w:eastAsia="宋体" w:hAnsi="Arial" w:cs="Arial"/>
          <w:color w:val="000000"/>
          <w:sz w:val="20"/>
          <w:szCs w:val="20"/>
        </w:rPr>
        <w:t>5</w:t>
      </w:r>
    </w:p>
    <w:p w14:paraId="59029973" w14:textId="77777777" w:rsidR="0084406A" w:rsidRDefault="002B18AF">
      <w:r>
        <w:pict w14:anchorId="5902BAF9">
          <v:rect id="_x0000_i1032" style="width:415.3pt;height:1.5pt" o:hralign="center" o:hrstd="t" o:hr="t" fillcolor="#a0a0a0" stroked="f"/>
        </w:pict>
      </w:r>
    </w:p>
    <w:p w14:paraId="59029974" w14:textId="77777777" w:rsidR="0084406A" w:rsidRDefault="0084406A"/>
    <w:p w14:paraId="59029975" w14:textId="77777777" w:rsidR="0084406A" w:rsidRDefault="002B18AF">
      <w:pPr>
        <w:spacing w:before="180"/>
        <w:jc w:val="both"/>
      </w:pPr>
      <w:r>
        <w:rPr>
          <w:rFonts w:ascii="Arial" w:eastAsia="宋体" w:hAnsi="Arial" w:cs="Arial"/>
          <w:b/>
          <w:bCs/>
          <w:i/>
          <w:iCs/>
          <w:color w:val="000000"/>
          <w:sz w:val="20"/>
          <w:szCs w:val="20"/>
        </w:rPr>
        <w:t>Data Center Graphics</w:t>
      </w:r>
      <w:r>
        <w:rPr>
          <w:rFonts w:ascii="Arial" w:eastAsia="宋体" w:hAnsi="Arial" w:cs="Arial"/>
          <w:i/>
          <w:iCs/>
          <w:color w:val="000000"/>
          <w:sz w:val="20"/>
          <w:szCs w:val="20"/>
        </w:rPr>
        <w:t xml:space="preserve">. </w:t>
      </w:r>
      <w:r>
        <w:rPr>
          <w:rFonts w:ascii="Arial" w:eastAsia="宋体" w:hAnsi="Arial" w:cs="Arial"/>
          <w:color w:val="000000"/>
          <w:sz w:val="20"/>
          <w:szCs w:val="20"/>
        </w:rPr>
        <w:t>Our AMD Instinct™ family of GPU products are specifically designed to address the growing demand for compute-accelerated d</w:t>
      </w:r>
      <w:r>
        <w:rPr>
          <w:rFonts w:ascii="Arial" w:eastAsia="宋体" w:hAnsi="Arial" w:cs="Arial"/>
          <w:color w:val="000000"/>
          <w:sz w:val="20"/>
          <w:szCs w:val="20"/>
        </w:rPr>
        <w:t>ata center workloads, including deep learning training and a range of HPC applications where the compute capabilities of GPUs provide additional performance. Combined with our AMD ROCm™ open software platform, our customers can deliver differentiated accel</w:t>
      </w:r>
      <w:r>
        <w:rPr>
          <w:rFonts w:ascii="Arial" w:eastAsia="宋体" w:hAnsi="Arial" w:cs="Arial"/>
          <w:color w:val="000000"/>
          <w:sz w:val="20"/>
          <w:szCs w:val="20"/>
        </w:rPr>
        <w:t>eration platforms to address the next-generation of computing challenges while minimizing power and space needs in the data center.</w:t>
      </w:r>
    </w:p>
    <w:p w14:paraId="59029976" w14:textId="77777777" w:rsidR="0084406A" w:rsidRDefault="002B18AF">
      <w:pPr>
        <w:spacing w:before="180"/>
        <w:jc w:val="both"/>
      </w:pPr>
      <w:r>
        <w:rPr>
          <w:rFonts w:ascii="Arial" w:eastAsia="宋体" w:hAnsi="Arial" w:cs="Arial"/>
          <w:color w:val="000000"/>
          <w:sz w:val="20"/>
          <w:szCs w:val="20"/>
        </w:rPr>
        <w:t>In November, 2021, we introduced the AMD Instinct MI200 series accelerators based on the 2nd Gen AMD CDNA architecture, whic</w:t>
      </w:r>
      <w:r>
        <w:rPr>
          <w:rFonts w:ascii="Arial" w:eastAsia="宋体" w:hAnsi="Arial" w:cs="Arial"/>
          <w:color w:val="000000"/>
          <w:sz w:val="20"/>
          <w:szCs w:val="20"/>
        </w:rPr>
        <w:t>h is optimized for HPC and AI/ML (Artificial Intelligence/Machine Learning) workloads. The MI200 series includes the MI250 Open Accelerator Module (OAM) form factor for purpose-built HPC/AI platforms and the MI210 PCIe form factor for mainstream server pla</w:t>
      </w:r>
      <w:r>
        <w:rPr>
          <w:rFonts w:ascii="Arial" w:eastAsia="宋体" w:hAnsi="Arial" w:cs="Arial"/>
          <w:color w:val="000000"/>
          <w:sz w:val="20"/>
          <w:szCs w:val="20"/>
        </w:rPr>
        <w:t xml:space="preserve">tforms. We also introduced the AMD Infinity Hub which provides end users with a growing catalog of containerized HPC applications and ML frameworks that are ported and optimized for AMD Instinct accelerators and AMD ROCm. </w:t>
      </w:r>
    </w:p>
    <w:p w14:paraId="59029977" w14:textId="77777777" w:rsidR="0084406A" w:rsidRDefault="002B18AF">
      <w:pPr>
        <w:spacing w:before="180"/>
        <w:jc w:val="both"/>
      </w:pPr>
      <w:r>
        <w:rPr>
          <w:rFonts w:ascii="Arial" w:eastAsia="宋体" w:hAnsi="Arial" w:cs="Arial"/>
          <w:b/>
          <w:bCs/>
          <w:i/>
          <w:iCs/>
          <w:color w:val="000000"/>
          <w:sz w:val="20"/>
          <w:szCs w:val="20"/>
        </w:rPr>
        <w:t>Cloud Gaming and VDI</w:t>
      </w:r>
      <w:r>
        <w:rPr>
          <w:rFonts w:ascii="Arial" w:eastAsia="宋体" w:hAnsi="Arial" w:cs="Arial"/>
          <w:i/>
          <w:iCs/>
          <w:color w:val="000000"/>
          <w:sz w:val="20"/>
          <w:szCs w:val="20"/>
        </w:rPr>
        <w:t>.</w:t>
      </w:r>
      <w:r>
        <w:rPr>
          <w:rFonts w:ascii="Arial" w:eastAsia="宋体" w:hAnsi="Arial" w:cs="Arial"/>
          <w:color w:val="000000"/>
          <w:sz w:val="20"/>
          <w:szCs w:val="20"/>
        </w:rPr>
        <w:t xml:space="preserve"> Our visual cloud GPU offerings include products in the Radeon Instinct and Radeon PRO V families. Our visual cloud data center GPUs include a range of solutions tailored towards workloads requiring remote visualization, such as Desktop-as-a-Service, Works</w:t>
      </w:r>
      <w:r>
        <w:rPr>
          <w:rFonts w:ascii="Arial" w:eastAsia="宋体" w:hAnsi="Arial" w:cs="Arial"/>
          <w:color w:val="000000"/>
          <w:sz w:val="20"/>
          <w:szCs w:val="20"/>
        </w:rPr>
        <w:t>tation-as-a-Service and Cloud Gaming. These GPUs are designed to cover the full range of graphical application acceleration, from light desktop to workstation tasks, multi-GPU high end rendering, and cloud gaming activities. Our software solutions carry ce</w:t>
      </w:r>
      <w:r>
        <w:rPr>
          <w:rFonts w:ascii="Arial" w:eastAsia="宋体" w:hAnsi="Arial" w:cs="Arial"/>
          <w:color w:val="000000"/>
          <w:sz w:val="20"/>
          <w:szCs w:val="20"/>
        </w:rPr>
        <w:t>rtification for a number of professional software vendor applications as well as being optimized for modern gaming titles. In November 2021, AMD introduced the Radeon PRO V620, a data center GPU using the RDNA 2 architecture and incorporating new capabilit</w:t>
      </w:r>
      <w:r>
        <w:rPr>
          <w:rFonts w:ascii="Arial" w:eastAsia="宋体" w:hAnsi="Arial" w:cs="Arial"/>
          <w:color w:val="000000"/>
          <w:sz w:val="20"/>
          <w:szCs w:val="20"/>
        </w:rPr>
        <w:t>ies including ray tracing acceleration and Infinity Cache.</w:t>
      </w:r>
    </w:p>
    <w:p w14:paraId="59029978" w14:textId="77777777" w:rsidR="0084406A" w:rsidRDefault="002B18AF">
      <w:pPr>
        <w:spacing w:before="180"/>
        <w:jc w:val="both"/>
      </w:pPr>
      <w:r>
        <w:rPr>
          <w:rFonts w:ascii="Arial" w:eastAsia="宋体" w:hAnsi="Arial" w:cs="Arial"/>
          <w:b/>
          <w:bCs/>
          <w:color w:val="000000"/>
          <w:sz w:val="20"/>
          <w:szCs w:val="20"/>
        </w:rPr>
        <w:t>The Enterprise, Embedded and Semi-Custom Markets</w:t>
      </w:r>
    </w:p>
    <w:p w14:paraId="59029979" w14:textId="77777777" w:rsidR="0084406A" w:rsidRDefault="002B18AF">
      <w:pPr>
        <w:spacing w:before="180"/>
        <w:jc w:val="both"/>
      </w:pPr>
      <w:r>
        <w:rPr>
          <w:rFonts w:ascii="Arial" w:eastAsia="宋体" w:hAnsi="Arial" w:cs="Arial"/>
          <w:color w:val="000000"/>
          <w:sz w:val="20"/>
          <w:szCs w:val="20"/>
        </w:rPr>
        <w:t>Our Enterprise, Embedded and Semi-Custom products address the need for computational and visual data processing. We serve these markets with our CPU</w:t>
      </w:r>
      <w:r>
        <w:rPr>
          <w:rFonts w:ascii="Arial" w:eastAsia="宋体" w:hAnsi="Arial" w:cs="Arial"/>
          <w:color w:val="000000"/>
          <w:sz w:val="20"/>
          <w:szCs w:val="20"/>
        </w:rPr>
        <w:t>, GPU, APU, and customized SoC products.</w:t>
      </w:r>
    </w:p>
    <w:p w14:paraId="5902997A" w14:textId="77777777" w:rsidR="0084406A" w:rsidRDefault="002B18AF">
      <w:pPr>
        <w:spacing w:before="180"/>
        <w:jc w:val="both"/>
      </w:pPr>
      <w:r>
        <w:rPr>
          <w:rFonts w:ascii="Arial" w:eastAsia="宋体" w:hAnsi="Arial" w:cs="Arial"/>
          <w:b/>
          <w:bCs/>
          <w:i/>
          <w:iCs/>
          <w:color w:val="000000"/>
          <w:sz w:val="20"/>
          <w:szCs w:val="20"/>
        </w:rPr>
        <w:t>Server</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A server is a computer system that performs services for connected customers as part of a client-server architecture. Many servers are designed to run an application or applications often for extended period</w:t>
      </w:r>
      <w:r>
        <w:rPr>
          <w:rFonts w:ascii="Arial" w:eastAsia="宋体" w:hAnsi="Arial" w:cs="Arial"/>
          <w:color w:val="000000"/>
          <w:sz w:val="20"/>
          <w:szCs w:val="20"/>
        </w:rPr>
        <w:t>s of time with minimal human intervention. Examples of servers include cloud, web, e-mail, print and on-premise servers. These servers can run a variety of applications, including business intelligence, enterprise resource planning, customer relationship m</w:t>
      </w:r>
      <w:r>
        <w:rPr>
          <w:rFonts w:ascii="Arial" w:eastAsia="宋体" w:hAnsi="Arial" w:cs="Arial"/>
          <w:color w:val="000000"/>
          <w:sz w:val="20"/>
          <w:szCs w:val="20"/>
        </w:rPr>
        <w:t>anagement and advanced scientific or engineering models to solve advanced computational problems in disciplines ranging from financial modeling to weather forecasting to oil and gas exploration. Servers are also used in cloud computing, which is a computin</w:t>
      </w:r>
      <w:r>
        <w:rPr>
          <w:rFonts w:ascii="Arial" w:eastAsia="宋体" w:hAnsi="Arial" w:cs="Arial"/>
          <w:color w:val="000000"/>
          <w:sz w:val="20"/>
          <w:szCs w:val="20"/>
        </w:rPr>
        <w:t>g model where data, applications and services are delivered over the internet or an intranet which can be rapidly provisioned and released with minimal effort. Today’s data centers require new technologies and configuration models to meet the demand driven</w:t>
      </w:r>
      <w:r>
        <w:rPr>
          <w:rFonts w:ascii="Arial" w:eastAsia="宋体" w:hAnsi="Arial" w:cs="Arial"/>
          <w:color w:val="000000"/>
          <w:sz w:val="20"/>
          <w:szCs w:val="20"/>
        </w:rPr>
        <w:t xml:space="preserve"> by the growing amount of data that needs to be stored, accessed, analyzed and managed. Servers must be efficient, scalable and adaptable to meet the compute characteristics of new and changing workloads. We leverage our technology to address the computati</w:t>
      </w:r>
      <w:r>
        <w:rPr>
          <w:rFonts w:ascii="Arial" w:eastAsia="宋体" w:hAnsi="Arial" w:cs="Arial"/>
          <w:color w:val="000000"/>
          <w:sz w:val="20"/>
          <w:szCs w:val="20"/>
        </w:rPr>
        <w:t xml:space="preserve">onal and visual data processing needs in the data center market where we design CPUs, GPUs, and software for HPC, cloud gaming, and cloud and enterprise customers. </w:t>
      </w:r>
    </w:p>
    <w:p w14:paraId="5902997B" w14:textId="77777777" w:rsidR="0084406A" w:rsidRDefault="002B18AF">
      <w:pPr>
        <w:spacing w:before="180"/>
        <w:jc w:val="both"/>
      </w:pPr>
      <w:r>
        <w:rPr>
          <w:rFonts w:ascii="Arial" w:eastAsia="宋体" w:hAnsi="Arial" w:cs="Arial"/>
          <w:b/>
          <w:bCs/>
          <w:i/>
          <w:iCs/>
          <w:color w:val="000000"/>
          <w:sz w:val="20"/>
          <w:szCs w:val="20"/>
        </w:rPr>
        <w:t>Embedded</w:t>
      </w:r>
      <w:r>
        <w:rPr>
          <w:rFonts w:ascii="Arial" w:eastAsia="宋体" w:hAnsi="Arial" w:cs="Arial"/>
          <w:i/>
          <w:iCs/>
          <w:color w:val="000000"/>
          <w:sz w:val="20"/>
          <w:szCs w:val="20"/>
        </w:rPr>
        <w:t>.</w:t>
      </w:r>
      <w:r>
        <w:rPr>
          <w:rFonts w:ascii="Arial" w:eastAsia="宋体" w:hAnsi="Arial" w:cs="Arial"/>
          <w:color w:val="000000"/>
          <w:sz w:val="20"/>
          <w:szCs w:val="20"/>
        </w:rPr>
        <w:t xml:space="preserve"> Embedded products address computing needs in enterprise-class telecommunications,</w:t>
      </w:r>
      <w:r>
        <w:rPr>
          <w:rFonts w:ascii="Arial" w:eastAsia="宋体" w:hAnsi="Arial" w:cs="Arial"/>
          <w:color w:val="000000"/>
          <w:sz w:val="20"/>
          <w:szCs w:val="20"/>
        </w:rPr>
        <w:t xml:space="preserve"> networking, security, storage systems and thin clients, which are computers that serve as an access device on a network. Typically, AMD embedded products are used in applications that require high to moderate levels of performance, where key features may </w:t>
      </w:r>
      <w:r>
        <w:rPr>
          <w:rFonts w:ascii="Arial" w:eastAsia="宋体" w:hAnsi="Arial" w:cs="Arial"/>
          <w:color w:val="000000"/>
          <w:sz w:val="20"/>
          <w:szCs w:val="20"/>
        </w:rPr>
        <w:t>include relatively low power, small form factors, and 24x7 operations. High-performance graphics are important in some embedded systems. Support for Linux®, Windows® and other operating systems as well as for increasingly sophisticated applications are als</w:t>
      </w:r>
      <w:r>
        <w:rPr>
          <w:rFonts w:ascii="Arial" w:eastAsia="宋体" w:hAnsi="Arial" w:cs="Arial"/>
          <w:color w:val="000000"/>
          <w:sz w:val="20"/>
          <w:szCs w:val="20"/>
        </w:rPr>
        <w:t>o critical for some customers. Other requirements may include meeting rigid specifications for industrial temperatures, shock, vibration and reliability. The embedded market has moved from developing proprietary, custom designs to leveraging industry-stand</w:t>
      </w:r>
      <w:r>
        <w:rPr>
          <w:rFonts w:ascii="Arial" w:eastAsia="宋体" w:hAnsi="Arial" w:cs="Arial"/>
          <w:color w:val="000000"/>
          <w:sz w:val="20"/>
          <w:szCs w:val="20"/>
        </w:rPr>
        <w:t>ard instruction set architectures and processors as a way to help reduce costs and speed time to market.</w:t>
      </w:r>
    </w:p>
    <w:p w14:paraId="5902997C" w14:textId="77777777" w:rsidR="0084406A" w:rsidRDefault="002B18AF">
      <w:pPr>
        <w:spacing w:before="180"/>
        <w:jc w:val="both"/>
      </w:pPr>
      <w:r>
        <w:rPr>
          <w:rFonts w:ascii="Arial" w:eastAsia="宋体" w:hAnsi="Arial" w:cs="Arial"/>
          <w:b/>
          <w:bCs/>
          <w:i/>
          <w:iCs/>
          <w:color w:val="000000"/>
          <w:sz w:val="20"/>
          <w:szCs w:val="20"/>
        </w:rPr>
        <w:t>Semi-Custom</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We leverage our core IP, including our graphics and processing technologies to develop semi-custom solutions. In this market, semiconducto</w:t>
      </w:r>
      <w:r>
        <w:rPr>
          <w:rFonts w:ascii="Arial" w:eastAsia="宋体" w:hAnsi="Arial" w:cs="Arial"/>
          <w:color w:val="000000"/>
          <w:sz w:val="20"/>
          <w:szCs w:val="20"/>
        </w:rPr>
        <w:t>r suppliers work alongside system designers and manufacturers to enhance the performance and overall user experience for semi-custom customers. We have used this collaborative co-development approach with many of today’s leading game console and handheld P</w:t>
      </w:r>
      <w:r>
        <w:rPr>
          <w:rFonts w:ascii="Arial" w:eastAsia="宋体" w:hAnsi="Arial" w:cs="Arial"/>
          <w:color w:val="000000"/>
          <w:sz w:val="20"/>
          <w:szCs w:val="20"/>
        </w:rPr>
        <w:t>C gaming manufacturers and can also address customer needs in many other markets. We leverage our existing IP to create a variety of products tailored to a specific customer’s needs, ranging from complex fully-customized SoCs to more modest adaptations and</w:t>
      </w:r>
      <w:r>
        <w:rPr>
          <w:rFonts w:ascii="Arial" w:eastAsia="宋体" w:hAnsi="Arial" w:cs="Arial"/>
          <w:color w:val="000000"/>
          <w:sz w:val="20"/>
          <w:szCs w:val="20"/>
        </w:rPr>
        <w:t xml:space="preserve"> integrations of existing CPU, APU or GPU products.</w:t>
      </w:r>
    </w:p>
    <w:p w14:paraId="5902997D" w14:textId="77777777" w:rsidR="0084406A" w:rsidRDefault="002B18AF">
      <w:pPr>
        <w:jc w:val="center"/>
      </w:pPr>
      <w:r>
        <w:rPr>
          <w:rFonts w:ascii="Arial" w:eastAsia="宋体" w:hAnsi="Arial" w:cs="Arial"/>
          <w:color w:val="000000"/>
          <w:sz w:val="20"/>
          <w:szCs w:val="20"/>
        </w:rPr>
        <w:t>6</w:t>
      </w:r>
    </w:p>
    <w:p w14:paraId="5902997E" w14:textId="77777777" w:rsidR="0084406A" w:rsidRDefault="002B18AF">
      <w:r>
        <w:pict w14:anchorId="5902BAFA">
          <v:rect id="_x0000_i1033" style="width:415.3pt;height:1.5pt" o:hralign="center" o:hrstd="t" o:hr="t" fillcolor="#a0a0a0" stroked="f"/>
        </w:pict>
      </w:r>
    </w:p>
    <w:p w14:paraId="5902997F" w14:textId="77777777" w:rsidR="0084406A" w:rsidRDefault="0084406A"/>
    <w:p w14:paraId="59029980" w14:textId="77777777" w:rsidR="0084406A" w:rsidRDefault="002B18AF">
      <w:pPr>
        <w:spacing w:before="180"/>
        <w:jc w:val="both"/>
      </w:pPr>
      <w:r>
        <w:rPr>
          <w:rFonts w:ascii="Arial" w:eastAsia="宋体" w:hAnsi="Arial" w:cs="Arial"/>
          <w:b/>
          <w:bCs/>
          <w:i/>
          <w:iCs/>
          <w:color w:val="000000"/>
          <w:sz w:val="20"/>
          <w:szCs w:val="20"/>
        </w:rPr>
        <w:t>Our Enterprise, Embedded and Semi-Custom Products</w:t>
      </w:r>
    </w:p>
    <w:p w14:paraId="59029981" w14:textId="77777777" w:rsidR="0084406A" w:rsidRDefault="002B18AF">
      <w:pPr>
        <w:spacing w:before="180"/>
        <w:jc w:val="both"/>
      </w:pPr>
      <w:r>
        <w:rPr>
          <w:rFonts w:ascii="Arial" w:eastAsia="宋体" w:hAnsi="Arial" w:cs="Arial"/>
          <w:b/>
          <w:bCs/>
          <w:i/>
          <w:iCs/>
          <w:color w:val="000000"/>
          <w:sz w:val="20"/>
          <w:szCs w:val="20"/>
        </w:rPr>
        <w:t>Server Processors</w:t>
      </w:r>
      <w:r>
        <w:rPr>
          <w:rFonts w:ascii="Arial" w:eastAsia="宋体" w:hAnsi="Arial" w:cs="Arial"/>
          <w:i/>
          <w:iCs/>
          <w:color w:val="000000"/>
          <w:sz w:val="20"/>
          <w:szCs w:val="20"/>
        </w:rPr>
        <w:t>.</w:t>
      </w:r>
      <w:r>
        <w:rPr>
          <w:rFonts w:ascii="Arial" w:eastAsia="宋体" w:hAnsi="Arial" w:cs="Arial"/>
          <w:b/>
          <w:bCs/>
          <w:i/>
          <w:iCs/>
          <w:color w:val="000000"/>
          <w:sz w:val="20"/>
          <w:szCs w:val="20"/>
        </w:rPr>
        <w:t xml:space="preserve"> </w:t>
      </w:r>
      <w:r>
        <w:rPr>
          <w:rFonts w:ascii="Arial" w:eastAsia="宋体" w:hAnsi="Arial" w:cs="Arial"/>
          <w:color w:val="000000"/>
          <w:sz w:val="20"/>
          <w:szCs w:val="20"/>
        </w:rPr>
        <w:t>Our microprocessors for server platforms currently include the AMD EPYC™ Series processors. We launched our 3rd Gen AMD EPYC proce</w:t>
      </w:r>
      <w:r>
        <w:rPr>
          <w:rFonts w:ascii="Arial" w:eastAsia="宋体" w:hAnsi="Arial" w:cs="Arial"/>
          <w:color w:val="000000"/>
          <w:sz w:val="20"/>
          <w:szCs w:val="20"/>
        </w:rPr>
        <w:t xml:space="preserve">ssors, the AMD EPYC 7003 Series CPUs, in March 2021. Our new AMD EPYC 7003 Series processors are powered by our “Zen 3” core architecture and are designed to support HPC, cloud and enterprise workloads. </w:t>
      </w:r>
    </w:p>
    <w:p w14:paraId="59029982" w14:textId="77777777" w:rsidR="0084406A" w:rsidRDefault="002B18AF">
      <w:pPr>
        <w:spacing w:before="180"/>
        <w:jc w:val="both"/>
      </w:pPr>
      <w:r>
        <w:rPr>
          <w:rFonts w:ascii="Arial" w:eastAsia="宋体" w:hAnsi="Arial" w:cs="Arial"/>
          <w:b/>
          <w:bCs/>
          <w:i/>
          <w:iCs/>
          <w:color w:val="000000"/>
          <w:sz w:val="20"/>
          <w:szCs w:val="20"/>
        </w:rPr>
        <w:t>Embedded Processors</w:t>
      </w:r>
      <w:r>
        <w:rPr>
          <w:rFonts w:ascii="Arial" w:eastAsia="宋体" w:hAnsi="Arial" w:cs="Arial"/>
          <w:color w:val="000000"/>
          <w:sz w:val="20"/>
          <w:szCs w:val="20"/>
        </w:rPr>
        <w:t>. Our products for embedded platf</w:t>
      </w:r>
      <w:r>
        <w:rPr>
          <w:rFonts w:ascii="Arial" w:eastAsia="宋体" w:hAnsi="Arial" w:cs="Arial"/>
          <w:color w:val="000000"/>
          <w:sz w:val="20"/>
          <w:szCs w:val="20"/>
        </w:rPr>
        <w:t>orms include AMD Embedded EPYC CPUs, AMD Embedded Ryzen V-Series APUs, CPUs and SoCs, AMD Embedded Ryzen R-Series APUs, CPUs and SoCs, AMD Embedded Ryzen G-Series SoC platform and AMD Embedded Radeon GPUs</w:t>
      </w:r>
      <w:r>
        <w:rPr>
          <w:rFonts w:ascii="Arial" w:eastAsia="宋体" w:hAnsi="Arial" w:cs="Arial"/>
          <w:color w:val="008080"/>
        </w:rPr>
        <w:t xml:space="preserve">. </w:t>
      </w:r>
      <w:r>
        <w:rPr>
          <w:rFonts w:ascii="Arial" w:eastAsia="宋体" w:hAnsi="Arial" w:cs="Arial"/>
          <w:color w:val="000000"/>
          <w:sz w:val="20"/>
          <w:szCs w:val="20"/>
        </w:rPr>
        <w:t>Our embedded processors and GPUs are designed to s</w:t>
      </w:r>
      <w:r>
        <w:rPr>
          <w:rFonts w:ascii="Arial" w:eastAsia="宋体" w:hAnsi="Arial" w:cs="Arial"/>
          <w:color w:val="000000"/>
          <w:sz w:val="20"/>
          <w:szCs w:val="20"/>
        </w:rPr>
        <w:t>upport high performance and bandwidth network connectivity and security, high-performance storage requirements for enterprise and cloud infrastructure, 3D graphics performance and 4K multimedia requirements of automotive infotainment systems.</w:t>
      </w:r>
    </w:p>
    <w:p w14:paraId="59029983" w14:textId="77777777" w:rsidR="0084406A" w:rsidRDefault="002B18AF">
      <w:pPr>
        <w:spacing w:before="180"/>
        <w:jc w:val="both"/>
      </w:pPr>
      <w:r>
        <w:rPr>
          <w:rFonts w:ascii="Arial" w:eastAsia="宋体" w:hAnsi="Arial" w:cs="Arial"/>
          <w:b/>
          <w:bCs/>
          <w:i/>
          <w:iCs/>
          <w:color w:val="000000"/>
          <w:sz w:val="20"/>
          <w:szCs w:val="20"/>
        </w:rPr>
        <w:t>Semi-Custom P</w:t>
      </w:r>
      <w:r>
        <w:rPr>
          <w:rFonts w:ascii="Arial" w:eastAsia="宋体" w:hAnsi="Arial" w:cs="Arial"/>
          <w:b/>
          <w:bCs/>
          <w:i/>
          <w:iCs/>
          <w:color w:val="000000"/>
          <w:sz w:val="20"/>
          <w:szCs w:val="20"/>
        </w:rPr>
        <w:t>roducts</w:t>
      </w:r>
      <w:r>
        <w:rPr>
          <w:rFonts w:ascii="Arial" w:eastAsia="宋体" w:hAnsi="Arial" w:cs="Arial"/>
          <w:i/>
          <w:iCs/>
          <w:color w:val="000000"/>
          <w:sz w:val="20"/>
          <w:szCs w:val="20"/>
        </w:rPr>
        <w:t xml:space="preserve">. </w:t>
      </w:r>
      <w:r>
        <w:rPr>
          <w:rFonts w:ascii="Arial" w:eastAsia="宋体" w:hAnsi="Arial" w:cs="Arial"/>
          <w:color w:val="000000"/>
          <w:sz w:val="20"/>
          <w:szCs w:val="20"/>
        </w:rPr>
        <w:t>Our semi-custom products are tailored, co-developed, high-performance, customer-specific solutions based on AMD CPU, GPU and multi-media technologies. We work closely with our customers to define solutions to precisely match the requirements of th</w:t>
      </w:r>
      <w:r>
        <w:rPr>
          <w:rFonts w:ascii="Arial" w:eastAsia="宋体" w:hAnsi="Arial" w:cs="Arial"/>
          <w:color w:val="000000"/>
          <w:sz w:val="20"/>
          <w:szCs w:val="20"/>
        </w:rPr>
        <w:t>e device or application. We developed the semi-custom SoC products that power both the Sony PlayStation®</w:t>
      </w:r>
      <w:r>
        <w:rPr>
          <w:rFonts w:ascii="Arial" w:eastAsia="宋体" w:hAnsi="Arial" w:cs="Arial"/>
          <w:color w:val="000000"/>
          <w:sz w:val="8"/>
          <w:szCs w:val="8"/>
        </w:rPr>
        <w:t xml:space="preserve"> </w:t>
      </w:r>
      <w:r>
        <w:rPr>
          <w:rFonts w:ascii="Arial" w:eastAsia="宋体" w:hAnsi="Arial" w:cs="Arial"/>
          <w:color w:val="000000"/>
          <w:sz w:val="20"/>
          <w:szCs w:val="20"/>
        </w:rPr>
        <w:t>5 as well as the Microsoft</w:t>
      </w:r>
      <w:r>
        <w:rPr>
          <w:rFonts w:ascii="Arial" w:eastAsia="宋体" w:hAnsi="Arial" w:cs="Arial"/>
          <w:color w:val="000000"/>
          <w:sz w:val="13"/>
          <w:szCs w:val="13"/>
        </w:rPr>
        <w:t>®</w:t>
      </w:r>
      <w:r>
        <w:rPr>
          <w:rFonts w:ascii="Arial" w:eastAsia="宋体" w:hAnsi="Arial" w:cs="Arial"/>
          <w:color w:val="000000"/>
          <w:sz w:val="8"/>
          <w:szCs w:val="8"/>
        </w:rPr>
        <w:t xml:space="preserve"> </w:t>
      </w:r>
      <w:r>
        <w:rPr>
          <w:rFonts w:ascii="Arial" w:eastAsia="宋体" w:hAnsi="Arial" w:cs="Arial"/>
          <w:color w:val="000000"/>
          <w:sz w:val="20"/>
          <w:szCs w:val="20"/>
        </w:rPr>
        <w:t>Xbox Series X™ and Microsoft</w:t>
      </w:r>
      <w:r>
        <w:rPr>
          <w:rFonts w:ascii="Arial" w:eastAsia="宋体" w:hAnsi="Arial" w:cs="Arial"/>
          <w:color w:val="000000"/>
          <w:sz w:val="13"/>
          <w:szCs w:val="13"/>
        </w:rPr>
        <w:t xml:space="preserve">® </w:t>
      </w:r>
      <w:r>
        <w:rPr>
          <w:rFonts w:ascii="Arial" w:eastAsia="宋体" w:hAnsi="Arial" w:cs="Arial"/>
          <w:color w:val="000000"/>
          <w:sz w:val="20"/>
          <w:szCs w:val="20"/>
        </w:rPr>
        <w:t xml:space="preserve">Xbox Series S™ game consoles. We also recently partnered with Valve to create a custom APU </w:t>
      </w:r>
      <w:r>
        <w:rPr>
          <w:rFonts w:ascii="Arial" w:eastAsia="宋体" w:hAnsi="Arial" w:cs="Arial"/>
          <w:color w:val="000000"/>
          <w:sz w:val="20"/>
          <w:szCs w:val="20"/>
        </w:rPr>
        <w:t>optimized for handheld gaming to power the Steam Deck™.</w:t>
      </w:r>
    </w:p>
    <w:p w14:paraId="59029984" w14:textId="77777777" w:rsidR="0084406A" w:rsidRDefault="002B18AF">
      <w:pPr>
        <w:spacing w:before="180"/>
        <w:jc w:val="both"/>
      </w:pPr>
      <w:r>
        <w:rPr>
          <w:rFonts w:ascii="Arial" w:eastAsia="宋体" w:hAnsi="Arial" w:cs="Arial"/>
          <w:b/>
          <w:bCs/>
          <w:color w:val="000000"/>
          <w:sz w:val="20"/>
          <w:szCs w:val="20"/>
        </w:rPr>
        <w:t xml:space="preserve">Sales and Marketing </w:t>
      </w:r>
    </w:p>
    <w:p w14:paraId="59029985" w14:textId="77777777" w:rsidR="0084406A" w:rsidRDefault="002B18AF">
      <w:pPr>
        <w:spacing w:before="180"/>
        <w:jc w:val="both"/>
      </w:pPr>
      <w:r>
        <w:rPr>
          <w:rFonts w:ascii="Arial" w:eastAsia="宋体" w:hAnsi="Arial" w:cs="Arial"/>
          <w:color w:val="000000"/>
          <w:sz w:val="20"/>
          <w:szCs w:val="20"/>
        </w:rPr>
        <w:t>We sell our products through our direct sales force and through independent distributors and sales representatives in both domestic and international markets. Our sales arrangemen</w:t>
      </w:r>
      <w:r>
        <w:rPr>
          <w:rFonts w:ascii="Arial" w:eastAsia="宋体" w:hAnsi="Arial" w:cs="Arial"/>
          <w:color w:val="000000"/>
          <w:sz w:val="20"/>
          <w:szCs w:val="20"/>
        </w:rPr>
        <w:t>ts generally operate on the basis of product forecasts provided by the particular customer, but do not typically include any commitment or requirement for minimum product purchases. We primarily use purchase orders, sales order acknowledgments and contract</w:t>
      </w:r>
      <w:r>
        <w:rPr>
          <w:rFonts w:ascii="Arial" w:eastAsia="宋体" w:hAnsi="Arial" w:cs="Arial"/>
          <w:color w:val="000000"/>
          <w:sz w:val="20"/>
          <w:szCs w:val="20"/>
        </w:rPr>
        <w:t>ual agreements as evidence of our sales arrangements. Our agreements typically contain standard terms and conditions covering matters such as payment terms, warranties and indemnities for issues specific to our products.</w:t>
      </w:r>
    </w:p>
    <w:p w14:paraId="59029986" w14:textId="77777777" w:rsidR="0084406A" w:rsidRDefault="002B18AF">
      <w:pPr>
        <w:spacing w:before="180"/>
        <w:jc w:val="both"/>
      </w:pPr>
      <w:r>
        <w:rPr>
          <w:rFonts w:ascii="Arial" w:eastAsia="宋体" w:hAnsi="Arial" w:cs="Arial"/>
          <w:color w:val="000000"/>
          <w:sz w:val="20"/>
          <w:szCs w:val="20"/>
        </w:rPr>
        <w:t>We generally warrant that our produ</w:t>
      </w:r>
      <w:r>
        <w:rPr>
          <w:rFonts w:ascii="Arial" w:eastAsia="宋体" w:hAnsi="Arial" w:cs="Arial"/>
          <w:color w:val="000000"/>
          <w:sz w:val="20"/>
          <w:szCs w:val="20"/>
        </w:rPr>
        <w:t>cts sold to our customers will conform to our approved specifications and be free from defects in material and workmanship under normal use and conditions for one year. We offer up to three-year limited warranties for certain product types, and sometimes p</w:t>
      </w:r>
      <w:r>
        <w:rPr>
          <w:rFonts w:ascii="Arial" w:eastAsia="宋体" w:hAnsi="Arial" w:cs="Arial"/>
          <w:color w:val="000000"/>
          <w:sz w:val="20"/>
          <w:szCs w:val="20"/>
        </w:rPr>
        <w:t>rovide other warranty periods based on negotiated terms with certain customers.</w:t>
      </w:r>
    </w:p>
    <w:p w14:paraId="59029987" w14:textId="77777777" w:rsidR="0084406A" w:rsidRDefault="002B18AF">
      <w:pPr>
        <w:spacing w:before="180"/>
        <w:jc w:val="both"/>
      </w:pPr>
      <w:r>
        <w:rPr>
          <w:rFonts w:ascii="Arial" w:eastAsia="宋体" w:hAnsi="Arial" w:cs="Arial"/>
          <w:color w:val="000000"/>
          <w:sz w:val="20"/>
          <w:szCs w:val="20"/>
        </w:rPr>
        <w:t>We market and sell our latest products under the AMD trademark. Our processors include: AMD Ryzen™, AMD Ryzen™ PRO, Ryzen™ Threadripper™, Ryzen™ Threadripper™ PRO, AMD Athlon™,</w:t>
      </w:r>
      <w:r>
        <w:rPr>
          <w:rFonts w:ascii="Arial" w:eastAsia="宋体" w:hAnsi="Arial" w:cs="Arial"/>
          <w:color w:val="000000"/>
          <w:sz w:val="20"/>
          <w:szCs w:val="20"/>
        </w:rPr>
        <w:t xml:space="preserve"> AMD Athlon™ PRO, AMD FX™, AMD A-Series, and AMD PRO A-Series. These products service desktop and notebook personal computers.</w:t>
      </w:r>
    </w:p>
    <w:p w14:paraId="59029988" w14:textId="77777777" w:rsidR="0084406A" w:rsidRDefault="002B18AF">
      <w:pPr>
        <w:spacing w:before="180"/>
        <w:jc w:val="both"/>
      </w:pPr>
      <w:r>
        <w:rPr>
          <w:rFonts w:ascii="Arial" w:eastAsia="宋体" w:hAnsi="Arial" w:cs="Arial"/>
          <w:color w:val="000000"/>
          <w:sz w:val="20"/>
          <w:szCs w:val="20"/>
        </w:rPr>
        <w:t>Our product brand for the consumer graphics market is AMD Radeon™ graphics, and AMD Embedded Radeon graphics is our product brand</w:t>
      </w:r>
      <w:r>
        <w:rPr>
          <w:rFonts w:ascii="Arial" w:eastAsia="宋体" w:hAnsi="Arial" w:cs="Arial"/>
          <w:color w:val="000000"/>
          <w:sz w:val="20"/>
          <w:szCs w:val="20"/>
        </w:rPr>
        <w:t xml:space="preserve"> for the embedded graphics market. </w:t>
      </w:r>
    </w:p>
    <w:p w14:paraId="59029989" w14:textId="77777777" w:rsidR="0084406A" w:rsidRDefault="002B18AF">
      <w:pPr>
        <w:spacing w:before="180"/>
        <w:jc w:val="both"/>
      </w:pPr>
      <w:r>
        <w:rPr>
          <w:rFonts w:ascii="Arial" w:eastAsia="宋体" w:hAnsi="Arial" w:cs="Arial"/>
          <w:color w:val="000000"/>
          <w:sz w:val="20"/>
          <w:szCs w:val="20"/>
        </w:rPr>
        <w:t xml:space="preserve">Our product brand for professional graphics products are AMD Radeon PRO and AMD FirePro™ graphics. </w:t>
      </w:r>
    </w:p>
    <w:p w14:paraId="5902998A" w14:textId="77777777" w:rsidR="0084406A" w:rsidRDefault="002B18AF">
      <w:pPr>
        <w:spacing w:before="180"/>
        <w:jc w:val="both"/>
      </w:pPr>
      <w:r>
        <w:rPr>
          <w:rFonts w:ascii="Arial" w:eastAsia="宋体" w:hAnsi="Arial" w:cs="Arial"/>
          <w:color w:val="000000"/>
          <w:sz w:val="20"/>
          <w:szCs w:val="20"/>
        </w:rPr>
        <w:t>Our product brands for data center graphics are Radeon Instinct™, Radeon PRO V-series, and AMD Instinct™ accelerators fo</w:t>
      </w:r>
      <w:r>
        <w:rPr>
          <w:rFonts w:ascii="Arial" w:eastAsia="宋体" w:hAnsi="Arial" w:cs="Arial"/>
          <w:color w:val="000000"/>
          <w:sz w:val="20"/>
          <w:szCs w:val="20"/>
        </w:rPr>
        <w:t>r servers. We also market and sell our chipsets under AMD trademarks.</w:t>
      </w:r>
    </w:p>
    <w:p w14:paraId="5902998B" w14:textId="77777777" w:rsidR="0084406A" w:rsidRDefault="002B18AF">
      <w:pPr>
        <w:spacing w:before="180"/>
        <w:jc w:val="both"/>
      </w:pPr>
      <w:r>
        <w:rPr>
          <w:rFonts w:ascii="Arial" w:eastAsia="宋体" w:hAnsi="Arial" w:cs="Arial"/>
          <w:color w:val="000000"/>
          <w:sz w:val="20"/>
          <w:szCs w:val="20"/>
        </w:rPr>
        <w:t xml:space="preserve">Our product brand for server microprocessors is AMD EPYC™ processors. </w:t>
      </w:r>
    </w:p>
    <w:p w14:paraId="5902998C" w14:textId="77777777" w:rsidR="0084406A" w:rsidRDefault="002B18AF">
      <w:pPr>
        <w:spacing w:before="180"/>
        <w:jc w:val="both"/>
      </w:pPr>
      <w:r>
        <w:rPr>
          <w:rFonts w:ascii="Arial" w:eastAsia="宋体" w:hAnsi="Arial" w:cs="Arial"/>
          <w:color w:val="000000"/>
          <w:sz w:val="20"/>
          <w:szCs w:val="20"/>
        </w:rPr>
        <w:t>We also sell low-power versions of our AMD Athlon, as well as AMD Geode™, AMD Ryzen, AMD EPYC, AMD R-Series and G-S</w:t>
      </w:r>
      <w:r>
        <w:rPr>
          <w:rFonts w:ascii="Arial" w:eastAsia="宋体" w:hAnsi="Arial" w:cs="Arial"/>
          <w:color w:val="000000"/>
          <w:sz w:val="20"/>
          <w:szCs w:val="20"/>
        </w:rPr>
        <w:t xml:space="preserve">eries processors as embedded processor solutions. </w:t>
      </w:r>
    </w:p>
    <w:p w14:paraId="5902998D" w14:textId="77777777" w:rsidR="0084406A" w:rsidRDefault="002B18AF">
      <w:pPr>
        <w:spacing w:before="180"/>
        <w:jc w:val="both"/>
      </w:pPr>
      <w:r>
        <w:rPr>
          <w:rFonts w:ascii="Arial" w:eastAsia="宋体" w:hAnsi="Arial" w:cs="Arial"/>
          <w:color w:val="000000"/>
          <w:sz w:val="20"/>
          <w:szCs w:val="20"/>
        </w:rPr>
        <w:t xml:space="preserve">We market our products through direct marketing and co-marketing programs. In addition, we have cooperative advertising and marketing programs with customers and third parties, including market </w:t>
      </w:r>
      <w:r>
        <w:rPr>
          <w:rFonts w:ascii="Arial" w:eastAsia="宋体" w:hAnsi="Arial" w:cs="Arial"/>
          <w:color w:val="000000"/>
          <w:sz w:val="20"/>
          <w:szCs w:val="20"/>
        </w:rPr>
        <w:t>development programs, pursuant to which we may provide product information, training, marketing materials and funds. Under our co-marketing development programs, eligible customers can use market development funds as reimbursement for advertisements and ma</w:t>
      </w:r>
      <w:r>
        <w:rPr>
          <w:rFonts w:ascii="Arial" w:eastAsia="宋体" w:hAnsi="Arial" w:cs="Arial"/>
          <w:color w:val="000000"/>
          <w:sz w:val="20"/>
          <w:szCs w:val="20"/>
        </w:rPr>
        <w:t>rketing programs related to our products and third-party systems integrating our products, subject to meeting defined criteria.</w:t>
      </w:r>
    </w:p>
    <w:p w14:paraId="5902998E" w14:textId="77777777" w:rsidR="0084406A" w:rsidRDefault="002B18AF">
      <w:pPr>
        <w:jc w:val="center"/>
      </w:pPr>
      <w:r>
        <w:rPr>
          <w:rFonts w:ascii="Arial" w:eastAsia="宋体" w:hAnsi="Arial" w:cs="Arial"/>
          <w:color w:val="000000"/>
          <w:sz w:val="20"/>
          <w:szCs w:val="20"/>
        </w:rPr>
        <w:t>7</w:t>
      </w:r>
    </w:p>
    <w:p w14:paraId="5902998F" w14:textId="77777777" w:rsidR="0084406A" w:rsidRDefault="002B18AF">
      <w:r>
        <w:pict w14:anchorId="5902BAFB">
          <v:rect id="_x0000_i1034" style="width:415.3pt;height:1.5pt" o:hralign="center" o:hrstd="t" o:hr="t" fillcolor="#a0a0a0" stroked="f"/>
        </w:pict>
      </w:r>
    </w:p>
    <w:p w14:paraId="59029990" w14:textId="77777777" w:rsidR="0084406A" w:rsidRDefault="0084406A"/>
    <w:p w14:paraId="59029991" w14:textId="77777777" w:rsidR="0084406A" w:rsidRDefault="002B18AF">
      <w:pPr>
        <w:spacing w:before="180"/>
        <w:jc w:val="both"/>
      </w:pPr>
      <w:r>
        <w:rPr>
          <w:rFonts w:ascii="Arial" w:eastAsia="宋体" w:hAnsi="Arial" w:cs="Arial"/>
          <w:b/>
          <w:bCs/>
          <w:color w:val="000000"/>
          <w:sz w:val="20"/>
          <w:szCs w:val="20"/>
        </w:rPr>
        <w:t>Customers</w:t>
      </w:r>
    </w:p>
    <w:p w14:paraId="59029992" w14:textId="77777777" w:rsidR="0084406A" w:rsidRDefault="002B18AF">
      <w:pPr>
        <w:spacing w:before="180"/>
        <w:jc w:val="both"/>
      </w:pPr>
      <w:r>
        <w:rPr>
          <w:rFonts w:ascii="Arial" w:eastAsia="宋体" w:hAnsi="Arial" w:cs="Arial"/>
          <w:color w:val="000000"/>
          <w:sz w:val="20"/>
          <w:szCs w:val="20"/>
        </w:rPr>
        <w:t>Our microprocessor customers consist primarily of original equipment manufacturers (OEMs), large public cloud ser</w:t>
      </w:r>
      <w:r>
        <w:rPr>
          <w:rFonts w:ascii="Arial" w:eastAsia="宋体" w:hAnsi="Arial" w:cs="Arial"/>
          <w:color w:val="000000"/>
          <w:sz w:val="20"/>
          <w:szCs w:val="20"/>
        </w:rPr>
        <w:t>vice providers, original design manufacturers (ODMs), system integrators and independent distributors in both domestic and international markets. ODMs provide design and/or manufacturing services to branded and unbranded private label resellers, OEMs and s</w:t>
      </w:r>
      <w:r>
        <w:rPr>
          <w:rFonts w:ascii="Arial" w:eastAsia="宋体" w:hAnsi="Arial" w:cs="Arial"/>
          <w:color w:val="000000"/>
          <w:sz w:val="20"/>
          <w:szCs w:val="20"/>
        </w:rPr>
        <w:t xml:space="preserve">ystem builders. Customers of our microprocessor products also include online and brick and mortar retailers. Our graphics product customers include the foregoing as well as add-in-board manufacturers (AIBs). </w:t>
      </w:r>
    </w:p>
    <w:p w14:paraId="59029993" w14:textId="77777777" w:rsidR="0084406A" w:rsidRDefault="002B18AF">
      <w:pPr>
        <w:spacing w:before="180"/>
        <w:jc w:val="both"/>
      </w:pPr>
      <w:r>
        <w:rPr>
          <w:rFonts w:ascii="Arial" w:eastAsia="宋体" w:hAnsi="Arial" w:cs="Arial"/>
          <w:color w:val="000000"/>
          <w:sz w:val="20"/>
          <w:szCs w:val="20"/>
        </w:rPr>
        <w:t>Customers of our chipset products consist prima</w:t>
      </w:r>
      <w:r>
        <w:rPr>
          <w:rFonts w:ascii="Arial" w:eastAsia="宋体" w:hAnsi="Arial" w:cs="Arial"/>
          <w:color w:val="000000"/>
          <w:sz w:val="20"/>
          <w:szCs w:val="20"/>
        </w:rPr>
        <w:t>rily of PC OEMs, often through ODMs or other contract manufacturers, who build the OEM motherboards, as well as desktop and server motherboard manufacturers who incorporate chipsets into their channel motherboards.</w:t>
      </w:r>
    </w:p>
    <w:p w14:paraId="59029994" w14:textId="77777777" w:rsidR="0084406A" w:rsidRDefault="002B18AF">
      <w:pPr>
        <w:spacing w:before="180"/>
        <w:jc w:val="both"/>
      </w:pPr>
      <w:r>
        <w:rPr>
          <w:rFonts w:ascii="Arial" w:eastAsia="宋体" w:hAnsi="Arial" w:cs="Arial"/>
          <w:color w:val="000000"/>
          <w:sz w:val="20"/>
          <w:szCs w:val="20"/>
        </w:rPr>
        <w:t>We work closely with our customers to def</w:t>
      </w:r>
      <w:r>
        <w:rPr>
          <w:rFonts w:ascii="Arial" w:eastAsia="宋体" w:hAnsi="Arial" w:cs="Arial"/>
          <w:color w:val="000000"/>
          <w:sz w:val="20"/>
          <w:szCs w:val="20"/>
        </w:rPr>
        <w:t>ine product features, performance and timing of new products so that the products we are developing meet our customers’ needs. We also employ application engineers to assist our customers in designing, testing and qualifying system designs that incorporate</w:t>
      </w:r>
      <w:r>
        <w:rPr>
          <w:rFonts w:ascii="Arial" w:eastAsia="宋体" w:hAnsi="Arial" w:cs="Arial"/>
          <w:color w:val="000000"/>
          <w:sz w:val="20"/>
          <w:szCs w:val="20"/>
        </w:rPr>
        <w:t xml:space="preserve"> our products. We believe that our commitment to customer service and design support improves our customers’ time-to-market and fosters relationships that encourage customers to use the next generation of our products.</w:t>
      </w:r>
    </w:p>
    <w:p w14:paraId="59029995" w14:textId="77777777" w:rsidR="0084406A" w:rsidRDefault="002B18AF">
      <w:pPr>
        <w:spacing w:before="180"/>
        <w:jc w:val="both"/>
      </w:pPr>
      <w:r>
        <w:rPr>
          <w:rFonts w:ascii="Arial" w:eastAsia="宋体" w:hAnsi="Arial" w:cs="Arial"/>
          <w:color w:val="000000"/>
          <w:sz w:val="20"/>
          <w:szCs w:val="20"/>
        </w:rPr>
        <w:t>We also work with our customers to cr</w:t>
      </w:r>
      <w:r>
        <w:rPr>
          <w:rFonts w:ascii="Arial" w:eastAsia="宋体" w:hAnsi="Arial" w:cs="Arial"/>
          <w:color w:val="000000"/>
          <w:sz w:val="20"/>
          <w:szCs w:val="20"/>
        </w:rPr>
        <w:t>eate differentiated products that leverage our CPU, GPU and APU technology. Certain customers pay us non-recurring engineering fees for design and development services and a purchase price for the resulting products.</w:t>
      </w:r>
    </w:p>
    <w:p w14:paraId="59029996" w14:textId="77777777" w:rsidR="0084406A" w:rsidRDefault="002B18AF">
      <w:pPr>
        <w:spacing w:before="180"/>
        <w:jc w:val="both"/>
      </w:pPr>
      <w:r>
        <w:rPr>
          <w:rFonts w:ascii="Arial" w:eastAsia="宋体" w:hAnsi="Arial" w:cs="Arial"/>
          <w:color w:val="000000"/>
          <w:sz w:val="20"/>
          <w:szCs w:val="20"/>
        </w:rPr>
        <w:t>Two customers, A and B, accounted for 1</w:t>
      </w:r>
      <w:r>
        <w:rPr>
          <w:rFonts w:ascii="Arial" w:eastAsia="宋体" w:hAnsi="Arial" w:cs="Arial"/>
          <w:color w:val="000000"/>
          <w:sz w:val="20"/>
          <w:szCs w:val="20"/>
        </w:rPr>
        <w:t>4% and 11%, respectively, of our consolidated net revenue for the year ended December 25, 2021. Sales to Customer A consisted of products from our Enterprise, Embedded and Semi-Custom segment, and sales to Customer B consisted of products from our Computin</w:t>
      </w:r>
      <w:r>
        <w:rPr>
          <w:rFonts w:ascii="Arial" w:eastAsia="宋体" w:hAnsi="Arial" w:cs="Arial"/>
          <w:color w:val="000000"/>
          <w:sz w:val="20"/>
          <w:szCs w:val="20"/>
        </w:rPr>
        <w:t>g and Graphics segment. A loss of either of these customers would have a material adverse effect on our business.</w:t>
      </w:r>
    </w:p>
    <w:p w14:paraId="59029997" w14:textId="77777777" w:rsidR="0084406A" w:rsidRDefault="002B18AF">
      <w:pPr>
        <w:spacing w:before="180"/>
        <w:jc w:val="both"/>
      </w:pPr>
      <w:r>
        <w:rPr>
          <w:rFonts w:ascii="Arial" w:eastAsia="宋体" w:hAnsi="Arial" w:cs="Arial"/>
          <w:b/>
          <w:bCs/>
          <w:i/>
          <w:iCs/>
          <w:color w:val="000000"/>
          <w:sz w:val="20"/>
          <w:szCs w:val="20"/>
        </w:rPr>
        <w:t>Original Equipment Manufacturers</w:t>
      </w:r>
    </w:p>
    <w:p w14:paraId="59029998" w14:textId="77777777" w:rsidR="0084406A" w:rsidRDefault="002B18AF">
      <w:pPr>
        <w:spacing w:before="180"/>
        <w:jc w:val="both"/>
      </w:pPr>
      <w:r>
        <w:rPr>
          <w:rFonts w:ascii="Arial" w:eastAsia="宋体" w:hAnsi="Arial" w:cs="Arial"/>
          <w:color w:val="000000"/>
          <w:sz w:val="20"/>
          <w:szCs w:val="20"/>
        </w:rPr>
        <w:t>We focus on three types of OEM partners: multi-nationals, selected regional accounts and some local system in</w:t>
      </w:r>
      <w:r>
        <w:rPr>
          <w:rFonts w:ascii="Arial" w:eastAsia="宋体" w:hAnsi="Arial" w:cs="Arial"/>
          <w:color w:val="000000"/>
          <w:sz w:val="20"/>
          <w:szCs w:val="20"/>
        </w:rPr>
        <w:t>tegrators, who target commercial and consumer end customers of all sizes. Large multi-nationals and regional accounts are the core of our OEM partners’ business; however, we are increasingly focused on the Value Added Reseller (VAR) channel which resells O</w:t>
      </w:r>
      <w:r>
        <w:rPr>
          <w:rFonts w:ascii="Arial" w:eastAsia="宋体" w:hAnsi="Arial" w:cs="Arial"/>
          <w:color w:val="000000"/>
          <w:sz w:val="20"/>
          <w:szCs w:val="20"/>
        </w:rPr>
        <w:t>EM systems to the mid-market and the small and medium business (SMB) segments. Additionally, we have increased our focus on global system integrators, which resell OEM systems, coupled with their software and services solutions into Enterprise, HPC and Clo</w:t>
      </w:r>
      <w:r>
        <w:rPr>
          <w:rFonts w:ascii="Arial" w:eastAsia="宋体" w:hAnsi="Arial" w:cs="Arial"/>
          <w:color w:val="000000"/>
          <w:sz w:val="20"/>
          <w:szCs w:val="20"/>
        </w:rPr>
        <w:t>ud Service Provider Customers. Our OEM customers include numerous foreign and domestic manufacturers of servers and workstations, desktops, notebooks, PC motherboards and game consoles.</w:t>
      </w:r>
    </w:p>
    <w:p w14:paraId="59029999" w14:textId="77777777" w:rsidR="0084406A" w:rsidRDefault="002B18AF">
      <w:pPr>
        <w:spacing w:before="180"/>
        <w:jc w:val="both"/>
      </w:pPr>
      <w:r>
        <w:rPr>
          <w:rFonts w:ascii="Arial" w:eastAsia="宋体" w:hAnsi="Arial" w:cs="Arial"/>
          <w:b/>
          <w:bCs/>
          <w:i/>
          <w:iCs/>
          <w:color w:val="000000"/>
          <w:sz w:val="20"/>
          <w:szCs w:val="20"/>
        </w:rPr>
        <w:t xml:space="preserve">Third-Party Distributors </w:t>
      </w:r>
    </w:p>
    <w:p w14:paraId="5902999A" w14:textId="77777777" w:rsidR="0084406A" w:rsidRDefault="002B18AF">
      <w:pPr>
        <w:spacing w:before="180"/>
        <w:jc w:val="both"/>
      </w:pPr>
      <w:r>
        <w:rPr>
          <w:rFonts w:ascii="Arial" w:eastAsia="宋体" w:hAnsi="Arial" w:cs="Arial"/>
          <w:color w:val="000000"/>
          <w:sz w:val="20"/>
          <w:szCs w:val="20"/>
        </w:rPr>
        <w:t>Our authorized channel distributors resell t</w:t>
      </w:r>
      <w:r>
        <w:rPr>
          <w:rFonts w:ascii="Arial" w:eastAsia="宋体" w:hAnsi="Arial" w:cs="Arial"/>
          <w:color w:val="000000"/>
          <w:sz w:val="20"/>
          <w:szCs w:val="20"/>
        </w:rPr>
        <w:t>o sub-distributors and mid-sized and smaller OEMs and ODMs. Typically, distributors handle a wide variety of products, and may include those that compete with our products. Distributors typically maintain an inventory of our products. In most instances, ou</w:t>
      </w:r>
      <w:r>
        <w:rPr>
          <w:rFonts w:ascii="Arial" w:eastAsia="宋体" w:hAnsi="Arial" w:cs="Arial"/>
          <w:color w:val="000000"/>
          <w:sz w:val="20"/>
          <w:szCs w:val="20"/>
        </w:rPr>
        <w:t>r agreements with distributors protect their inventory of our products against price reductions and provide return rights with respect to any product that we have removed from our price book that is less than 12 months older than the manufacturing code dat</w:t>
      </w:r>
      <w:r>
        <w:rPr>
          <w:rFonts w:ascii="Arial" w:eastAsia="宋体" w:hAnsi="Arial" w:cs="Arial"/>
          <w:color w:val="000000"/>
          <w:sz w:val="20"/>
          <w:szCs w:val="20"/>
        </w:rPr>
        <w:t>e. In addition, some agreements with our distributors may contain standard stock rotation provisions permitting limited levels of product returns.</w:t>
      </w:r>
    </w:p>
    <w:p w14:paraId="5902999B" w14:textId="77777777" w:rsidR="0084406A" w:rsidRDefault="002B18AF">
      <w:pPr>
        <w:spacing w:before="180"/>
        <w:jc w:val="both"/>
      </w:pPr>
      <w:r>
        <w:rPr>
          <w:rFonts w:ascii="Arial" w:eastAsia="宋体" w:hAnsi="Arial" w:cs="Arial"/>
          <w:b/>
          <w:bCs/>
          <w:i/>
          <w:iCs/>
          <w:color w:val="000000"/>
          <w:sz w:val="20"/>
          <w:szCs w:val="20"/>
        </w:rPr>
        <w:t>Add-in-Board (AIB) Manufacturers and System Integrators</w:t>
      </w:r>
    </w:p>
    <w:p w14:paraId="5902999C" w14:textId="77777777" w:rsidR="0084406A" w:rsidRDefault="002B18AF">
      <w:pPr>
        <w:spacing w:before="180"/>
        <w:jc w:val="both"/>
      </w:pPr>
      <w:r>
        <w:rPr>
          <w:rFonts w:ascii="Arial" w:eastAsia="宋体" w:hAnsi="Arial" w:cs="Arial"/>
          <w:color w:val="000000"/>
          <w:sz w:val="20"/>
          <w:szCs w:val="20"/>
        </w:rPr>
        <w:t>We offer component-level graphics and chipset product</w:t>
      </w:r>
      <w:r>
        <w:rPr>
          <w:rFonts w:ascii="Arial" w:eastAsia="宋体" w:hAnsi="Arial" w:cs="Arial"/>
          <w:color w:val="000000"/>
          <w:sz w:val="20"/>
          <w:szCs w:val="20"/>
        </w:rPr>
        <w:t xml:space="preserve">s to AIB manufacturers who in turn build and sell board-level products using our technology to system integrators (SIs), retail buyers and sub distributors. Our agreements with AIBs protect their inventory of our products against price reductions. We also </w:t>
      </w:r>
      <w:r>
        <w:rPr>
          <w:rFonts w:ascii="Arial" w:eastAsia="宋体" w:hAnsi="Arial" w:cs="Arial"/>
          <w:color w:val="000000"/>
          <w:sz w:val="20"/>
          <w:szCs w:val="20"/>
        </w:rPr>
        <w:t>sell directly to our SI customers. SIs typically sell from positions of regional or product-based strength in the market. They usually operate on short design cycles and can respond quickly with new technologies. SIs often use discrete graphics solutions a</w:t>
      </w:r>
      <w:r>
        <w:rPr>
          <w:rFonts w:ascii="Arial" w:eastAsia="宋体" w:hAnsi="Arial" w:cs="Arial"/>
          <w:color w:val="000000"/>
          <w:sz w:val="20"/>
          <w:szCs w:val="20"/>
        </w:rPr>
        <w:t>s a means to differentiate their products and add value to their customers.</w:t>
      </w:r>
    </w:p>
    <w:p w14:paraId="5902999D" w14:textId="77777777" w:rsidR="0084406A" w:rsidRDefault="002B18AF">
      <w:pPr>
        <w:jc w:val="center"/>
      </w:pPr>
      <w:r>
        <w:rPr>
          <w:rFonts w:ascii="Arial" w:eastAsia="宋体" w:hAnsi="Arial" w:cs="Arial"/>
          <w:color w:val="000000"/>
          <w:sz w:val="20"/>
          <w:szCs w:val="20"/>
        </w:rPr>
        <w:t>8</w:t>
      </w:r>
    </w:p>
    <w:p w14:paraId="5902999E" w14:textId="77777777" w:rsidR="0084406A" w:rsidRDefault="002B18AF">
      <w:r>
        <w:pict w14:anchorId="5902BAFC">
          <v:rect id="_x0000_i1035" style="width:415.3pt;height:1.5pt" o:hralign="center" o:hrstd="t" o:hr="t" fillcolor="#a0a0a0" stroked="f"/>
        </w:pict>
      </w:r>
    </w:p>
    <w:p w14:paraId="5902999F" w14:textId="77777777" w:rsidR="0084406A" w:rsidRDefault="0084406A"/>
    <w:p w14:paraId="590299A0" w14:textId="77777777" w:rsidR="0084406A" w:rsidRDefault="002B18AF">
      <w:pPr>
        <w:spacing w:before="180"/>
        <w:jc w:val="both"/>
      </w:pPr>
      <w:r>
        <w:rPr>
          <w:rFonts w:ascii="Arial" w:eastAsia="宋体" w:hAnsi="Arial" w:cs="Arial"/>
          <w:b/>
          <w:bCs/>
          <w:color w:val="000000"/>
          <w:sz w:val="20"/>
          <w:szCs w:val="20"/>
        </w:rPr>
        <w:t>Competition in the Computing and Graphics Segment</w:t>
      </w:r>
    </w:p>
    <w:p w14:paraId="590299A1" w14:textId="77777777" w:rsidR="0084406A" w:rsidRDefault="002B18AF">
      <w:pPr>
        <w:spacing w:before="180"/>
        <w:jc w:val="both"/>
      </w:pPr>
      <w:r>
        <w:rPr>
          <w:rFonts w:ascii="Arial" w:eastAsia="宋体" w:hAnsi="Arial" w:cs="Arial"/>
          <w:color w:val="000000"/>
          <w:sz w:val="20"/>
          <w:szCs w:val="20"/>
        </w:rPr>
        <w:t xml:space="preserve">The markets in which we participate are highly competitive. Our primary competitor in the supply of </w:t>
      </w:r>
      <w:r>
        <w:rPr>
          <w:rFonts w:ascii="Arial" w:eastAsia="宋体" w:hAnsi="Arial" w:cs="Arial"/>
          <w:color w:val="000000"/>
          <w:sz w:val="20"/>
          <w:szCs w:val="20"/>
        </w:rPr>
        <w:t>microprocessors is Intel Corporation (Intel).</w:t>
      </w:r>
      <w:r>
        <w:rPr>
          <w:rFonts w:ascii="Arial" w:eastAsia="宋体" w:hAnsi="Arial" w:cs="Arial"/>
          <w:color w:val="008080"/>
        </w:rPr>
        <w:t xml:space="preserve"> </w:t>
      </w:r>
      <w:r>
        <w:rPr>
          <w:rFonts w:ascii="Arial" w:eastAsia="宋体" w:hAnsi="Arial" w:cs="Arial"/>
          <w:color w:val="000000"/>
          <w:sz w:val="20"/>
          <w:szCs w:val="20"/>
        </w:rPr>
        <w:t>A variety of companies provide or have developed ARM-based microprocessors and platforms. ARM-based designs are being used in the PC market, which could lead to further growth and development of the ARM ecosyst</w:t>
      </w:r>
      <w:r>
        <w:rPr>
          <w:rFonts w:ascii="Arial" w:eastAsia="宋体" w:hAnsi="Arial" w:cs="Arial"/>
          <w:color w:val="000000"/>
          <w:sz w:val="20"/>
          <w:szCs w:val="20"/>
        </w:rPr>
        <w:t>em. In 2020, NVIDIA Corporation (NVIDIA), our principal competitor in the discrete graphics market, announced that it had entered into an agreement to acquire ARM Holdings. Our ability to compete with companies who use ARM-based solutions depends on our ab</w:t>
      </w:r>
      <w:r>
        <w:rPr>
          <w:rFonts w:ascii="Arial" w:eastAsia="宋体" w:hAnsi="Arial" w:cs="Arial"/>
          <w:color w:val="000000"/>
          <w:sz w:val="20"/>
          <w:szCs w:val="20"/>
        </w:rPr>
        <w:t>ility to timely design and bring to market energy-efficient, high-performing products at an attractive price point.</w:t>
      </w:r>
    </w:p>
    <w:p w14:paraId="590299A2" w14:textId="77777777" w:rsidR="0084406A" w:rsidRDefault="002B18AF">
      <w:pPr>
        <w:spacing w:before="180"/>
        <w:jc w:val="both"/>
      </w:pPr>
      <w:r>
        <w:rPr>
          <w:rFonts w:ascii="Arial" w:eastAsia="宋体" w:hAnsi="Arial" w:cs="Arial"/>
          <w:color w:val="000000"/>
          <w:sz w:val="20"/>
          <w:szCs w:val="20"/>
        </w:rPr>
        <w:t>In the graphics market, our principal competitor in the supply of discrete graphics is NVIDIA who is the market share leader. Intel also man</w:t>
      </w:r>
      <w:r>
        <w:rPr>
          <w:rFonts w:ascii="Arial" w:eastAsia="宋体" w:hAnsi="Arial" w:cs="Arial"/>
          <w:color w:val="000000"/>
          <w:sz w:val="20"/>
          <w:szCs w:val="20"/>
        </w:rPr>
        <w:t xml:space="preserve">ufactures and sells embedded graphics processors and integrated graphics processor (IGP) chipsets and is a dominant competitor with respect to this portion of our business. Also, Intel has developed their own high-end discrete GPUs and has announced </w:t>
      </w:r>
      <w:r>
        <w:rPr>
          <w:rFonts w:ascii="Arial" w:eastAsia="宋体" w:hAnsi="Arial" w:cs="Arial"/>
          <w:color w:val="000000"/>
          <w:sz w:val="20"/>
          <w:szCs w:val="20"/>
          <w:shd w:val="clear" w:color="auto" w:fill="FFFFFF"/>
        </w:rPr>
        <w:t>that t</w:t>
      </w:r>
      <w:r>
        <w:rPr>
          <w:rFonts w:ascii="Arial" w:eastAsia="宋体" w:hAnsi="Arial" w:cs="Arial"/>
          <w:color w:val="000000"/>
          <w:sz w:val="20"/>
          <w:szCs w:val="20"/>
          <w:shd w:val="clear" w:color="auto" w:fill="FFFFFF"/>
        </w:rPr>
        <w:t>hey have developed</w:t>
      </w:r>
      <w:r>
        <w:rPr>
          <w:rFonts w:ascii="Arial" w:eastAsia="宋体" w:hAnsi="Arial" w:cs="Arial"/>
          <w:color w:val="000000"/>
          <w:sz w:val="20"/>
          <w:szCs w:val="20"/>
        </w:rPr>
        <w:t xml:space="preserve"> gaming-focused discrete graphics that will release in 2022. Other competitors include suppliers of discrete graphics, embedded graphics processors and integrated graphics processor (IGP) chipsets. Some of our competitors are smaller comp</w:t>
      </w:r>
      <w:r>
        <w:rPr>
          <w:rFonts w:ascii="Arial" w:eastAsia="宋体" w:hAnsi="Arial" w:cs="Arial"/>
          <w:color w:val="000000"/>
          <w:sz w:val="20"/>
          <w:szCs w:val="20"/>
        </w:rPr>
        <w:t xml:space="preserve">anies, which may have greater flexibility to address specific market needs, but less financial resources to do so. We believe that the growing complexity of graphics processors and the associated research and development costs represent a high and growing </w:t>
      </w:r>
      <w:r>
        <w:rPr>
          <w:rFonts w:ascii="Arial" w:eastAsia="宋体" w:hAnsi="Arial" w:cs="Arial"/>
          <w:color w:val="000000"/>
          <w:sz w:val="20"/>
          <w:szCs w:val="20"/>
        </w:rPr>
        <w:t>barrier to entry in this market. With respect to integrated graphics, higher unit shipments of our APUs and Intel’s integrated graphics may drive computer manufacturers to reduce the number of systems they build paired with discrete graphics components, pa</w:t>
      </w:r>
      <w:r>
        <w:rPr>
          <w:rFonts w:ascii="Arial" w:eastAsia="宋体" w:hAnsi="Arial" w:cs="Arial"/>
          <w:color w:val="000000"/>
          <w:sz w:val="20"/>
          <w:szCs w:val="20"/>
        </w:rPr>
        <w:t>rticularly for notebooks, because they may offer satisfactory graphics performance for most mainstream PC users at a lower cost. For GPU data center products, our principal competitor is NVIDIA, which established its market share in HPC and machine learnin</w:t>
      </w:r>
      <w:r>
        <w:rPr>
          <w:rFonts w:ascii="Arial" w:eastAsia="宋体" w:hAnsi="Arial" w:cs="Arial"/>
          <w:color w:val="000000"/>
          <w:sz w:val="20"/>
          <w:szCs w:val="20"/>
        </w:rPr>
        <w:t>g through its CUDA software platform. Another competitor, Intel, builds products for acceleration in the data center, such as Intel Xe or Habana AI processors. Other competitors include numerous deep learning accelerator companies, consisting mostly of ear</w:t>
      </w:r>
      <w:r>
        <w:rPr>
          <w:rFonts w:ascii="Arial" w:eastAsia="宋体" w:hAnsi="Arial" w:cs="Arial"/>
          <w:color w:val="000000"/>
          <w:sz w:val="20"/>
          <w:szCs w:val="20"/>
        </w:rPr>
        <w:t>ly to late stage start-ups. Large cloud service providers have also shown interest in building their own products to accelerate AI.</w:t>
      </w:r>
    </w:p>
    <w:p w14:paraId="590299A3" w14:textId="77777777" w:rsidR="0084406A" w:rsidRDefault="002B18AF">
      <w:pPr>
        <w:spacing w:before="180"/>
        <w:jc w:val="both"/>
      </w:pPr>
      <w:r>
        <w:rPr>
          <w:rFonts w:ascii="Arial" w:eastAsia="宋体" w:hAnsi="Arial" w:cs="Arial"/>
          <w:b/>
          <w:bCs/>
          <w:color w:val="000000"/>
          <w:sz w:val="20"/>
          <w:szCs w:val="20"/>
        </w:rPr>
        <w:t>Competition in the Enterprise, Embedded and Semi-Custom Segment</w:t>
      </w:r>
    </w:p>
    <w:p w14:paraId="590299A4" w14:textId="77777777" w:rsidR="0084406A" w:rsidRDefault="002B18AF">
      <w:pPr>
        <w:spacing w:before="180"/>
        <w:jc w:val="both"/>
      </w:pPr>
      <w:r>
        <w:rPr>
          <w:rFonts w:ascii="Arial" w:eastAsia="宋体" w:hAnsi="Arial" w:cs="Arial"/>
          <w:color w:val="000000"/>
          <w:sz w:val="20"/>
          <w:szCs w:val="20"/>
        </w:rPr>
        <w:t xml:space="preserve">In the server market, we compete against Intel with our CPU </w:t>
      </w:r>
      <w:r>
        <w:rPr>
          <w:rFonts w:ascii="Arial" w:eastAsia="宋体" w:hAnsi="Arial" w:cs="Arial"/>
          <w:color w:val="000000"/>
          <w:sz w:val="20"/>
          <w:szCs w:val="20"/>
        </w:rPr>
        <w:t xml:space="preserve">server products and NVIDIA with our GPU server products. A variety of companies provide or have developed ARM-based microprocessors and platforms. ARM-based designs are being used in the server market, which could lead to further growth and development of </w:t>
      </w:r>
      <w:r>
        <w:rPr>
          <w:rFonts w:ascii="Arial" w:eastAsia="宋体" w:hAnsi="Arial" w:cs="Arial"/>
          <w:color w:val="000000"/>
          <w:sz w:val="20"/>
          <w:szCs w:val="20"/>
        </w:rPr>
        <w:t>the ARM ecosystem. In 2020, NVIDIA announced that it had entered into an agreement to acquire ARM Holdings. Our ability to compete with companies who use ARM-based solutions depends on our ability to timely design and bring to market energy-efficient, high</w:t>
      </w:r>
      <w:r>
        <w:rPr>
          <w:rFonts w:ascii="Arial" w:eastAsia="宋体" w:hAnsi="Arial" w:cs="Arial"/>
          <w:color w:val="000000"/>
          <w:sz w:val="20"/>
          <w:szCs w:val="20"/>
        </w:rPr>
        <w:t xml:space="preserve">-performing products at an attractive price point. </w:t>
      </w:r>
    </w:p>
    <w:p w14:paraId="590299A5" w14:textId="77777777" w:rsidR="0084406A" w:rsidRDefault="002B18AF">
      <w:pPr>
        <w:spacing w:before="180"/>
        <w:jc w:val="both"/>
      </w:pPr>
      <w:r>
        <w:rPr>
          <w:rFonts w:ascii="Arial" w:eastAsia="宋体" w:hAnsi="Arial" w:cs="Arial"/>
          <w:color w:val="000000"/>
          <w:sz w:val="20"/>
          <w:szCs w:val="20"/>
        </w:rPr>
        <w:t>We are the market share leader in semi-custom game console products, where graphics performance is critical, and where we compete primarily against NVIDIA.</w:t>
      </w:r>
    </w:p>
    <w:p w14:paraId="590299A6" w14:textId="77777777" w:rsidR="0084406A" w:rsidRDefault="002B18AF">
      <w:pPr>
        <w:spacing w:before="180"/>
        <w:jc w:val="both"/>
      </w:pPr>
      <w:r>
        <w:rPr>
          <w:rFonts w:ascii="Arial" w:eastAsia="宋体" w:hAnsi="Arial" w:cs="Arial"/>
          <w:b/>
          <w:bCs/>
          <w:color w:val="000000"/>
          <w:sz w:val="20"/>
          <w:szCs w:val="20"/>
        </w:rPr>
        <w:t xml:space="preserve">Research and Development </w:t>
      </w:r>
    </w:p>
    <w:p w14:paraId="590299A7" w14:textId="77777777" w:rsidR="0084406A" w:rsidRDefault="002B18AF">
      <w:pPr>
        <w:spacing w:before="180"/>
        <w:jc w:val="both"/>
      </w:pPr>
      <w:r>
        <w:rPr>
          <w:rFonts w:ascii="Arial" w:eastAsia="宋体" w:hAnsi="Arial" w:cs="Arial"/>
          <w:color w:val="000000"/>
          <w:sz w:val="20"/>
          <w:szCs w:val="20"/>
        </w:rPr>
        <w:t xml:space="preserve">We focus our research </w:t>
      </w:r>
      <w:r>
        <w:rPr>
          <w:rFonts w:ascii="Arial" w:eastAsia="宋体" w:hAnsi="Arial" w:cs="Arial"/>
          <w:color w:val="000000"/>
          <w:sz w:val="20"/>
          <w:szCs w:val="20"/>
        </w:rPr>
        <w:t xml:space="preserve">and development activities on improving product performance and enhancing product design. Our main area of focus is on delivering the next generation of CPU and GPU IP, and designing that IP into our SoCs for our next generation of products, with, in each </w:t>
      </w:r>
      <w:r>
        <w:rPr>
          <w:rFonts w:ascii="Arial" w:eastAsia="宋体" w:hAnsi="Arial" w:cs="Arial"/>
          <w:color w:val="000000"/>
          <w:sz w:val="20"/>
          <w:szCs w:val="20"/>
        </w:rPr>
        <w:t>case, improved system performance and performance-per-watt characteristics. For example, we are focusing on improving the battery life of our APU products for notebooks and the performance and power efficiency of our discrete GPUs and our microprocessors f</w:t>
      </w:r>
      <w:r>
        <w:rPr>
          <w:rFonts w:ascii="Arial" w:eastAsia="宋体" w:hAnsi="Arial" w:cs="Arial"/>
          <w:color w:val="000000"/>
          <w:sz w:val="20"/>
          <w:szCs w:val="20"/>
        </w:rPr>
        <w:t>or servers. In September 2021, we announced our goal to deliver a 30x increase in energy efficiency of EPYC CPUs and Instinct GPU accelerators by 2025. Another important area of focus is on HPC, which has traditionally focused on scientific computing and s</w:t>
      </w:r>
      <w:r>
        <w:rPr>
          <w:rFonts w:ascii="Arial" w:eastAsia="宋体" w:hAnsi="Arial" w:cs="Arial"/>
          <w:color w:val="000000"/>
          <w:sz w:val="20"/>
          <w:szCs w:val="20"/>
        </w:rPr>
        <w:t>upercomputers. We are also focusing on delivering a range of low-power integrated platforms to serve key markets, including commercial clients, mobile computing and gaming. We believe these platforms will bring customers increased performance and energy ef</w:t>
      </w:r>
      <w:r>
        <w:rPr>
          <w:rFonts w:ascii="Arial" w:eastAsia="宋体" w:hAnsi="Arial" w:cs="Arial"/>
          <w:color w:val="000000"/>
          <w:sz w:val="20"/>
          <w:szCs w:val="20"/>
        </w:rPr>
        <w:t>ficiency. We are also focusing on ways to increase cores and modularity in design through our implementation of chiplet technology, where the typical monolithic chip is broken into different smaller units called a chiplet. We are also working on innovation</w:t>
      </w:r>
      <w:r>
        <w:rPr>
          <w:rFonts w:ascii="Arial" w:eastAsia="宋体" w:hAnsi="Arial" w:cs="Arial"/>
          <w:color w:val="000000"/>
          <w:sz w:val="20"/>
          <w:szCs w:val="20"/>
        </w:rPr>
        <w:t>s in packaging technology for chiplets, such as 2D and 3D packaging. For example, in November 2021 we announced our 3D V-Cache packaging technology which stacks dies three dimensionally for improved performance. We also work on advanced memory technologies</w:t>
      </w:r>
      <w:r>
        <w:rPr>
          <w:rFonts w:ascii="Arial" w:eastAsia="宋体" w:hAnsi="Arial" w:cs="Arial"/>
          <w:color w:val="000000"/>
          <w:sz w:val="20"/>
          <w:szCs w:val="20"/>
        </w:rPr>
        <w:t>. As SoC technology advances, the memory can sometimes limit CPU performance and we work on improving memory technology to improve performance. AMD worked with the JEDEC standard bodies and participating companies to establish a new industry memory standar</w:t>
      </w:r>
      <w:r>
        <w:rPr>
          <w:rFonts w:ascii="Arial" w:eastAsia="宋体" w:hAnsi="Arial" w:cs="Arial"/>
          <w:color w:val="000000"/>
          <w:sz w:val="20"/>
          <w:szCs w:val="20"/>
        </w:rPr>
        <w:t xml:space="preserve">d, high bandwidth memory (HBM). HBM is a type of memory chip with lower power consumption and ultra-wide communication lanes to improve performance </w:t>
      </w:r>
    </w:p>
    <w:p w14:paraId="590299A8" w14:textId="77777777" w:rsidR="0084406A" w:rsidRDefault="002B18AF">
      <w:pPr>
        <w:jc w:val="center"/>
      </w:pPr>
      <w:r>
        <w:rPr>
          <w:rFonts w:ascii="Arial" w:eastAsia="宋体" w:hAnsi="Arial" w:cs="Arial"/>
          <w:color w:val="000000"/>
          <w:sz w:val="20"/>
          <w:szCs w:val="20"/>
        </w:rPr>
        <w:t>9</w:t>
      </w:r>
    </w:p>
    <w:p w14:paraId="590299A9" w14:textId="77777777" w:rsidR="0084406A" w:rsidRDefault="002B18AF">
      <w:r>
        <w:pict w14:anchorId="5902BAFD">
          <v:rect id="_x0000_i1036" style="width:415.3pt;height:1.5pt" o:hralign="center" o:hrstd="t" o:hr="t" fillcolor="#a0a0a0" stroked="f"/>
        </w:pict>
      </w:r>
    </w:p>
    <w:p w14:paraId="590299AA" w14:textId="77777777" w:rsidR="0084406A" w:rsidRDefault="0084406A"/>
    <w:p w14:paraId="590299AB" w14:textId="77777777" w:rsidR="0084406A" w:rsidRDefault="002B18AF">
      <w:pPr>
        <w:spacing w:before="180"/>
        <w:jc w:val="both"/>
      </w:pPr>
      <w:r>
        <w:rPr>
          <w:rFonts w:ascii="Arial" w:eastAsia="宋体" w:hAnsi="Arial" w:cs="Arial"/>
          <w:color w:val="000000"/>
          <w:sz w:val="20"/>
          <w:szCs w:val="20"/>
        </w:rPr>
        <w:t xml:space="preserve">and energy efficiency. HBM memory chips are vertically stacked, like floors in a skyscraper to </w:t>
      </w:r>
      <w:r>
        <w:rPr>
          <w:rFonts w:ascii="Arial" w:eastAsia="宋体" w:hAnsi="Arial" w:cs="Arial"/>
          <w:color w:val="000000"/>
          <w:sz w:val="20"/>
          <w:szCs w:val="20"/>
        </w:rPr>
        <w:t>shorten the distance of the information being communicated. Another area of focus is machine intelligence which is the platform for the growing field of machine learning. Our CPUs, GPUs, accelerators, and APUs offer the computation capability and flexibili</w:t>
      </w:r>
      <w:r>
        <w:rPr>
          <w:rFonts w:ascii="Arial" w:eastAsia="宋体" w:hAnsi="Arial" w:cs="Arial"/>
          <w:color w:val="000000"/>
          <w:sz w:val="20"/>
          <w:szCs w:val="20"/>
        </w:rPr>
        <w:t>ty required for various machine learning deployments. We also work with industry leaders on process technology, software and other functional intellectual property and with others in the industry and industry consortia to conduct early stage research and d</w:t>
      </w:r>
      <w:r>
        <w:rPr>
          <w:rFonts w:ascii="Arial" w:eastAsia="宋体" w:hAnsi="Arial" w:cs="Arial"/>
          <w:color w:val="000000"/>
          <w:sz w:val="20"/>
          <w:szCs w:val="20"/>
        </w:rPr>
        <w:t>evelopment. We conduct product and system research and development activities for our products in the United States with additional design and development engineering teams, located in Canada, China, India, Singapore and Taiwan, who undertake specific acti</w:t>
      </w:r>
      <w:r>
        <w:rPr>
          <w:rFonts w:ascii="Arial" w:eastAsia="宋体" w:hAnsi="Arial" w:cs="Arial"/>
          <w:color w:val="000000"/>
          <w:sz w:val="20"/>
          <w:szCs w:val="20"/>
        </w:rPr>
        <w:t>vities at the direction of our U.S. headquarters.</w:t>
      </w:r>
    </w:p>
    <w:p w14:paraId="590299AC" w14:textId="77777777" w:rsidR="0084406A" w:rsidRDefault="002B18AF">
      <w:pPr>
        <w:spacing w:before="180"/>
        <w:jc w:val="both"/>
      </w:pPr>
      <w:r>
        <w:rPr>
          <w:rFonts w:ascii="Arial" w:eastAsia="宋体" w:hAnsi="Arial" w:cs="Arial"/>
          <w:b/>
          <w:bCs/>
          <w:color w:val="000000"/>
          <w:sz w:val="20"/>
          <w:szCs w:val="20"/>
        </w:rPr>
        <w:t>Manufacturing Arrangements and Assembly and Test Facilities</w:t>
      </w:r>
    </w:p>
    <w:p w14:paraId="590299AD" w14:textId="77777777" w:rsidR="0084406A" w:rsidRDefault="002B18AF">
      <w:pPr>
        <w:spacing w:before="180"/>
      </w:pPr>
      <w:r>
        <w:rPr>
          <w:rFonts w:ascii="Arial" w:eastAsia="宋体" w:hAnsi="Arial" w:cs="Arial"/>
          <w:b/>
          <w:bCs/>
          <w:i/>
          <w:iCs/>
          <w:color w:val="000000"/>
          <w:sz w:val="20"/>
          <w:szCs w:val="20"/>
        </w:rPr>
        <w:t>Third-Party Wafer Foundry Facilities</w:t>
      </w:r>
      <w:r>
        <w:rPr>
          <w:rFonts w:ascii="Arial" w:eastAsia="宋体" w:hAnsi="Arial" w:cs="Arial"/>
          <w:i/>
          <w:iCs/>
          <w:color w:val="000000"/>
          <w:sz w:val="20"/>
          <w:szCs w:val="20"/>
        </w:rPr>
        <w:t xml:space="preserve"> </w:t>
      </w:r>
    </w:p>
    <w:p w14:paraId="590299AE" w14:textId="77777777" w:rsidR="0084406A" w:rsidRDefault="002B18AF">
      <w:pPr>
        <w:spacing w:before="180"/>
        <w:jc w:val="both"/>
      </w:pPr>
      <w:r>
        <w:rPr>
          <w:rFonts w:ascii="Arial" w:eastAsia="宋体" w:hAnsi="Arial" w:cs="Arial"/>
          <w:color w:val="000000"/>
          <w:sz w:val="20"/>
          <w:szCs w:val="20"/>
        </w:rPr>
        <w:t>We have foundry arrangements with Taiwan Semiconductor Manufacturing Company Limited (TSMC) for the producti</w:t>
      </w:r>
      <w:r>
        <w:rPr>
          <w:rFonts w:ascii="Arial" w:eastAsia="宋体" w:hAnsi="Arial" w:cs="Arial"/>
          <w:color w:val="000000"/>
          <w:sz w:val="20"/>
          <w:szCs w:val="20"/>
        </w:rPr>
        <w:t>on of wafers for our products at 7 nanometer (nm) or smaller nodes.</w:t>
      </w:r>
    </w:p>
    <w:p w14:paraId="590299AF" w14:textId="77777777" w:rsidR="0084406A" w:rsidRDefault="002B18AF">
      <w:pPr>
        <w:spacing w:before="180"/>
        <w:jc w:val="both"/>
      </w:pPr>
      <w:r>
        <w:rPr>
          <w:rFonts w:ascii="Arial" w:eastAsia="宋体" w:hAnsi="Arial" w:cs="Arial"/>
          <w:color w:val="000000"/>
          <w:sz w:val="20"/>
          <w:szCs w:val="20"/>
        </w:rPr>
        <w:t>We are also a party to a Wafer Supply Agreement (WSA) with GLOBALFOUNDRIES Inc. (GF), with respect to wafer purchases at the 12 nm and 14 nm technology nodes.</w:t>
      </w:r>
    </w:p>
    <w:p w14:paraId="590299B0" w14:textId="77777777" w:rsidR="0084406A" w:rsidRDefault="002B18AF">
      <w:pPr>
        <w:spacing w:before="180"/>
        <w:jc w:val="both"/>
      </w:pPr>
      <w:r>
        <w:rPr>
          <w:rFonts w:ascii="Arial" w:eastAsia="宋体" w:hAnsi="Arial" w:cs="Arial"/>
          <w:b/>
          <w:bCs/>
          <w:i/>
          <w:iCs/>
          <w:color w:val="000000"/>
          <w:sz w:val="20"/>
          <w:szCs w:val="20"/>
        </w:rPr>
        <w:t>Other Third-Party Manufacture</w:t>
      </w:r>
      <w:r>
        <w:rPr>
          <w:rFonts w:ascii="Arial" w:eastAsia="宋体" w:hAnsi="Arial" w:cs="Arial"/>
          <w:b/>
          <w:bCs/>
          <w:i/>
          <w:iCs/>
          <w:color w:val="000000"/>
          <w:sz w:val="20"/>
          <w:szCs w:val="20"/>
        </w:rPr>
        <w:t>rs</w:t>
      </w:r>
      <w:r>
        <w:rPr>
          <w:rFonts w:ascii="Arial" w:eastAsia="宋体" w:hAnsi="Arial" w:cs="Arial"/>
          <w:color w:val="000000"/>
          <w:sz w:val="20"/>
          <w:szCs w:val="20"/>
        </w:rPr>
        <w:t xml:space="preserve"> </w:t>
      </w:r>
    </w:p>
    <w:p w14:paraId="590299B1" w14:textId="77777777" w:rsidR="0084406A" w:rsidRDefault="002B18AF">
      <w:pPr>
        <w:spacing w:before="180"/>
        <w:jc w:val="both"/>
      </w:pPr>
      <w:r>
        <w:rPr>
          <w:rFonts w:ascii="Arial" w:eastAsia="宋体" w:hAnsi="Arial" w:cs="Arial"/>
          <w:color w:val="000000"/>
          <w:sz w:val="20"/>
          <w:szCs w:val="20"/>
        </w:rPr>
        <w:t>We outsource board-level graphics product manufacturing to third-party manufacturers.</w:t>
      </w:r>
    </w:p>
    <w:p w14:paraId="590299B2" w14:textId="77777777" w:rsidR="0084406A" w:rsidRDefault="002B18AF">
      <w:pPr>
        <w:spacing w:before="180"/>
        <w:jc w:val="both"/>
      </w:pPr>
      <w:r>
        <w:rPr>
          <w:rFonts w:ascii="Arial" w:eastAsia="宋体" w:hAnsi="Arial" w:cs="Arial"/>
          <w:b/>
          <w:bCs/>
          <w:i/>
          <w:iCs/>
          <w:color w:val="000000"/>
          <w:sz w:val="20"/>
          <w:szCs w:val="20"/>
        </w:rPr>
        <w:t>Assembly, Test, Mark and Packaging Facilities</w:t>
      </w:r>
    </w:p>
    <w:p w14:paraId="590299B3" w14:textId="77777777" w:rsidR="0084406A" w:rsidRDefault="002B18AF">
      <w:pPr>
        <w:spacing w:before="180"/>
        <w:jc w:val="both"/>
      </w:pPr>
      <w:r>
        <w:rPr>
          <w:rFonts w:ascii="Arial" w:eastAsia="宋体" w:hAnsi="Arial" w:cs="Arial"/>
          <w:color w:val="000000"/>
          <w:sz w:val="20"/>
          <w:szCs w:val="20"/>
        </w:rPr>
        <w:t>Wafers for our products under the Computing and Graphics and the Enterprise, Embedded and Semi-Custom segments are delivered from third-party foundries to our assembly, test, mark and packaging partners located in the Asia-Pacific region who package and te</w:t>
      </w:r>
      <w:r>
        <w:rPr>
          <w:rFonts w:ascii="Arial" w:eastAsia="宋体" w:hAnsi="Arial" w:cs="Arial"/>
          <w:color w:val="000000"/>
          <w:sz w:val="20"/>
          <w:szCs w:val="20"/>
        </w:rPr>
        <w:t xml:space="preserve">st our final semiconductor products. We are party to two assembly, test, mark and pack (ATMP) joint ventures (collectively, the ATMP JVs) with Tongfu Microelectronics Co., Ltd. The majority of our ATMP services are provided by the ATMP JVs. </w:t>
      </w:r>
    </w:p>
    <w:p w14:paraId="590299B4" w14:textId="77777777" w:rsidR="0084406A" w:rsidRDefault="002B18AF">
      <w:pPr>
        <w:spacing w:before="180"/>
        <w:jc w:val="both"/>
      </w:pPr>
      <w:r>
        <w:rPr>
          <w:rFonts w:ascii="Arial" w:eastAsia="宋体" w:hAnsi="Arial" w:cs="Arial"/>
          <w:b/>
          <w:bCs/>
          <w:color w:val="000000"/>
          <w:sz w:val="20"/>
          <w:szCs w:val="20"/>
        </w:rPr>
        <w:t>Intellectual P</w:t>
      </w:r>
      <w:r>
        <w:rPr>
          <w:rFonts w:ascii="Arial" w:eastAsia="宋体" w:hAnsi="Arial" w:cs="Arial"/>
          <w:b/>
          <w:bCs/>
          <w:color w:val="000000"/>
          <w:sz w:val="20"/>
          <w:szCs w:val="20"/>
        </w:rPr>
        <w:t xml:space="preserve">roperty and Licensing </w:t>
      </w:r>
    </w:p>
    <w:p w14:paraId="590299B5" w14:textId="77777777" w:rsidR="0084406A" w:rsidRDefault="002B18AF">
      <w:pPr>
        <w:spacing w:before="180"/>
        <w:jc w:val="both"/>
      </w:pPr>
      <w:r>
        <w:rPr>
          <w:rFonts w:ascii="Arial" w:eastAsia="宋体" w:hAnsi="Arial" w:cs="Arial"/>
          <w:color w:val="000000"/>
          <w:sz w:val="20"/>
          <w:szCs w:val="20"/>
        </w:rPr>
        <w:t xml:space="preserve">We rely on contracts and intellectual property rights to protect our products and technologies from unauthorized third-party copying and use. Intellectual property rights include copyrights, patents, patent applications, trademarks, </w:t>
      </w:r>
      <w:r>
        <w:rPr>
          <w:rFonts w:ascii="Arial" w:eastAsia="宋体" w:hAnsi="Arial" w:cs="Arial"/>
          <w:color w:val="000000"/>
          <w:sz w:val="20"/>
          <w:szCs w:val="20"/>
        </w:rPr>
        <w:t>trade secrets and mask work rights. As of December 25, 2021, we had approximately 4,000 patents in the United States and approximately 1,600 patent applications pending in the United States. In certain cases, we have filed corresponding applications in for</w:t>
      </w:r>
      <w:r>
        <w:rPr>
          <w:rFonts w:ascii="Arial" w:eastAsia="宋体" w:hAnsi="Arial" w:cs="Arial"/>
          <w:color w:val="000000"/>
          <w:sz w:val="20"/>
          <w:szCs w:val="20"/>
        </w:rPr>
        <w:t>eign jurisdictions. Including United States and foreign matters, we have approximately 10,000 patent matters worldwide consisting of approximately 6,800 issued patents and 3,300 patent applications pending. We expect to file future patent applications in b</w:t>
      </w:r>
      <w:r>
        <w:rPr>
          <w:rFonts w:ascii="Arial" w:eastAsia="宋体" w:hAnsi="Arial" w:cs="Arial"/>
          <w:color w:val="000000"/>
          <w:sz w:val="20"/>
          <w:szCs w:val="20"/>
        </w:rPr>
        <w:t>oth the United States and abroad on significant inventions, as we deem appropriate. We do not believe that any individual patent, or the expiration of any patent, is or would be material to our business. As is typical in the semiconductor industry, we have</w:t>
      </w:r>
      <w:r>
        <w:rPr>
          <w:rFonts w:ascii="Arial" w:eastAsia="宋体" w:hAnsi="Arial" w:cs="Arial"/>
          <w:color w:val="000000"/>
          <w:sz w:val="20"/>
          <w:szCs w:val="20"/>
        </w:rPr>
        <w:t xml:space="preserve"> numerous cross-licensing and technology exchange agreements with other companies under which we both transfer and receive technology and intellectual property rights. We have acquired various licenses from external parties to certain technologies that are</w:t>
      </w:r>
      <w:r>
        <w:rPr>
          <w:rFonts w:ascii="Arial" w:eastAsia="宋体" w:hAnsi="Arial" w:cs="Arial"/>
          <w:color w:val="000000"/>
          <w:sz w:val="20"/>
          <w:szCs w:val="20"/>
        </w:rPr>
        <w:t xml:space="preserve"> implemented in our products, including our IP cores and devices. These licenses support our continuing ability to make and sell our products. We have also acquired licenses to certain proprietary software, open-source software, and related technologies, s</w:t>
      </w:r>
      <w:r>
        <w:rPr>
          <w:rFonts w:ascii="Arial" w:eastAsia="宋体" w:hAnsi="Arial" w:cs="Arial"/>
          <w:color w:val="000000"/>
          <w:sz w:val="20"/>
          <w:szCs w:val="20"/>
        </w:rPr>
        <w:t>uch as compilers, for our design tools. Continued use of such software and technology is important to the operation of the design tools upon which our customers depend</w:t>
      </w:r>
      <w:r>
        <w:rPr>
          <w:rFonts w:ascii="Arial" w:eastAsia="宋体" w:hAnsi="Arial" w:cs="Arial"/>
          <w:color w:val="008080"/>
        </w:rPr>
        <w:t>.</w:t>
      </w:r>
    </w:p>
    <w:p w14:paraId="590299B6" w14:textId="77777777" w:rsidR="0084406A" w:rsidRDefault="002B18AF">
      <w:pPr>
        <w:spacing w:before="180"/>
        <w:jc w:val="both"/>
      </w:pPr>
      <w:r>
        <w:rPr>
          <w:rFonts w:ascii="Arial" w:eastAsia="宋体" w:hAnsi="Arial" w:cs="Arial"/>
          <w:b/>
          <w:bCs/>
          <w:color w:val="000000"/>
          <w:sz w:val="20"/>
          <w:szCs w:val="20"/>
        </w:rPr>
        <w:t>Backlog</w:t>
      </w:r>
    </w:p>
    <w:p w14:paraId="590299B7" w14:textId="77777777" w:rsidR="0084406A" w:rsidRDefault="002B18AF">
      <w:pPr>
        <w:spacing w:before="180"/>
        <w:jc w:val="both"/>
      </w:pPr>
      <w:r>
        <w:rPr>
          <w:rFonts w:ascii="Arial" w:eastAsia="宋体" w:hAnsi="Arial" w:cs="Arial"/>
          <w:color w:val="000000"/>
          <w:sz w:val="20"/>
          <w:szCs w:val="20"/>
        </w:rPr>
        <w:t>Sales are made primarily pursuant to purchase orders for current delivery or ag</w:t>
      </w:r>
      <w:r>
        <w:rPr>
          <w:rFonts w:ascii="Arial" w:eastAsia="宋体" w:hAnsi="Arial" w:cs="Arial"/>
          <w:color w:val="000000"/>
          <w:sz w:val="20"/>
          <w:szCs w:val="20"/>
        </w:rPr>
        <w:t>reements covering purchases over a period of time. Although such orders or agreements may provide visibility into future quarters, they may not necessarily be indicative of actual sales for any succeeding period as some of these orders or agreements may be</w:t>
      </w:r>
      <w:r>
        <w:rPr>
          <w:rFonts w:ascii="Arial" w:eastAsia="宋体" w:hAnsi="Arial" w:cs="Arial"/>
          <w:color w:val="000000"/>
          <w:sz w:val="20"/>
          <w:szCs w:val="20"/>
        </w:rPr>
        <w:t xml:space="preserve"> revised or canceled without penalty. With respect to our semi-custom SoC products, our orders and agreements are more stringent resulting in meaningful backlog for the coming quarter.</w:t>
      </w:r>
    </w:p>
    <w:p w14:paraId="590299B8" w14:textId="77777777" w:rsidR="0084406A" w:rsidRDefault="002B18AF">
      <w:pPr>
        <w:spacing w:before="180"/>
        <w:jc w:val="both"/>
      </w:pPr>
      <w:r>
        <w:rPr>
          <w:rFonts w:ascii="Arial" w:eastAsia="宋体" w:hAnsi="Arial" w:cs="Arial"/>
          <w:b/>
          <w:bCs/>
          <w:color w:val="000000"/>
          <w:sz w:val="20"/>
          <w:szCs w:val="20"/>
        </w:rPr>
        <w:t>Seasonality</w:t>
      </w:r>
    </w:p>
    <w:p w14:paraId="590299B9" w14:textId="77777777" w:rsidR="0084406A" w:rsidRDefault="002B18AF">
      <w:pPr>
        <w:spacing w:before="180"/>
        <w:jc w:val="both"/>
      </w:pPr>
      <w:r>
        <w:rPr>
          <w:rFonts w:ascii="Arial" w:eastAsia="宋体" w:hAnsi="Arial" w:cs="Arial"/>
          <w:color w:val="000000"/>
          <w:sz w:val="20"/>
          <w:szCs w:val="20"/>
        </w:rPr>
        <w:t>Our operating results tend to vary seasonally. Historically</w:t>
      </w:r>
      <w:r>
        <w:rPr>
          <w:rFonts w:ascii="Arial" w:eastAsia="宋体" w:hAnsi="Arial" w:cs="Arial"/>
          <w:color w:val="000000"/>
          <w:sz w:val="20"/>
          <w:szCs w:val="20"/>
        </w:rPr>
        <w:t xml:space="preserve">, our net revenue has been generally higher in the second half of the year than in the first half of the year, although market conditions and product transitions could impact </w:t>
      </w:r>
    </w:p>
    <w:p w14:paraId="590299BA" w14:textId="77777777" w:rsidR="0084406A" w:rsidRDefault="002B18AF">
      <w:pPr>
        <w:jc w:val="center"/>
      </w:pPr>
      <w:r>
        <w:rPr>
          <w:rFonts w:ascii="Arial" w:eastAsia="宋体" w:hAnsi="Arial" w:cs="Arial"/>
          <w:color w:val="000000"/>
          <w:sz w:val="20"/>
          <w:szCs w:val="20"/>
        </w:rPr>
        <w:t>10</w:t>
      </w:r>
    </w:p>
    <w:p w14:paraId="590299BB" w14:textId="77777777" w:rsidR="0084406A" w:rsidRDefault="002B18AF">
      <w:r>
        <w:pict w14:anchorId="5902BAFE">
          <v:rect id="_x0000_i1037" style="width:415.3pt;height:1.5pt" o:hralign="center" o:hrstd="t" o:hr="t" fillcolor="#a0a0a0" stroked="f"/>
        </w:pict>
      </w:r>
    </w:p>
    <w:p w14:paraId="590299BC" w14:textId="77777777" w:rsidR="0084406A" w:rsidRDefault="0084406A"/>
    <w:p w14:paraId="590299BD" w14:textId="77777777" w:rsidR="0084406A" w:rsidRDefault="002B18AF">
      <w:pPr>
        <w:spacing w:before="180"/>
        <w:jc w:val="both"/>
      </w:pPr>
      <w:r>
        <w:rPr>
          <w:rFonts w:ascii="Arial" w:eastAsia="宋体" w:hAnsi="Arial" w:cs="Arial"/>
          <w:color w:val="000000"/>
          <w:sz w:val="20"/>
          <w:szCs w:val="20"/>
        </w:rPr>
        <w:t>these trends.</w:t>
      </w:r>
    </w:p>
    <w:p w14:paraId="590299BE" w14:textId="77777777" w:rsidR="0084406A" w:rsidRDefault="002B18AF">
      <w:pPr>
        <w:spacing w:before="180"/>
        <w:jc w:val="both"/>
      </w:pPr>
      <w:r>
        <w:rPr>
          <w:rFonts w:ascii="Arial" w:eastAsia="宋体" w:hAnsi="Arial" w:cs="Arial"/>
          <w:b/>
          <w:bCs/>
          <w:color w:val="000000"/>
          <w:sz w:val="20"/>
          <w:szCs w:val="20"/>
        </w:rPr>
        <w:t>Human Capital</w:t>
      </w:r>
    </w:p>
    <w:p w14:paraId="590299BF" w14:textId="77777777" w:rsidR="0084406A" w:rsidRDefault="002B18AF">
      <w:pPr>
        <w:spacing w:before="180"/>
        <w:jc w:val="both"/>
      </w:pPr>
      <w:r>
        <w:rPr>
          <w:rFonts w:ascii="Arial" w:eastAsia="宋体" w:hAnsi="Arial" w:cs="Arial"/>
          <w:color w:val="000000"/>
          <w:sz w:val="20"/>
          <w:szCs w:val="20"/>
        </w:rPr>
        <w:t xml:space="preserve">As of December 25, 2021, we had approximately </w:t>
      </w:r>
      <w:r>
        <w:rPr>
          <w:rFonts w:ascii="Arial" w:eastAsia="宋体" w:hAnsi="Arial" w:cs="Arial"/>
          <w:color w:val="000000"/>
          <w:sz w:val="20"/>
          <w:szCs w:val="20"/>
        </w:rPr>
        <w:t xml:space="preserve">15,500 employees in our global workforce. We believe we are at our best when our culture of innovation, creative minds and people from all kinds of backgrounds work together in an engaging and open environment. Areas of focus for us include the following: </w:t>
      </w:r>
    </w:p>
    <w:p w14:paraId="590299C0" w14:textId="77777777" w:rsidR="0084406A" w:rsidRDefault="002B18AF">
      <w:pPr>
        <w:spacing w:before="180"/>
        <w:jc w:val="both"/>
      </w:pPr>
      <w:r>
        <w:rPr>
          <w:rFonts w:ascii="Arial" w:eastAsia="宋体" w:hAnsi="Arial" w:cs="Arial"/>
          <w:b/>
          <w:bCs/>
          <w:i/>
          <w:iCs/>
          <w:color w:val="000000"/>
          <w:sz w:val="20"/>
          <w:szCs w:val="20"/>
        </w:rPr>
        <w:t>Mission, Culture, and Engagement</w:t>
      </w:r>
      <w:r>
        <w:rPr>
          <w:rFonts w:ascii="Arial" w:eastAsia="宋体" w:hAnsi="Arial" w:cs="Arial"/>
          <w:i/>
          <w:iCs/>
          <w:color w:val="000000"/>
          <w:sz w:val="20"/>
          <w:szCs w:val="20"/>
        </w:rPr>
        <w:t xml:space="preserve"> </w:t>
      </w:r>
    </w:p>
    <w:p w14:paraId="590299C1" w14:textId="77777777" w:rsidR="0084406A" w:rsidRDefault="002B18AF">
      <w:pPr>
        <w:spacing w:before="180"/>
        <w:jc w:val="both"/>
      </w:pPr>
      <w:r>
        <w:rPr>
          <w:rFonts w:ascii="Arial" w:eastAsia="宋体" w:hAnsi="Arial" w:cs="Arial"/>
          <w:color w:val="000000"/>
          <w:sz w:val="20"/>
          <w:szCs w:val="20"/>
        </w:rPr>
        <w:t xml:space="preserve">Our History - Founded in 1969 as a Silicon Valley start-up, the AMD journey began with dozens of employees focused on leading-edge semiconductor products. From those modest beginnings, we have grown into a global company </w:t>
      </w:r>
      <w:r>
        <w:rPr>
          <w:rFonts w:ascii="Arial" w:eastAsia="宋体" w:hAnsi="Arial" w:cs="Arial"/>
          <w:color w:val="000000"/>
          <w:sz w:val="20"/>
          <w:szCs w:val="20"/>
        </w:rPr>
        <w:t xml:space="preserve">achieving many important industry firsts along the way. Today, we develop high-performance computing and visualization products to solve some of the world’s toughest and most interesting challenges. </w:t>
      </w:r>
    </w:p>
    <w:p w14:paraId="590299C2" w14:textId="77777777" w:rsidR="0084406A" w:rsidRDefault="002B18AF">
      <w:pPr>
        <w:spacing w:before="180"/>
        <w:jc w:val="both"/>
      </w:pPr>
      <w:r>
        <w:rPr>
          <w:rFonts w:ascii="Arial" w:eastAsia="宋体" w:hAnsi="Arial" w:cs="Arial"/>
          <w:color w:val="000000"/>
          <w:sz w:val="20"/>
          <w:szCs w:val="20"/>
        </w:rPr>
        <w:t xml:space="preserve">Our Vision - High performance computing is transforming </w:t>
      </w:r>
      <w:r>
        <w:rPr>
          <w:rFonts w:ascii="Arial" w:eastAsia="宋体" w:hAnsi="Arial" w:cs="Arial"/>
          <w:color w:val="000000"/>
          <w:sz w:val="20"/>
          <w:szCs w:val="20"/>
        </w:rPr>
        <w:t>our lives.</w:t>
      </w:r>
    </w:p>
    <w:p w14:paraId="590299C3" w14:textId="77777777" w:rsidR="0084406A" w:rsidRDefault="002B18AF">
      <w:pPr>
        <w:spacing w:before="180"/>
        <w:jc w:val="both"/>
      </w:pPr>
      <w:r>
        <w:rPr>
          <w:rFonts w:ascii="Arial" w:eastAsia="宋体" w:hAnsi="Arial" w:cs="Arial"/>
          <w:color w:val="000000"/>
          <w:sz w:val="20"/>
          <w:szCs w:val="20"/>
        </w:rPr>
        <w:t xml:space="preserve">Our Mission - Build great products that accelerate next-generation computing experiences. </w:t>
      </w:r>
    </w:p>
    <w:p w14:paraId="590299C4" w14:textId="77777777" w:rsidR="0084406A" w:rsidRDefault="002B18AF">
      <w:pPr>
        <w:spacing w:before="180"/>
        <w:jc w:val="both"/>
      </w:pPr>
      <w:r>
        <w:rPr>
          <w:rFonts w:ascii="Arial" w:eastAsia="宋体" w:hAnsi="Arial" w:cs="Arial"/>
          <w:color w:val="000000"/>
          <w:sz w:val="20"/>
          <w:szCs w:val="20"/>
        </w:rPr>
        <w:t>Our employees are driven by this vision and mission. Innovation occurs when creative minds and diverse perspectives from all over the world work together. This is the foundation of our unique culture and the reason why AMD employees are among the most enga</w:t>
      </w:r>
      <w:r>
        <w:rPr>
          <w:rFonts w:ascii="Arial" w:eastAsia="宋体" w:hAnsi="Arial" w:cs="Arial"/>
          <w:color w:val="000000"/>
          <w:sz w:val="20"/>
          <w:szCs w:val="20"/>
        </w:rPr>
        <w:t xml:space="preserve">ged in our industry. </w:t>
      </w:r>
    </w:p>
    <w:p w14:paraId="590299C5" w14:textId="77777777" w:rsidR="0084406A" w:rsidRDefault="002B18AF">
      <w:pPr>
        <w:spacing w:before="180"/>
        <w:jc w:val="both"/>
      </w:pPr>
      <w:r>
        <w:rPr>
          <w:rFonts w:ascii="Arial" w:eastAsia="宋体" w:hAnsi="Arial" w:cs="Arial"/>
          <w:color w:val="000000"/>
          <w:sz w:val="20"/>
          <w:szCs w:val="20"/>
        </w:rPr>
        <w:t>We conduct a confidential annual survey of our global workforce to measure our culture, engagement, and manager quality. The results are reviewed by the AMD Board of Directors and acted upon by our senior leadership team and individua</w:t>
      </w:r>
      <w:r>
        <w:rPr>
          <w:rFonts w:ascii="Arial" w:eastAsia="宋体" w:hAnsi="Arial" w:cs="Arial"/>
          <w:color w:val="000000"/>
          <w:sz w:val="20"/>
          <w:szCs w:val="20"/>
        </w:rPr>
        <w:t xml:space="preserve">l managers at every level. Results from our 2021 survey reported scores that continued to be among the very best for global companies in the technology industry. Our employees described our culture as inclusive, innovative, open, and respectful, and rated </w:t>
      </w:r>
      <w:r>
        <w:rPr>
          <w:rFonts w:ascii="Arial" w:eastAsia="宋体" w:hAnsi="Arial" w:cs="Arial"/>
          <w:color w:val="000000"/>
          <w:sz w:val="20"/>
          <w:szCs w:val="20"/>
        </w:rPr>
        <w:t xml:space="preserve">the quality of our managers among the top 10% of our technology industry peers. </w:t>
      </w:r>
    </w:p>
    <w:p w14:paraId="590299C6" w14:textId="77777777" w:rsidR="0084406A" w:rsidRDefault="002B18AF">
      <w:pPr>
        <w:spacing w:before="180"/>
        <w:jc w:val="both"/>
      </w:pPr>
      <w:r>
        <w:rPr>
          <w:rFonts w:ascii="Arial" w:eastAsia="宋体" w:hAnsi="Arial" w:cs="Arial"/>
          <w:b/>
          <w:bCs/>
          <w:i/>
          <w:iCs/>
          <w:color w:val="000000"/>
          <w:sz w:val="20"/>
          <w:szCs w:val="20"/>
        </w:rPr>
        <w:t>Diversity, Belonging and Inclusion</w:t>
      </w:r>
    </w:p>
    <w:p w14:paraId="590299C7" w14:textId="77777777" w:rsidR="0084406A" w:rsidRDefault="002B18AF">
      <w:pPr>
        <w:spacing w:before="180"/>
        <w:jc w:val="both"/>
      </w:pPr>
      <w:r>
        <w:rPr>
          <w:rFonts w:ascii="Arial" w:eastAsia="宋体" w:hAnsi="Arial" w:cs="Arial"/>
          <w:color w:val="000000"/>
          <w:sz w:val="20"/>
          <w:szCs w:val="20"/>
        </w:rPr>
        <w:t>Our diverse and inclusive workforce encourages employees to share their opinions and different perspectives. We believe that building a dive</w:t>
      </w:r>
      <w:r>
        <w:rPr>
          <w:rFonts w:ascii="Arial" w:eastAsia="宋体" w:hAnsi="Arial" w:cs="Arial"/>
          <w:color w:val="000000"/>
          <w:sz w:val="20"/>
          <w:szCs w:val="20"/>
        </w:rPr>
        <w:t>rse talent pipeline, encouraging a culture of respect and belonging, and increasing inclusion of unique and underrepresented voices makes AMD stronger. Our Employee Resource Groups encourage employee engagement and play an important role in our culture. In</w:t>
      </w:r>
      <w:r>
        <w:rPr>
          <w:rFonts w:ascii="Arial" w:eastAsia="宋体" w:hAnsi="Arial" w:cs="Arial"/>
          <w:color w:val="000000"/>
          <w:sz w:val="20"/>
          <w:szCs w:val="20"/>
        </w:rPr>
        <w:t xml:space="preserve"> 2021, we were recognized for the fifth consecutive year by the Human Rights Campaign Foundation as a Best Place to Work for LGBTQ+ equality and were included in Bloomberg’s Gender Equality Index for the third consecutive year.</w:t>
      </w:r>
    </w:p>
    <w:p w14:paraId="590299C8" w14:textId="77777777" w:rsidR="0084406A" w:rsidRDefault="002B18AF">
      <w:pPr>
        <w:spacing w:before="180"/>
        <w:jc w:val="both"/>
      </w:pPr>
      <w:r>
        <w:rPr>
          <w:rFonts w:ascii="Arial" w:eastAsia="宋体" w:hAnsi="Arial" w:cs="Arial"/>
          <w:color w:val="000000"/>
          <w:sz w:val="20"/>
          <w:szCs w:val="20"/>
        </w:rPr>
        <w:t>We are focused on hiring and</w:t>
      </w:r>
      <w:r>
        <w:rPr>
          <w:rFonts w:ascii="Arial" w:eastAsia="宋体" w:hAnsi="Arial" w:cs="Arial"/>
          <w:color w:val="000000"/>
          <w:sz w:val="20"/>
          <w:szCs w:val="20"/>
        </w:rPr>
        <w:t xml:space="preserve"> developing underrepresented groups and women leaders. We are proud to be led by a highly regarded CEO who has won many esteemed awards for her business and leadership prowess. In 2021, Dr. Lisa Su received the “Woman Innovation Award” from the Global Semi</w:t>
      </w:r>
      <w:r>
        <w:rPr>
          <w:rFonts w:ascii="Arial" w:eastAsia="宋体" w:hAnsi="Arial" w:cs="Arial"/>
          <w:color w:val="000000"/>
          <w:sz w:val="20"/>
          <w:szCs w:val="20"/>
        </w:rPr>
        <w:t>conductor Alliance and she was listed among Barron’s World’s Best CEOs and Forbes’ World’s Most Powerful Women for her strategic vision and successful company turn around. In addition, Dr. Su was appointed by President Biden to the President’s Council of A</w:t>
      </w:r>
      <w:r>
        <w:rPr>
          <w:rFonts w:ascii="Arial" w:eastAsia="宋体" w:hAnsi="Arial" w:cs="Arial"/>
          <w:color w:val="000000"/>
          <w:sz w:val="20"/>
          <w:szCs w:val="20"/>
        </w:rPr>
        <w:t>dvisors on Science and Technology.</w:t>
      </w:r>
    </w:p>
    <w:p w14:paraId="590299C9" w14:textId="77777777" w:rsidR="0084406A" w:rsidRDefault="002B18AF">
      <w:pPr>
        <w:spacing w:before="180"/>
        <w:jc w:val="both"/>
      </w:pPr>
      <w:r>
        <w:rPr>
          <w:rFonts w:ascii="Arial" w:eastAsia="宋体" w:hAnsi="Arial" w:cs="Arial"/>
          <w:b/>
          <w:bCs/>
          <w:i/>
          <w:iCs/>
          <w:color w:val="000000"/>
          <w:sz w:val="20"/>
          <w:szCs w:val="20"/>
        </w:rPr>
        <w:t>Total Rewards</w:t>
      </w:r>
    </w:p>
    <w:p w14:paraId="590299CA" w14:textId="77777777" w:rsidR="0084406A" w:rsidRDefault="002B18AF">
      <w:pPr>
        <w:spacing w:before="180"/>
        <w:jc w:val="both"/>
      </w:pPr>
      <w:r>
        <w:rPr>
          <w:rFonts w:ascii="Arial" w:eastAsia="宋体" w:hAnsi="Arial" w:cs="Arial"/>
          <w:color w:val="000000"/>
          <w:sz w:val="20"/>
          <w:szCs w:val="20"/>
        </w:rPr>
        <w:t xml:space="preserve">We invest in our workforce by offering competitive salaries, incentives, and benefits to ensure that we continue to attract and retain the industry’s best and brightest. Our rewards are guided by employees’ </w:t>
      </w:r>
      <w:r>
        <w:rPr>
          <w:rFonts w:ascii="Arial" w:eastAsia="宋体" w:hAnsi="Arial" w:cs="Arial"/>
          <w:color w:val="000000"/>
          <w:sz w:val="20"/>
          <w:szCs w:val="20"/>
        </w:rPr>
        <w:t>preferences and the market for talent. Based on this, we grew headcount by over 20% in 2021 to support the substantial growth in the business. We have a strong pay for performance culture that we believe drives superior results. Our employees have benefite</w:t>
      </w:r>
      <w:r>
        <w:rPr>
          <w:rFonts w:ascii="Arial" w:eastAsia="宋体" w:hAnsi="Arial" w:cs="Arial"/>
          <w:color w:val="000000"/>
          <w:sz w:val="20"/>
          <w:szCs w:val="20"/>
        </w:rPr>
        <w:t xml:space="preserve">d from our robust financial results with very strong short-term and long-term incentives. Cash bonuses have exceeded target levels. Stock awards, which drive an ownership mentality among employees, create considerable income for our employees. </w:t>
      </w:r>
    </w:p>
    <w:p w14:paraId="590299CB" w14:textId="77777777" w:rsidR="0084406A" w:rsidRDefault="002B18AF">
      <w:pPr>
        <w:spacing w:before="180"/>
        <w:jc w:val="both"/>
      </w:pPr>
      <w:r>
        <w:rPr>
          <w:rFonts w:ascii="Arial" w:eastAsia="宋体" w:hAnsi="Arial" w:cs="Arial"/>
          <w:b/>
          <w:bCs/>
          <w:i/>
          <w:iCs/>
          <w:color w:val="000000"/>
          <w:sz w:val="20"/>
          <w:szCs w:val="20"/>
        </w:rPr>
        <w:t>Development</w:t>
      </w:r>
      <w:r>
        <w:rPr>
          <w:rFonts w:ascii="Arial" w:eastAsia="宋体" w:hAnsi="Arial" w:cs="Arial"/>
          <w:color w:val="000000"/>
          <w:sz w:val="20"/>
          <w:szCs w:val="20"/>
        </w:rPr>
        <w:t xml:space="preserve"> </w:t>
      </w:r>
    </w:p>
    <w:p w14:paraId="590299CC" w14:textId="77777777" w:rsidR="0084406A" w:rsidRDefault="002B18AF">
      <w:pPr>
        <w:spacing w:before="180"/>
        <w:jc w:val="both"/>
      </w:pPr>
      <w:r>
        <w:rPr>
          <w:rFonts w:ascii="Arial" w:eastAsia="宋体" w:hAnsi="Arial" w:cs="Arial"/>
          <w:color w:val="000000"/>
          <w:sz w:val="20"/>
          <w:szCs w:val="20"/>
        </w:rPr>
        <w:t>We offer our employees opportunities to advance their careers at AMD. We are focused on leadership progression and encourage our employees to take advantage of new opportunities. Our manager and leadership development programs are highly rated and we pro</w:t>
      </w:r>
      <w:r>
        <w:rPr>
          <w:rFonts w:ascii="Arial" w:eastAsia="宋体" w:hAnsi="Arial" w:cs="Arial"/>
          <w:color w:val="000000"/>
          <w:sz w:val="20"/>
          <w:szCs w:val="20"/>
        </w:rPr>
        <w:t>vide specialized development programs for our employees.</w:t>
      </w:r>
    </w:p>
    <w:p w14:paraId="590299CD" w14:textId="77777777" w:rsidR="0084406A" w:rsidRDefault="002B18AF">
      <w:pPr>
        <w:spacing w:before="180"/>
        <w:jc w:val="both"/>
      </w:pPr>
      <w:r>
        <w:rPr>
          <w:rFonts w:ascii="Arial" w:eastAsia="宋体" w:hAnsi="Arial" w:cs="Arial"/>
          <w:b/>
          <w:bCs/>
          <w:color w:val="000000"/>
          <w:sz w:val="20"/>
          <w:szCs w:val="20"/>
        </w:rPr>
        <w:t xml:space="preserve">Environmental Regulations </w:t>
      </w:r>
    </w:p>
    <w:p w14:paraId="590299CE" w14:textId="77777777" w:rsidR="0084406A" w:rsidRDefault="002B18AF">
      <w:pPr>
        <w:jc w:val="center"/>
      </w:pPr>
      <w:r>
        <w:rPr>
          <w:rFonts w:ascii="Arial" w:eastAsia="宋体" w:hAnsi="Arial" w:cs="Arial"/>
          <w:color w:val="000000"/>
          <w:sz w:val="20"/>
          <w:szCs w:val="20"/>
        </w:rPr>
        <w:t>11</w:t>
      </w:r>
    </w:p>
    <w:p w14:paraId="590299CF" w14:textId="77777777" w:rsidR="0084406A" w:rsidRDefault="002B18AF">
      <w:r>
        <w:pict w14:anchorId="5902BAFF">
          <v:rect id="_x0000_i1038" style="width:415.3pt;height:1.5pt" o:hralign="center" o:hrstd="t" o:hr="t" fillcolor="#a0a0a0" stroked="f"/>
        </w:pict>
      </w:r>
    </w:p>
    <w:p w14:paraId="590299D0" w14:textId="77777777" w:rsidR="0084406A" w:rsidRDefault="0084406A"/>
    <w:p w14:paraId="590299D1" w14:textId="77777777" w:rsidR="0084406A" w:rsidRDefault="002B18AF">
      <w:pPr>
        <w:spacing w:before="180"/>
        <w:jc w:val="both"/>
      </w:pPr>
      <w:r>
        <w:rPr>
          <w:rFonts w:ascii="Arial" w:eastAsia="宋体" w:hAnsi="Arial" w:cs="Arial"/>
          <w:color w:val="000000"/>
          <w:sz w:val="20"/>
          <w:szCs w:val="20"/>
        </w:rPr>
        <w:t xml:space="preserve">Our operations and properties have in the past been and continue to be subject to various United States and foreign laws and regulations, including those relating to </w:t>
      </w:r>
      <w:r>
        <w:rPr>
          <w:rFonts w:ascii="Arial" w:eastAsia="宋体" w:hAnsi="Arial" w:cs="Arial"/>
          <w:color w:val="000000"/>
          <w:sz w:val="20"/>
          <w:szCs w:val="20"/>
        </w:rPr>
        <w:t xml:space="preserve">materials used in our products and manufacturing processes, discharge of pollutants into the environment, the treatment, transport, storage and disposal of solid and hazardous wastes and remediation of contamination. These laws and regulations require our </w:t>
      </w:r>
      <w:r>
        <w:rPr>
          <w:rFonts w:ascii="Arial" w:eastAsia="宋体" w:hAnsi="Arial" w:cs="Arial"/>
          <w:color w:val="000000"/>
          <w:sz w:val="20"/>
          <w:szCs w:val="20"/>
        </w:rPr>
        <w:t>suppliers to obtain permits for operations making our products, including the discharge of air pollutants and wastewater. Although our management systems are designed to oversee our suppliers’ compliance, we cannot assure you that our suppliers have been o</w:t>
      </w:r>
      <w:r>
        <w:rPr>
          <w:rFonts w:ascii="Arial" w:eastAsia="宋体" w:hAnsi="Arial" w:cs="Arial"/>
          <w:color w:val="000000"/>
          <w:sz w:val="20"/>
          <w:szCs w:val="20"/>
        </w:rPr>
        <w:t>r will be at all times in complete compliance with such laws, regulations and permits. If our suppliers violate or fail to comply with any of them, a range of consequences could result, including fines, suspension of production, alteration of manufacturing</w:t>
      </w:r>
      <w:r>
        <w:rPr>
          <w:rFonts w:ascii="Arial" w:eastAsia="宋体" w:hAnsi="Arial" w:cs="Arial"/>
          <w:color w:val="000000"/>
          <w:sz w:val="20"/>
          <w:szCs w:val="20"/>
        </w:rPr>
        <w:t xml:space="preserve"> processes, import/export restrictions, sales limitations, criminal and civil liabilities or other sanctions. We could also be held liable for any and all consequences arising out of exposure to hazardous materials used, stored, released, disposed of by us</w:t>
      </w:r>
      <w:r>
        <w:rPr>
          <w:rFonts w:ascii="Arial" w:eastAsia="宋体" w:hAnsi="Arial" w:cs="Arial"/>
          <w:color w:val="000000"/>
          <w:sz w:val="20"/>
          <w:szCs w:val="20"/>
        </w:rPr>
        <w:t xml:space="preserve"> or located at, under or emanating from our facilities or other environmental or natural resource damage. While we have budgeted for foreseeable associated expenditures, we cannot assure you that future environmental legal requirements will not become more</w:t>
      </w:r>
      <w:r>
        <w:rPr>
          <w:rFonts w:ascii="Arial" w:eastAsia="宋体" w:hAnsi="Arial" w:cs="Arial"/>
          <w:color w:val="000000"/>
          <w:sz w:val="20"/>
          <w:szCs w:val="20"/>
        </w:rPr>
        <w:t xml:space="preserve"> stringent or costly in the future. Therefore, we cannot assure you that our costs of complying with current and future environmental and health and safety laws, and our liabilities arising from past and future releases of, or exposure to, hazardous substa</w:t>
      </w:r>
      <w:r>
        <w:rPr>
          <w:rFonts w:ascii="Arial" w:eastAsia="宋体" w:hAnsi="Arial" w:cs="Arial"/>
          <w:color w:val="000000"/>
          <w:sz w:val="20"/>
          <w:szCs w:val="20"/>
        </w:rPr>
        <w:t>nces will not have a material adverse effect on us.</w:t>
      </w:r>
    </w:p>
    <w:p w14:paraId="590299D2" w14:textId="77777777" w:rsidR="0084406A" w:rsidRDefault="002B18AF">
      <w:pPr>
        <w:spacing w:before="18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number of jurisdictions that ha</w:t>
      </w:r>
      <w:r>
        <w:rPr>
          <w:rFonts w:ascii="Arial" w:eastAsia="宋体" w:hAnsi="Arial" w:cs="Arial"/>
          <w:color w:val="000000"/>
          <w:sz w:val="20"/>
          <w:szCs w:val="20"/>
        </w:rPr>
        <w:t>ve enacted restrictions on the use of lead and other materials in electronic products. These regulations affect semiconductor devices and packaging. As regulations restricting materials in electronic products continue to increase around the world, there is</w:t>
      </w:r>
      <w:r>
        <w:rPr>
          <w:rFonts w:ascii="Arial" w:eastAsia="宋体" w:hAnsi="Arial" w:cs="Arial"/>
          <w:color w:val="000000"/>
          <w:sz w:val="20"/>
          <w:szCs w:val="20"/>
        </w:rPr>
        <w:t xml:space="preserve"> a risk that the cost, quality and manufacturing yields of products that are subject to these restrictions may be less favorable compared to products that are not subject to such restrictions, or that the transition to compliant products may not meet custo</w:t>
      </w:r>
      <w:r>
        <w:rPr>
          <w:rFonts w:ascii="Arial" w:eastAsia="宋体" w:hAnsi="Arial" w:cs="Arial"/>
          <w:color w:val="000000"/>
          <w:sz w:val="20"/>
          <w:szCs w:val="20"/>
        </w:rPr>
        <w:t>mer roadmaps or produce sudden changes in demand, which may result in excess inventory. A number of jurisdictions including the EU, Australia, California and China are developing or have finalized market entry or public procurement regulations for computer</w:t>
      </w:r>
      <w:r>
        <w:rPr>
          <w:rFonts w:ascii="Arial" w:eastAsia="宋体" w:hAnsi="Arial" w:cs="Arial"/>
          <w:color w:val="000000"/>
          <w:sz w:val="20"/>
          <w:szCs w:val="20"/>
        </w:rPr>
        <w:t>s and servers based on ENERGY STAR specifications as well as additional energy consumption limits. There is the potential for certain of our products being excluded from some of these markets which could materially adversely affect us.</w:t>
      </w:r>
    </w:p>
    <w:p w14:paraId="590299D3" w14:textId="77777777" w:rsidR="0084406A" w:rsidRDefault="002B18AF">
      <w:pPr>
        <w:spacing w:before="180"/>
        <w:jc w:val="both"/>
      </w:pPr>
      <w:r>
        <w:rPr>
          <w:rFonts w:ascii="Arial" w:eastAsia="宋体" w:hAnsi="Arial" w:cs="Arial"/>
          <w:color w:val="000000"/>
          <w:sz w:val="20"/>
          <w:szCs w:val="20"/>
        </w:rPr>
        <w:t>Certain environmenta</w:t>
      </w:r>
      <w:r>
        <w:rPr>
          <w:rFonts w:ascii="Arial" w:eastAsia="宋体" w:hAnsi="Arial" w:cs="Arial"/>
          <w:color w:val="000000"/>
          <w:sz w:val="20"/>
          <w:szCs w:val="20"/>
        </w:rPr>
        <w:t>l laws, including the U.S. Comprehensive, Environmental Response, Compensation and Liability Act of 1980, or the Superfund Act, impose strict or, under certain circumstances, joint and several liability on current and previous owners or operators of real p</w:t>
      </w:r>
      <w:r>
        <w:rPr>
          <w:rFonts w:ascii="Arial" w:eastAsia="宋体" w:hAnsi="Arial" w:cs="Arial"/>
          <w:color w:val="000000"/>
          <w:sz w:val="20"/>
          <w:szCs w:val="20"/>
        </w:rPr>
        <w:t>roperty for the cost of removal or remediation of hazardous substances and impose liability for damages to natural resources. These laws often impose liability even if the owner or operator did not know of, or was not responsible for, the release of such h</w:t>
      </w:r>
      <w:r>
        <w:rPr>
          <w:rFonts w:ascii="Arial" w:eastAsia="宋体" w:hAnsi="Arial" w:cs="Arial"/>
          <w:color w:val="000000"/>
          <w:sz w:val="20"/>
          <w:szCs w:val="20"/>
        </w:rPr>
        <w:t>azardous substances. These environmental laws also assess liability on persons who arrange for hazardous substances to be sent to disposal or treatment facilities when such facilities are found to be contaminated. Such persons can be responsible for cleanu</w:t>
      </w:r>
      <w:r>
        <w:rPr>
          <w:rFonts w:ascii="Arial" w:eastAsia="宋体" w:hAnsi="Arial" w:cs="Arial"/>
          <w:color w:val="000000"/>
          <w:sz w:val="20"/>
          <w:szCs w:val="20"/>
        </w:rPr>
        <w:t>p costs even if they never owned or operated the contaminated facility. We are named as a responsible party on Superfund clean-up orders for three sites in Sunnyvale, California that are on the National Priorities List. Since 1981, we have discovered hazar</w:t>
      </w:r>
      <w:r>
        <w:rPr>
          <w:rFonts w:ascii="Arial" w:eastAsia="宋体" w:hAnsi="Arial" w:cs="Arial"/>
          <w:color w:val="000000"/>
          <w:sz w:val="20"/>
          <w:szCs w:val="20"/>
        </w:rPr>
        <w:t>dous material releases to the groundwater from former underground tanks and proceeded to investigate and conduct remediation at these three sites. The chemicals released into the groundwater were commonly used in the semiconductor industry in the United St</w:t>
      </w:r>
      <w:r>
        <w:rPr>
          <w:rFonts w:ascii="Arial" w:eastAsia="宋体" w:hAnsi="Arial" w:cs="Arial"/>
          <w:color w:val="000000"/>
          <w:sz w:val="20"/>
          <w:szCs w:val="20"/>
        </w:rPr>
        <w:t>ates in the wafer fabrication process prior to 1979.</w:t>
      </w:r>
    </w:p>
    <w:p w14:paraId="590299D4" w14:textId="77777777" w:rsidR="0084406A" w:rsidRDefault="002B18AF">
      <w:pPr>
        <w:jc w:val="center"/>
      </w:pPr>
      <w:r>
        <w:rPr>
          <w:rFonts w:ascii="Arial" w:eastAsia="宋体" w:hAnsi="Arial" w:cs="Arial"/>
          <w:color w:val="000000"/>
          <w:sz w:val="20"/>
          <w:szCs w:val="20"/>
        </w:rPr>
        <w:t>12</w:t>
      </w:r>
    </w:p>
    <w:p w14:paraId="590299D5" w14:textId="77777777" w:rsidR="0084406A" w:rsidRDefault="002B18AF">
      <w:r>
        <w:pict w14:anchorId="5902BB00">
          <v:rect id="_x0000_i1039" style="width:415.3pt;height:1.5pt" o:hralign="center" o:hrstd="t" o:hr="t" fillcolor="#a0a0a0" stroked="f"/>
        </w:pict>
      </w:r>
    </w:p>
    <w:p w14:paraId="590299D6" w14:textId="77777777" w:rsidR="0084406A" w:rsidRDefault="0084406A"/>
    <w:p w14:paraId="590299D7" w14:textId="77777777" w:rsidR="0084406A" w:rsidRDefault="002B18AF">
      <w:pPr>
        <w:spacing w:before="180"/>
      </w:pPr>
      <w:r>
        <w:rPr>
          <w:rFonts w:ascii="Arial" w:eastAsia="宋体" w:hAnsi="Arial" w:cs="Arial"/>
          <w:b/>
          <w:bCs/>
          <w:color w:val="000000"/>
          <w:sz w:val="20"/>
          <w:szCs w:val="20"/>
        </w:rPr>
        <w:t>ITEM 1A. RISK FACTORS</w:t>
      </w:r>
    </w:p>
    <w:p w14:paraId="590299D8" w14:textId="77777777" w:rsidR="0084406A" w:rsidRDefault="002B18AF">
      <w:pPr>
        <w:spacing w:before="180"/>
        <w:jc w:val="both"/>
      </w:pPr>
      <w:r>
        <w:rPr>
          <w:rFonts w:ascii="Arial" w:eastAsia="宋体" w:hAnsi="Arial" w:cs="Arial"/>
          <w:i/>
          <w:iCs/>
          <w:color w:val="000000"/>
          <w:sz w:val="20"/>
          <w:szCs w:val="20"/>
        </w:rPr>
        <w:t>The risks and uncertainties described below are not the only ones we face. If any of the following risks actually occurs, our business, financial condition or results of opera</w:t>
      </w:r>
      <w:r>
        <w:rPr>
          <w:rFonts w:ascii="Arial" w:eastAsia="宋体" w:hAnsi="Arial" w:cs="Arial"/>
          <w:i/>
          <w:iCs/>
          <w:color w:val="000000"/>
          <w:sz w:val="20"/>
          <w:szCs w:val="20"/>
        </w:rPr>
        <w:t>tions could be materially adversely affected. In addition, you should consider the interrelationship and compounding effects of two or more risks occurring simultaneously.</w:t>
      </w:r>
    </w:p>
    <w:p w14:paraId="590299D9" w14:textId="77777777" w:rsidR="0084406A" w:rsidRDefault="002B18AF">
      <w:pPr>
        <w:spacing w:before="180"/>
      </w:pPr>
      <w:r>
        <w:rPr>
          <w:rFonts w:ascii="Arial" w:eastAsia="宋体" w:hAnsi="Arial" w:cs="Arial"/>
          <w:b/>
          <w:bCs/>
          <w:color w:val="000000"/>
          <w:sz w:val="20"/>
          <w:szCs w:val="20"/>
        </w:rPr>
        <w:t xml:space="preserve">Risk Factors Summary </w:t>
      </w:r>
    </w:p>
    <w:p w14:paraId="590299DA" w14:textId="77777777" w:rsidR="0084406A" w:rsidRDefault="002B18AF">
      <w:pPr>
        <w:spacing w:before="180"/>
      </w:pPr>
      <w:r>
        <w:rPr>
          <w:rFonts w:ascii="Arial" w:eastAsia="宋体" w:hAnsi="Arial" w:cs="Arial"/>
          <w:color w:val="000000"/>
          <w:sz w:val="20"/>
          <w:szCs w:val="20"/>
        </w:rPr>
        <w:t>The following is a summary of the principal risks that could a</w:t>
      </w:r>
      <w:r>
        <w:rPr>
          <w:rFonts w:ascii="Arial" w:eastAsia="宋体" w:hAnsi="Arial" w:cs="Arial"/>
          <w:color w:val="000000"/>
          <w:sz w:val="20"/>
          <w:szCs w:val="20"/>
        </w:rPr>
        <w:t>dversely affect our business, operations and financial results.</w:t>
      </w:r>
    </w:p>
    <w:p w14:paraId="590299DB" w14:textId="77777777" w:rsidR="0084406A" w:rsidRDefault="002B18AF">
      <w:pPr>
        <w:spacing w:before="180"/>
        <w:ind w:firstLine="360"/>
      </w:pPr>
      <w:r>
        <w:rPr>
          <w:rFonts w:ascii="Arial" w:eastAsia="宋体" w:hAnsi="Arial" w:cs="Arial"/>
          <w:b/>
          <w:bCs/>
          <w:color w:val="000000"/>
          <w:sz w:val="20"/>
          <w:szCs w:val="20"/>
        </w:rPr>
        <w:t>Economic and Strategic Risks</w:t>
      </w:r>
    </w:p>
    <w:p w14:paraId="590299DC" w14:textId="77777777" w:rsidR="0084406A" w:rsidRDefault="002B18AF">
      <w:pPr>
        <w:spacing w:before="180"/>
        <w:ind w:hanging="360"/>
        <w:jc w:val="both"/>
      </w:pPr>
      <w:r>
        <w:rPr>
          <w:rFonts w:ascii="Arial" w:eastAsia="宋体" w:hAnsi="Arial" w:cs="Arial"/>
          <w:color w:val="000000"/>
          <w:sz w:val="20"/>
          <w:szCs w:val="20"/>
        </w:rPr>
        <w:t>•Intel Corporation’s dominance of the microprocessor market and its aggressive business practices may limit our ability to compete effectively on a level playing f</w:t>
      </w:r>
      <w:r>
        <w:rPr>
          <w:rFonts w:ascii="Arial" w:eastAsia="宋体" w:hAnsi="Arial" w:cs="Arial"/>
          <w:color w:val="000000"/>
          <w:sz w:val="20"/>
          <w:szCs w:val="20"/>
        </w:rPr>
        <w:t>ield.</w:t>
      </w:r>
    </w:p>
    <w:p w14:paraId="590299DD" w14:textId="77777777" w:rsidR="0084406A" w:rsidRDefault="002B18AF">
      <w:pPr>
        <w:ind w:hanging="360"/>
        <w:jc w:val="both"/>
      </w:pPr>
      <w:r>
        <w:rPr>
          <w:rFonts w:ascii="Arial" w:eastAsia="宋体" w:hAnsi="Arial" w:cs="Arial"/>
          <w:color w:val="000000"/>
          <w:sz w:val="20"/>
          <w:szCs w:val="20"/>
        </w:rPr>
        <w:t>•Global economic and market uncertainty may adversely impact our business and operating results.</w:t>
      </w:r>
    </w:p>
    <w:p w14:paraId="590299DE" w14:textId="77777777" w:rsidR="0084406A" w:rsidRDefault="002B18AF">
      <w:pPr>
        <w:ind w:hanging="360"/>
        <w:jc w:val="both"/>
      </w:pPr>
      <w:r>
        <w:rPr>
          <w:rFonts w:ascii="Arial" w:eastAsia="宋体" w:hAnsi="Arial" w:cs="Arial"/>
          <w:color w:val="000000"/>
          <w:sz w:val="20"/>
          <w:szCs w:val="20"/>
        </w:rPr>
        <w:t>•The loss of a significant customer may have a material adverse effect on us.</w:t>
      </w:r>
    </w:p>
    <w:p w14:paraId="590299DF" w14:textId="77777777" w:rsidR="0084406A" w:rsidRDefault="002B18AF">
      <w:pPr>
        <w:ind w:hanging="360"/>
        <w:jc w:val="both"/>
      </w:pPr>
      <w:r>
        <w:rPr>
          <w:rFonts w:ascii="Arial" w:eastAsia="宋体" w:hAnsi="Arial" w:cs="Arial"/>
          <w:color w:val="000000"/>
          <w:sz w:val="20"/>
          <w:szCs w:val="20"/>
        </w:rPr>
        <w:t xml:space="preserve">•The ongoing novel coronavirus (COVID-19) pandemic could </w:t>
      </w:r>
      <w:r>
        <w:rPr>
          <w:rFonts w:ascii="Arial" w:eastAsia="宋体" w:hAnsi="Arial" w:cs="Arial"/>
          <w:color w:val="000000"/>
          <w:sz w:val="20"/>
          <w:szCs w:val="20"/>
        </w:rPr>
        <w:t>materially adversely affect our business, financial condition and results of operations.</w:t>
      </w:r>
    </w:p>
    <w:p w14:paraId="590299E0" w14:textId="77777777" w:rsidR="0084406A" w:rsidRDefault="002B18AF">
      <w:pPr>
        <w:ind w:hanging="360"/>
        <w:jc w:val="both"/>
      </w:pPr>
      <w:r>
        <w:rPr>
          <w:rFonts w:ascii="Arial" w:eastAsia="宋体" w:hAnsi="Arial" w:cs="Arial"/>
          <w:color w:val="000000"/>
          <w:sz w:val="20"/>
          <w:szCs w:val="20"/>
        </w:rPr>
        <w:t>•The markets in which our products are sold are highly competitive.</w:t>
      </w:r>
    </w:p>
    <w:p w14:paraId="590299E1" w14:textId="77777777" w:rsidR="0084406A" w:rsidRDefault="002B18AF">
      <w:pPr>
        <w:ind w:hanging="360"/>
        <w:jc w:val="both"/>
      </w:pPr>
      <w:r>
        <w:rPr>
          <w:rFonts w:ascii="Arial" w:eastAsia="宋体" w:hAnsi="Arial" w:cs="Arial"/>
          <w:color w:val="000000"/>
          <w:sz w:val="20"/>
          <w:szCs w:val="20"/>
        </w:rPr>
        <w:t xml:space="preserve">•The demand for our products depends in part on the market conditions in the industries into which </w:t>
      </w:r>
      <w:r>
        <w:rPr>
          <w:rFonts w:ascii="Arial" w:eastAsia="宋体" w:hAnsi="Arial" w:cs="Arial"/>
          <w:color w:val="000000"/>
          <w:sz w:val="20"/>
          <w:szCs w:val="20"/>
        </w:rPr>
        <w:t>they are sold. Fluctuations in demand for our products or a market decline in any of these industries could have a material adverse effect on our results of operations.</w:t>
      </w:r>
    </w:p>
    <w:p w14:paraId="590299E2" w14:textId="77777777" w:rsidR="0084406A" w:rsidRDefault="002B18AF">
      <w:pPr>
        <w:ind w:hanging="360"/>
        <w:jc w:val="both"/>
      </w:pPr>
      <w:r>
        <w:rPr>
          <w:rFonts w:ascii="Arial" w:eastAsia="宋体" w:hAnsi="Arial" w:cs="Arial"/>
          <w:color w:val="000000"/>
          <w:sz w:val="20"/>
          <w:szCs w:val="20"/>
        </w:rPr>
        <w:t>•The semiconductor industry is highly cyclical and has experienced severe downturns tha</w:t>
      </w:r>
      <w:r>
        <w:rPr>
          <w:rFonts w:ascii="Arial" w:eastAsia="宋体" w:hAnsi="Arial" w:cs="Arial"/>
          <w:color w:val="000000"/>
          <w:sz w:val="20"/>
          <w:szCs w:val="20"/>
        </w:rPr>
        <w:t>t have materially adversely affected, and may continue to materially adversely affect, our business in the future.</w:t>
      </w:r>
    </w:p>
    <w:p w14:paraId="590299E3" w14:textId="77777777" w:rsidR="0084406A" w:rsidRDefault="002B18AF">
      <w:pPr>
        <w:ind w:hanging="360"/>
        <w:jc w:val="both"/>
      </w:pPr>
      <w:r>
        <w:rPr>
          <w:rFonts w:ascii="Arial" w:eastAsia="宋体" w:hAnsi="Arial" w:cs="Arial"/>
          <w:color w:val="000000"/>
          <w:sz w:val="20"/>
          <w:szCs w:val="20"/>
        </w:rPr>
        <w:t>•Our operating results are subject to quarterly and seasonal sales patterns.</w:t>
      </w:r>
    </w:p>
    <w:p w14:paraId="590299E4" w14:textId="77777777" w:rsidR="0084406A" w:rsidRDefault="002B18AF">
      <w:pPr>
        <w:ind w:hanging="360"/>
        <w:jc w:val="both"/>
      </w:pPr>
      <w:r>
        <w:rPr>
          <w:rFonts w:ascii="Arial" w:eastAsia="宋体" w:hAnsi="Arial" w:cs="Arial"/>
          <w:color w:val="000000"/>
          <w:sz w:val="20"/>
          <w:szCs w:val="20"/>
        </w:rPr>
        <w:t>•If we cannot adequately protect our technology or other intelle</w:t>
      </w:r>
      <w:r>
        <w:rPr>
          <w:rFonts w:ascii="Arial" w:eastAsia="宋体" w:hAnsi="Arial" w:cs="Arial"/>
          <w:color w:val="000000"/>
          <w:sz w:val="20"/>
          <w:szCs w:val="20"/>
        </w:rPr>
        <w:t>ctual property in the United States and abroad, through patents, copyrights, trade secrets, trademarks and other measures, we may lose a competitive advantage and incur significant expenses.</w:t>
      </w:r>
    </w:p>
    <w:p w14:paraId="590299E5" w14:textId="77777777" w:rsidR="0084406A" w:rsidRDefault="002B18AF">
      <w:pPr>
        <w:ind w:hanging="360"/>
        <w:jc w:val="both"/>
      </w:pPr>
      <w:r>
        <w:rPr>
          <w:rFonts w:ascii="Arial" w:eastAsia="宋体" w:hAnsi="Arial" w:cs="Arial"/>
          <w:color w:val="000000"/>
          <w:sz w:val="20"/>
          <w:szCs w:val="20"/>
        </w:rPr>
        <w:t xml:space="preserve">•Unfavorable currency exchange rate fluctuations could adversely </w:t>
      </w:r>
      <w:r>
        <w:rPr>
          <w:rFonts w:ascii="Arial" w:eastAsia="宋体" w:hAnsi="Arial" w:cs="Arial"/>
          <w:color w:val="000000"/>
          <w:sz w:val="20"/>
          <w:szCs w:val="20"/>
        </w:rPr>
        <w:t>affect us.</w:t>
      </w:r>
    </w:p>
    <w:p w14:paraId="590299E6" w14:textId="77777777" w:rsidR="0084406A" w:rsidRDefault="002B18AF">
      <w:pPr>
        <w:spacing w:before="180"/>
        <w:ind w:firstLine="360"/>
        <w:jc w:val="both"/>
      </w:pPr>
      <w:r>
        <w:rPr>
          <w:rFonts w:ascii="Arial" w:eastAsia="宋体" w:hAnsi="Arial" w:cs="Arial"/>
          <w:b/>
          <w:bCs/>
          <w:color w:val="000000"/>
          <w:sz w:val="20"/>
          <w:szCs w:val="20"/>
        </w:rPr>
        <w:t>Operational and Technology Risks</w:t>
      </w:r>
    </w:p>
    <w:p w14:paraId="590299E7" w14:textId="77777777" w:rsidR="0084406A" w:rsidRDefault="002B18AF">
      <w:pPr>
        <w:spacing w:before="180"/>
        <w:ind w:hanging="360"/>
        <w:jc w:val="both"/>
      </w:pPr>
      <w:r>
        <w:rPr>
          <w:rFonts w:ascii="Arial" w:eastAsia="宋体" w:hAnsi="Arial" w:cs="Arial"/>
          <w:color w:val="000000"/>
          <w:sz w:val="20"/>
          <w:szCs w:val="20"/>
        </w:rPr>
        <w:t>•We rely on third parties to manufacture our products, and if they are unable to do so on a timely basis in sufficient quantities and using competitive technologies, our business could be materially adversely aff</w:t>
      </w:r>
      <w:r>
        <w:rPr>
          <w:rFonts w:ascii="Arial" w:eastAsia="宋体" w:hAnsi="Arial" w:cs="Arial"/>
          <w:color w:val="000000"/>
          <w:sz w:val="20"/>
          <w:szCs w:val="20"/>
        </w:rPr>
        <w:t>ected.</w:t>
      </w:r>
    </w:p>
    <w:p w14:paraId="590299E8" w14:textId="77777777" w:rsidR="0084406A" w:rsidRDefault="002B18AF">
      <w:pPr>
        <w:ind w:hanging="360"/>
        <w:jc w:val="both"/>
      </w:pPr>
      <w:r>
        <w:rPr>
          <w:rFonts w:ascii="Arial" w:eastAsia="宋体" w:hAnsi="Arial" w:cs="Arial"/>
          <w:color w:val="000000"/>
          <w:sz w:val="20"/>
          <w:szCs w:val="20"/>
        </w:rPr>
        <w:t>•If essential equipment, materials, substrates or manufacturing processes are not available to manufacture our products, we could be materially adversely affected.</w:t>
      </w:r>
    </w:p>
    <w:p w14:paraId="590299E9" w14:textId="77777777" w:rsidR="0084406A" w:rsidRDefault="002B18AF">
      <w:pPr>
        <w:ind w:hanging="360"/>
        <w:jc w:val="both"/>
      </w:pPr>
      <w:r>
        <w:rPr>
          <w:rFonts w:ascii="Arial" w:eastAsia="宋体" w:hAnsi="Arial" w:cs="Arial"/>
          <w:color w:val="000000"/>
          <w:sz w:val="20"/>
          <w:szCs w:val="20"/>
        </w:rPr>
        <w:t>•Failure to achieve expected manufacturing yields for our products could negatively i</w:t>
      </w:r>
      <w:r>
        <w:rPr>
          <w:rFonts w:ascii="Arial" w:eastAsia="宋体" w:hAnsi="Arial" w:cs="Arial"/>
          <w:color w:val="000000"/>
          <w:sz w:val="20"/>
          <w:szCs w:val="20"/>
        </w:rPr>
        <w:t>mpact our financial results.</w:t>
      </w:r>
    </w:p>
    <w:p w14:paraId="590299EA" w14:textId="77777777" w:rsidR="0084406A" w:rsidRDefault="002B18AF">
      <w:pPr>
        <w:ind w:hanging="360"/>
        <w:jc w:val="both"/>
      </w:pPr>
      <w:r>
        <w:rPr>
          <w:rFonts w:ascii="Arial" w:eastAsia="宋体" w:hAnsi="Arial" w:cs="Arial"/>
          <w:color w:val="000000"/>
          <w:sz w:val="20"/>
          <w:szCs w:val="20"/>
        </w:rPr>
        <w:t>•The success of our business is dependent upon our ability to introduce products on a timely basis with features and performance levels that provide value to our customers while supporting and coinciding with significant indust</w:t>
      </w:r>
      <w:r>
        <w:rPr>
          <w:rFonts w:ascii="Arial" w:eastAsia="宋体" w:hAnsi="Arial" w:cs="Arial"/>
          <w:color w:val="000000"/>
          <w:sz w:val="20"/>
          <w:szCs w:val="20"/>
        </w:rPr>
        <w:t>ry transitions.</w:t>
      </w:r>
    </w:p>
    <w:p w14:paraId="590299EB" w14:textId="77777777" w:rsidR="0084406A" w:rsidRDefault="002B18AF">
      <w:pPr>
        <w:ind w:hanging="360"/>
        <w:jc w:val="both"/>
      </w:pPr>
      <w:r>
        <w:rPr>
          <w:rFonts w:ascii="Arial" w:eastAsia="宋体" w:hAnsi="Arial" w:cs="Arial"/>
          <w:color w:val="000000"/>
          <w:sz w:val="20"/>
          <w:szCs w:val="20"/>
        </w:rPr>
        <w:t>•Our revenue from our semi-custom SoC products is dependent upon our semi-custom SoC products being incorporated into customers’ products and the success of those products.</w:t>
      </w:r>
    </w:p>
    <w:p w14:paraId="590299EC" w14:textId="77777777" w:rsidR="0084406A" w:rsidRDefault="002B18AF">
      <w:pPr>
        <w:ind w:hanging="360"/>
        <w:jc w:val="both"/>
      </w:pPr>
      <w:r>
        <w:rPr>
          <w:rFonts w:ascii="Arial" w:eastAsia="宋体" w:hAnsi="Arial" w:cs="Arial"/>
          <w:color w:val="000000"/>
          <w:sz w:val="20"/>
          <w:szCs w:val="20"/>
        </w:rPr>
        <w:t xml:space="preserve">•Our products may be subject to security </w:t>
      </w:r>
      <w:r>
        <w:rPr>
          <w:rFonts w:ascii="Arial" w:eastAsia="宋体" w:hAnsi="Arial" w:cs="Arial"/>
          <w:color w:val="000000"/>
          <w:sz w:val="20"/>
          <w:szCs w:val="20"/>
        </w:rPr>
        <w:t>vulnerabilities that could have a material adverse effect on us.</w:t>
      </w:r>
    </w:p>
    <w:p w14:paraId="590299ED" w14:textId="77777777" w:rsidR="0084406A" w:rsidRDefault="002B18AF">
      <w:pPr>
        <w:ind w:hanging="360"/>
        <w:jc w:val="both"/>
      </w:pPr>
      <w:r>
        <w:rPr>
          <w:rFonts w:ascii="Arial" w:eastAsia="宋体" w:hAnsi="Arial" w:cs="Arial"/>
          <w:color w:val="000000"/>
          <w:sz w:val="20"/>
          <w:szCs w:val="20"/>
        </w:rPr>
        <w:t>•IT outages, data loss, data breaches and cyber-attacks could compromise our intellectual property or other sensitive information, be costly to remediate or cause significant damage to our bu</w:t>
      </w:r>
      <w:r>
        <w:rPr>
          <w:rFonts w:ascii="Arial" w:eastAsia="宋体" w:hAnsi="Arial" w:cs="Arial"/>
          <w:color w:val="000000"/>
          <w:sz w:val="20"/>
          <w:szCs w:val="20"/>
        </w:rPr>
        <w:t>siness, reputation and operations.</w:t>
      </w:r>
    </w:p>
    <w:p w14:paraId="590299EE" w14:textId="77777777" w:rsidR="0084406A" w:rsidRDefault="002B18AF">
      <w:pPr>
        <w:ind w:hanging="360"/>
        <w:jc w:val="both"/>
      </w:pPr>
      <w:r>
        <w:rPr>
          <w:rFonts w:ascii="Arial" w:eastAsia="宋体" w:hAnsi="Arial" w:cs="Arial"/>
          <w:color w:val="000000"/>
          <w:sz w:val="20"/>
          <w:szCs w:val="20"/>
        </w:rPr>
        <w:t>•Uncertainties involving the ordering and shipment of our products could materially adversely affect us.</w:t>
      </w:r>
    </w:p>
    <w:p w14:paraId="590299EF" w14:textId="77777777" w:rsidR="0084406A" w:rsidRDefault="002B18AF">
      <w:pPr>
        <w:ind w:hanging="360"/>
        <w:jc w:val="both"/>
      </w:pPr>
      <w:r>
        <w:rPr>
          <w:rFonts w:ascii="Arial" w:eastAsia="宋体" w:hAnsi="Arial" w:cs="Arial"/>
          <w:color w:val="000000"/>
          <w:sz w:val="20"/>
          <w:szCs w:val="20"/>
        </w:rPr>
        <w:t>•Our ability to design and introduce new products in a timely manner is dependent upon third-party intellectual prop</w:t>
      </w:r>
      <w:r>
        <w:rPr>
          <w:rFonts w:ascii="Arial" w:eastAsia="宋体" w:hAnsi="Arial" w:cs="Arial"/>
          <w:color w:val="000000"/>
          <w:sz w:val="20"/>
          <w:szCs w:val="20"/>
        </w:rPr>
        <w:t>erty.</w:t>
      </w:r>
    </w:p>
    <w:p w14:paraId="590299F0" w14:textId="77777777" w:rsidR="0084406A" w:rsidRDefault="002B18AF">
      <w:pPr>
        <w:ind w:hanging="360"/>
        <w:jc w:val="both"/>
      </w:pPr>
      <w:r>
        <w:rPr>
          <w:rFonts w:ascii="Arial" w:eastAsia="宋体" w:hAnsi="Arial" w:cs="Arial"/>
          <w:color w:val="000000"/>
          <w:sz w:val="20"/>
          <w:szCs w:val="20"/>
        </w:rPr>
        <w:t>•We depend on third-party companies for the design, manufacture and supply of motherboards, software, memory and other computer platform components to support our business.</w:t>
      </w:r>
    </w:p>
    <w:p w14:paraId="590299F1" w14:textId="77777777" w:rsidR="0084406A" w:rsidRDefault="002B18AF">
      <w:pPr>
        <w:ind w:hanging="360"/>
        <w:jc w:val="both"/>
      </w:pPr>
      <w:r>
        <w:rPr>
          <w:rFonts w:ascii="Arial" w:eastAsia="宋体" w:hAnsi="Arial" w:cs="Arial"/>
          <w:color w:val="000000"/>
          <w:sz w:val="20"/>
          <w:szCs w:val="20"/>
        </w:rPr>
        <w:t>•If we lose Microsoft Corporation’s support for our products or other softwar</w:t>
      </w:r>
      <w:r>
        <w:rPr>
          <w:rFonts w:ascii="Arial" w:eastAsia="宋体" w:hAnsi="Arial" w:cs="Arial"/>
          <w:color w:val="000000"/>
          <w:sz w:val="20"/>
          <w:szCs w:val="20"/>
        </w:rPr>
        <w:t>e vendors do not design and develop software to run on our products, our ability to sell our products could be materially adversely affected.</w:t>
      </w:r>
    </w:p>
    <w:p w14:paraId="590299F2" w14:textId="77777777" w:rsidR="0084406A" w:rsidRDefault="002B18AF">
      <w:pPr>
        <w:ind w:hanging="360"/>
        <w:jc w:val="both"/>
      </w:pPr>
      <w:r>
        <w:rPr>
          <w:rFonts w:ascii="Arial" w:eastAsia="宋体" w:hAnsi="Arial" w:cs="Arial"/>
          <w:color w:val="000000"/>
          <w:sz w:val="20"/>
          <w:szCs w:val="20"/>
        </w:rPr>
        <w:t>•Our reliance on third-party distributors and add-in-board (AIB) partners subjects us to certain risks.</w:t>
      </w:r>
    </w:p>
    <w:p w14:paraId="590299F3" w14:textId="77777777" w:rsidR="0084406A" w:rsidRDefault="002B18AF">
      <w:pPr>
        <w:jc w:val="center"/>
      </w:pPr>
      <w:r>
        <w:rPr>
          <w:rFonts w:ascii="Arial" w:eastAsia="宋体" w:hAnsi="Arial" w:cs="Arial"/>
          <w:color w:val="000000"/>
          <w:sz w:val="20"/>
          <w:szCs w:val="20"/>
        </w:rPr>
        <w:t>13</w:t>
      </w:r>
    </w:p>
    <w:p w14:paraId="590299F4" w14:textId="77777777" w:rsidR="0084406A" w:rsidRDefault="002B18AF">
      <w:r>
        <w:pict w14:anchorId="5902BB01">
          <v:rect id="_x0000_i1040" style="width:415.3pt;height:1.5pt" o:hralign="center" o:hrstd="t" o:hr="t" fillcolor="#a0a0a0" stroked="f"/>
        </w:pict>
      </w:r>
    </w:p>
    <w:p w14:paraId="590299F5" w14:textId="77777777" w:rsidR="0084406A" w:rsidRDefault="0084406A"/>
    <w:p w14:paraId="590299F6" w14:textId="77777777" w:rsidR="0084406A" w:rsidRDefault="002B18AF">
      <w:pPr>
        <w:ind w:hanging="360"/>
        <w:jc w:val="both"/>
      </w:pPr>
      <w:r>
        <w:rPr>
          <w:rFonts w:ascii="Arial" w:eastAsia="宋体" w:hAnsi="Arial" w:cs="Arial"/>
          <w:color w:val="000000"/>
          <w:sz w:val="20"/>
          <w:szCs w:val="20"/>
        </w:rPr>
        <w:t>•Our business is dependent upon the proper functioning of our internal business processes and information systems and modification or interruption of such systems may disrupt our business, processes and internal controls.</w:t>
      </w:r>
    </w:p>
    <w:p w14:paraId="590299F7" w14:textId="77777777" w:rsidR="0084406A" w:rsidRDefault="002B18AF">
      <w:pPr>
        <w:ind w:hanging="360"/>
        <w:jc w:val="both"/>
      </w:pPr>
      <w:r>
        <w:rPr>
          <w:rFonts w:ascii="Arial" w:eastAsia="宋体" w:hAnsi="Arial" w:cs="Arial"/>
          <w:color w:val="000000"/>
          <w:sz w:val="20"/>
          <w:szCs w:val="20"/>
        </w:rPr>
        <w:t>•If our products are not compatibl</w:t>
      </w:r>
      <w:r>
        <w:rPr>
          <w:rFonts w:ascii="Arial" w:eastAsia="宋体" w:hAnsi="Arial" w:cs="Arial"/>
          <w:color w:val="000000"/>
          <w:sz w:val="20"/>
          <w:szCs w:val="20"/>
        </w:rPr>
        <w:t>e with some or all industry-standard software and hardware, we could be materially adversely affected.</w:t>
      </w:r>
    </w:p>
    <w:p w14:paraId="590299F8" w14:textId="77777777" w:rsidR="0084406A" w:rsidRDefault="002B18AF">
      <w:pPr>
        <w:ind w:hanging="360"/>
        <w:jc w:val="both"/>
      </w:pPr>
      <w:r>
        <w:rPr>
          <w:rFonts w:ascii="Arial" w:eastAsia="宋体" w:hAnsi="Arial" w:cs="Arial"/>
          <w:color w:val="000000"/>
          <w:sz w:val="20"/>
          <w:szCs w:val="20"/>
        </w:rPr>
        <w:t>•Costs related to defective products could have a material adverse effect on us.</w:t>
      </w:r>
    </w:p>
    <w:p w14:paraId="590299F9" w14:textId="77777777" w:rsidR="0084406A" w:rsidRDefault="002B18AF">
      <w:pPr>
        <w:ind w:hanging="360"/>
        <w:jc w:val="both"/>
      </w:pPr>
      <w:r>
        <w:rPr>
          <w:rFonts w:ascii="Arial" w:eastAsia="宋体" w:hAnsi="Arial" w:cs="Arial"/>
          <w:color w:val="000000"/>
          <w:sz w:val="20"/>
          <w:szCs w:val="20"/>
        </w:rPr>
        <w:t>•If we fail to maintain the efficiency of our supply chain as we respond</w:t>
      </w:r>
      <w:r>
        <w:rPr>
          <w:rFonts w:ascii="Arial" w:eastAsia="宋体" w:hAnsi="Arial" w:cs="Arial"/>
          <w:color w:val="000000"/>
          <w:sz w:val="20"/>
          <w:szCs w:val="20"/>
        </w:rPr>
        <w:t xml:space="preserve"> to changes in customer demand for our products, our business could be materially adversely affected.</w:t>
      </w:r>
    </w:p>
    <w:p w14:paraId="590299FA" w14:textId="77777777" w:rsidR="0084406A" w:rsidRDefault="002B18AF">
      <w:pPr>
        <w:ind w:hanging="360"/>
        <w:jc w:val="both"/>
      </w:pPr>
      <w:r>
        <w:rPr>
          <w:rFonts w:ascii="Arial" w:eastAsia="宋体" w:hAnsi="Arial" w:cs="Arial"/>
          <w:color w:val="000000"/>
          <w:sz w:val="20"/>
          <w:szCs w:val="20"/>
        </w:rPr>
        <w:t>•We outsource to third parties certain supply-chain logistics functions, including portions of our product distribution, transportation management and inf</w:t>
      </w:r>
      <w:r>
        <w:rPr>
          <w:rFonts w:ascii="Arial" w:eastAsia="宋体" w:hAnsi="Arial" w:cs="Arial"/>
          <w:color w:val="000000"/>
          <w:sz w:val="20"/>
          <w:szCs w:val="20"/>
        </w:rPr>
        <w:t>ormation technology support services.</w:t>
      </w:r>
    </w:p>
    <w:p w14:paraId="590299FB" w14:textId="77777777" w:rsidR="0084406A" w:rsidRDefault="002B18AF">
      <w:pPr>
        <w:ind w:hanging="360"/>
        <w:jc w:val="both"/>
      </w:pPr>
      <w:r>
        <w:rPr>
          <w:rFonts w:ascii="Arial" w:eastAsia="宋体" w:hAnsi="Arial" w:cs="Arial"/>
          <w:color w:val="000000"/>
          <w:sz w:val="20"/>
          <w:szCs w:val="20"/>
        </w:rPr>
        <w:t>•Our inability to effectively control the sales of our products on the gray market could have a material adverse effect on us.</w:t>
      </w:r>
    </w:p>
    <w:p w14:paraId="590299FC" w14:textId="77777777" w:rsidR="0084406A" w:rsidRDefault="002B18AF">
      <w:pPr>
        <w:spacing w:before="180"/>
        <w:ind w:firstLine="360"/>
        <w:jc w:val="both"/>
      </w:pPr>
      <w:r>
        <w:rPr>
          <w:rFonts w:ascii="Arial" w:eastAsia="宋体" w:hAnsi="Arial" w:cs="Arial"/>
          <w:b/>
          <w:bCs/>
          <w:color w:val="000000"/>
          <w:sz w:val="20"/>
          <w:szCs w:val="20"/>
        </w:rPr>
        <w:t>Legal and Regulatory Risks</w:t>
      </w:r>
    </w:p>
    <w:p w14:paraId="590299FD" w14:textId="77777777" w:rsidR="0084406A" w:rsidRDefault="002B18AF">
      <w:pPr>
        <w:spacing w:before="180"/>
        <w:ind w:hanging="360"/>
        <w:jc w:val="both"/>
      </w:pPr>
      <w:r>
        <w:rPr>
          <w:rFonts w:ascii="Arial" w:eastAsia="宋体" w:hAnsi="Arial" w:cs="Arial"/>
          <w:color w:val="000000"/>
          <w:sz w:val="20"/>
          <w:szCs w:val="20"/>
        </w:rPr>
        <w:t>•Government actions and regulations such as export administratio</w:t>
      </w:r>
      <w:r>
        <w:rPr>
          <w:rFonts w:ascii="Arial" w:eastAsia="宋体" w:hAnsi="Arial" w:cs="Arial"/>
          <w:color w:val="000000"/>
          <w:sz w:val="20"/>
          <w:szCs w:val="20"/>
        </w:rPr>
        <w:t>n regulations, tariffs, and trade protection measures may limit our ability to export our products to certain customers.</w:t>
      </w:r>
    </w:p>
    <w:p w14:paraId="590299FE" w14:textId="77777777" w:rsidR="0084406A" w:rsidRDefault="002B18AF">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our deferred tax assets, our results of operations could be adversely affected.</w:t>
      </w:r>
    </w:p>
    <w:p w14:paraId="590299FF" w14:textId="77777777" w:rsidR="0084406A" w:rsidRDefault="002B18AF">
      <w:pPr>
        <w:ind w:hanging="360"/>
        <w:jc w:val="both"/>
      </w:pPr>
      <w:r>
        <w:rPr>
          <w:rFonts w:ascii="Arial" w:eastAsia="宋体" w:hAnsi="Arial" w:cs="Arial"/>
          <w:color w:val="000000"/>
          <w:sz w:val="20"/>
          <w:szCs w:val="20"/>
        </w:rPr>
        <w:t>•Our business is subject to poten</w:t>
      </w:r>
      <w:r>
        <w:rPr>
          <w:rFonts w:ascii="Arial" w:eastAsia="宋体" w:hAnsi="Arial" w:cs="Arial"/>
          <w:color w:val="000000"/>
          <w:sz w:val="20"/>
          <w:szCs w:val="20"/>
        </w:rPr>
        <w:t>tial tax liabilities, including as a result of tax regulation changes.</w:t>
      </w:r>
    </w:p>
    <w:p w14:paraId="59029A00" w14:textId="77777777" w:rsidR="0084406A" w:rsidRDefault="002B18AF">
      <w:pPr>
        <w:ind w:hanging="360"/>
        <w:jc w:val="both"/>
      </w:pPr>
      <w:r>
        <w:rPr>
          <w:rFonts w:ascii="Arial" w:eastAsia="宋体" w:hAnsi="Arial" w:cs="Arial"/>
          <w:color w:val="000000"/>
          <w:sz w:val="20"/>
          <w:szCs w:val="20"/>
        </w:rPr>
        <w:t>•We are party to litigation and may become a party to other claims or litigation that could cause us to incur substantial costs or pay substantial damages or prohibit us from selling ou</w:t>
      </w:r>
      <w:r>
        <w:rPr>
          <w:rFonts w:ascii="Arial" w:eastAsia="宋体" w:hAnsi="Arial" w:cs="Arial"/>
          <w:color w:val="000000"/>
          <w:sz w:val="20"/>
          <w:szCs w:val="20"/>
        </w:rPr>
        <w:t>r products.</w:t>
      </w:r>
    </w:p>
    <w:p w14:paraId="59029A01" w14:textId="77777777" w:rsidR="0084406A" w:rsidRDefault="002B18AF">
      <w:pPr>
        <w:ind w:hanging="360"/>
        <w:jc w:val="both"/>
      </w:pPr>
      <w:r>
        <w:rPr>
          <w:rFonts w:ascii="Arial" w:eastAsia="宋体" w:hAnsi="Arial" w:cs="Arial"/>
          <w:color w:val="00000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r>
        <w:rPr>
          <w:rFonts w:ascii="Arial" w:eastAsia="宋体" w:hAnsi="Arial" w:cs="Arial"/>
          <w:color w:val="000000"/>
          <w:sz w:val="20"/>
          <w:szCs w:val="20"/>
        </w:rPr>
        <w:t>.</w:t>
      </w:r>
    </w:p>
    <w:p w14:paraId="59029A02" w14:textId="77777777" w:rsidR="0084406A" w:rsidRDefault="002B18AF">
      <w:pPr>
        <w:spacing w:before="180"/>
        <w:ind w:firstLine="360"/>
        <w:jc w:val="both"/>
      </w:pPr>
      <w:r>
        <w:rPr>
          <w:rFonts w:ascii="Arial" w:eastAsia="宋体" w:hAnsi="Arial" w:cs="Arial"/>
          <w:b/>
          <w:bCs/>
          <w:color w:val="000000"/>
          <w:sz w:val="20"/>
          <w:szCs w:val="20"/>
        </w:rPr>
        <w:t>Xilinx Merger and Acquisition Risks</w:t>
      </w:r>
    </w:p>
    <w:p w14:paraId="59029A03" w14:textId="77777777" w:rsidR="0084406A" w:rsidRDefault="002B18AF">
      <w:pPr>
        <w:spacing w:before="180"/>
        <w:ind w:hanging="360"/>
        <w:jc w:val="both"/>
      </w:pPr>
      <w:r>
        <w:rPr>
          <w:rFonts w:ascii="Arial" w:eastAsia="宋体" w:hAnsi="Arial" w:cs="Arial"/>
          <w:color w:val="000000"/>
          <w:sz w:val="20"/>
          <w:szCs w:val="20"/>
        </w:rPr>
        <w:t>•Acquisitions, joint ventures and/or investments, including our previously announced acquisition of Xilinx, and the failure to integrate acquired businesses, could disrupt our business and/or dilute or adversely affect</w:t>
      </w:r>
      <w:r>
        <w:rPr>
          <w:rFonts w:ascii="Arial" w:eastAsia="宋体" w:hAnsi="Arial" w:cs="Arial"/>
          <w:color w:val="000000"/>
          <w:sz w:val="20"/>
          <w:szCs w:val="20"/>
        </w:rPr>
        <w:t xml:space="preserve"> the price of our common stock.</w:t>
      </w:r>
    </w:p>
    <w:p w14:paraId="59029A04" w14:textId="77777777" w:rsidR="0084406A" w:rsidRDefault="002B18AF">
      <w:pPr>
        <w:ind w:hanging="360"/>
        <w:jc w:val="both"/>
      </w:pPr>
      <w:r>
        <w:rPr>
          <w:rFonts w:ascii="Arial" w:eastAsia="宋体" w:hAnsi="Arial" w:cs="Arial"/>
          <w:color w:val="000000"/>
          <w:sz w:val="20"/>
          <w:szCs w:val="20"/>
        </w:rPr>
        <w:t xml:space="preserve">•Our ability to complete the Xilinx Merger is subject to closing conditions, including the receipt of consents and approvals from governmental authorities, which may impose conditions that could adversely affect us or cause </w:t>
      </w:r>
      <w:r>
        <w:rPr>
          <w:rFonts w:ascii="Arial" w:eastAsia="宋体" w:hAnsi="Arial" w:cs="Arial"/>
          <w:color w:val="000000"/>
          <w:sz w:val="20"/>
          <w:szCs w:val="20"/>
        </w:rPr>
        <w:t>the Xilinx Merger not to be completed.</w:t>
      </w:r>
    </w:p>
    <w:p w14:paraId="59029A05" w14:textId="77777777" w:rsidR="0084406A" w:rsidRDefault="002B18AF">
      <w:pPr>
        <w:ind w:hanging="360"/>
        <w:jc w:val="both"/>
      </w:pPr>
      <w:r>
        <w:rPr>
          <w:rFonts w:ascii="Arial" w:eastAsia="宋体" w:hAnsi="Arial" w:cs="Arial"/>
          <w:color w:val="000000"/>
          <w:sz w:val="20"/>
          <w:szCs w:val="20"/>
        </w:rPr>
        <w:t>•Whether or not it is completed, the announcement and pendency of the Xilinx Merger could cause disruptions in our business, which could have an adverse effect on our business and financial results.</w:t>
      </w:r>
    </w:p>
    <w:p w14:paraId="59029A06" w14:textId="77777777" w:rsidR="0084406A" w:rsidRDefault="002B18AF">
      <w:pPr>
        <w:ind w:hanging="360"/>
        <w:jc w:val="both"/>
      </w:pPr>
      <w:r>
        <w:rPr>
          <w:rFonts w:ascii="Arial" w:eastAsia="宋体" w:hAnsi="Arial" w:cs="Arial"/>
          <w:color w:val="000000"/>
          <w:sz w:val="20"/>
          <w:szCs w:val="20"/>
        </w:rPr>
        <w:t>•Any impairment of</w:t>
      </w:r>
      <w:r>
        <w:rPr>
          <w:rFonts w:ascii="Arial" w:eastAsia="宋体" w:hAnsi="Arial" w:cs="Arial"/>
          <w:color w:val="000000"/>
          <w:sz w:val="20"/>
          <w:szCs w:val="20"/>
        </w:rPr>
        <w:t xml:space="preserve"> the combined company’s tangible, definite-lived intangible or indefinite-lived intangible assets, including goodwill, may adversely impact the combined company’s financial position and results of operations.</w:t>
      </w:r>
    </w:p>
    <w:p w14:paraId="59029A07" w14:textId="77777777" w:rsidR="0084406A" w:rsidRDefault="002B18AF">
      <w:pPr>
        <w:spacing w:before="180"/>
        <w:ind w:firstLine="360"/>
        <w:jc w:val="both"/>
      </w:pPr>
      <w:r>
        <w:rPr>
          <w:rFonts w:ascii="Arial" w:eastAsia="宋体" w:hAnsi="Arial" w:cs="Arial"/>
          <w:b/>
          <w:bCs/>
          <w:color w:val="000000"/>
          <w:sz w:val="20"/>
          <w:szCs w:val="20"/>
        </w:rPr>
        <w:t>Liquidity and Capital Resources Risks</w:t>
      </w:r>
    </w:p>
    <w:p w14:paraId="59029A08" w14:textId="77777777" w:rsidR="0084406A" w:rsidRDefault="002B18AF">
      <w:pPr>
        <w:spacing w:before="180"/>
        <w:ind w:hanging="360"/>
        <w:jc w:val="both"/>
      </w:pPr>
      <w:r>
        <w:rPr>
          <w:rFonts w:ascii="Arial" w:eastAsia="宋体" w:hAnsi="Arial" w:cs="Arial"/>
          <w:color w:val="000000"/>
          <w:sz w:val="20"/>
          <w:szCs w:val="20"/>
        </w:rPr>
        <w:t>•The agre</w:t>
      </w:r>
      <w:r>
        <w:rPr>
          <w:rFonts w:ascii="Arial" w:eastAsia="宋体" w:hAnsi="Arial" w:cs="Arial"/>
          <w:color w:val="000000"/>
          <w:sz w:val="20"/>
          <w:szCs w:val="20"/>
        </w:rPr>
        <w:t>ements governing our notes and our Revolving Credit Facility impose restrictions on us that may adversely affect our ability to operate our business.</w:t>
      </w:r>
    </w:p>
    <w:p w14:paraId="59029A09" w14:textId="77777777" w:rsidR="0084406A" w:rsidRDefault="002B18AF">
      <w:pPr>
        <w:ind w:hanging="360"/>
        <w:jc w:val="both"/>
      </w:pPr>
      <w:r>
        <w:rPr>
          <w:rFonts w:ascii="Arial" w:eastAsia="宋体" w:hAnsi="Arial" w:cs="Arial"/>
          <w:color w:val="000000"/>
          <w:sz w:val="20"/>
          <w:szCs w:val="20"/>
        </w:rPr>
        <w:t>•Our indebtedness could adversely affect our financial position and prevent us from implementing our strat</w:t>
      </w:r>
      <w:r>
        <w:rPr>
          <w:rFonts w:ascii="Arial" w:eastAsia="宋体" w:hAnsi="Arial" w:cs="Arial"/>
          <w:color w:val="000000"/>
          <w:sz w:val="20"/>
          <w:szCs w:val="20"/>
        </w:rPr>
        <w:t>egy or fulfilling our contractual obligations.</w:t>
      </w:r>
    </w:p>
    <w:p w14:paraId="59029A0A" w14:textId="77777777" w:rsidR="0084406A" w:rsidRDefault="002B18AF">
      <w:pPr>
        <w:ind w:hanging="360"/>
        <w:jc w:val="both"/>
      </w:pPr>
      <w:r>
        <w:rPr>
          <w:rFonts w:ascii="Arial" w:eastAsia="宋体" w:hAnsi="Arial" w:cs="Arial"/>
          <w:color w:val="000000"/>
          <w:sz w:val="20"/>
          <w:szCs w:val="20"/>
        </w:rPr>
        <w:t>•We may not be able to generate sufficient cash to meet our working capital requirements. Also, if we cannot generate sufficient revenue and operating cash flow, we may face a cash shortfall and be unable to m</w:t>
      </w:r>
      <w:r>
        <w:rPr>
          <w:rFonts w:ascii="Arial" w:eastAsia="宋体" w:hAnsi="Arial" w:cs="Arial"/>
          <w:color w:val="000000"/>
          <w:sz w:val="20"/>
          <w:szCs w:val="20"/>
        </w:rPr>
        <w:t>ake all of our planned investments in research and development or other strategic investments.</w:t>
      </w:r>
    </w:p>
    <w:p w14:paraId="59029A0B" w14:textId="77777777" w:rsidR="0084406A" w:rsidRDefault="002B18AF">
      <w:pPr>
        <w:spacing w:before="180"/>
        <w:ind w:firstLine="360"/>
        <w:jc w:val="both"/>
      </w:pPr>
      <w:r>
        <w:rPr>
          <w:rFonts w:ascii="Arial" w:eastAsia="宋体" w:hAnsi="Arial" w:cs="Arial"/>
          <w:b/>
          <w:bCs/>
          <w:color w:val="000000"/>
          <w:sz w:val="20"/>
          <w:szCs w:val="20"/>
        </w:rPr>
        <w:t>General Risks</w:t>
      </w:r>
    </w:p>
    <w:p w14:paraId="59029A0C" w14:textId="77777777" w:rsidR="0084406A" w:rsidRDefault="002B18AF">
      <w:pPr>
        <w:spacing w:before="180"/>
        <w:ind w:hanging="360"/>
        <w:jc w:val="both"/>
      </w:pPr>
      <w:r>
        <w:rPr>
          <w:rFonts w:ascii="Arial" w:eastAsia="宋体" w:hAnsi="Arial" w:cs="Arial"/>
          <w:color w:val="000000"/>
          <w:sz w:val="20"/>
          <w:szCs w:val="20"/>
        </w:rPr>
        <w:t>•Our worldwide operations are subject to political, legal and economic risks and natural disasters, which could have a material adverse effect on u</w:t>
      </w:r>
      <w:r>
        <w:rPr>
          <w:rFonts w:ascii="Arial" w:eastAsia="宋体" w:hAnsi="Arial" w:cs="Arial"/>
          <w:color w:val="000000"/>
          <w:sz w:val="20"/>
          <w:szCs w:val="20"/>
        </w:rPr>
        <w:t>s.</w:t>
      </w:r>
    </w:p>
    <w:p w14:paraId="59029A0D" w14:textId="77777777" w:rsidR="0084406A" w:rsidRDefault="002B18AF">
      <w:pPr>
        <w:ind w:hanging="360"/>
        <w:jc w:val="both"/>
      </w:pPr>
      <w:r>
        <w:rPr>
          <w:rFonts w:ascii="Arial" w:eastAsia="宋体" w:hAnsi="Arial" w:cs="Arial"/>
          <w:color w:val="000000"/>
          <w:sz w:val="20"/>
          <w:szCs w:val="20"/>
        </w:rPr>
        <w:t>•We may incur future impairments of goodwill and technology license purchases.</w:t>
      </w:r>
    </w:p>
    <w:p w14:paraId="59029A0E" w14:textId="77777777" w:rsidR="0084406A" w:rsidRDefault="002B18AF">
      <w:pPr>
        <w:ind w:hanging="360"/>
        <w:jc w:val="both"/>
      </w:pPr>
      <w:r>
        <w:rPr>
          <w:rFonts w:ascii="Arial" w:eastAsia="宋体" w:hAnsi="Arial" w:cs="Arial"/>
          <w:color w:val="000000"/>
          <w:sz w:val="20"/>
          <w:szCs w:val="20"/>
        </w:rPr>
        <w:t>•Our inability to continue to attract and retain qualified personnel may hinder our business.</w:t>
      </w:r>
    </w:p>
    <w:p w14:paraId="59029A0F" w14:textId="77777777" w:rsidR="0084406A" w:rsidRDefault="002B18AF">
      <w:pPr>
        <w:ind w:hanging="360"/>
        <w:jc w:val="both"/>
      </w:pPr>
      <w:r>
        <w:rPr>
          <w:rFonts w:ascii="Arial" w:eastAsia="宋体" w:hAnsi="Arial" w:cs="Arial"/>
          <w:color w:val="000000"/>
          <w:sz w:val="20"/>
          <w:szCs w:val="20"/>
        </w:rPr>
        <w:t>•Our stock price is subject to volatility.</w:t>
      </w:r>
    </w:p>
    <w:p w14:paraId="59029A10" w14:textId="77777777" w:rsidR="0084406A" w:rsidRDefault="002B18AF">
      <w:pPr>
        <w:ind w:hanging="360"/>
        <w:jc w:val="both"/>
      </w:pPr>
      <w:r>
        <w:rPr>
          <w:rFonts w:ascii="Arial" w:eastAsia="宋体" w:hAnsi="Arial" w:cs="Arial"/>
          <w:color w:val="000000"/>
          <w:sz w:val="20"/>
          <w:szCs w:val="20"/>
        </w:rPr>
        <w:t xml:space="preserve">•Worldwide political </w:t>
      </w:r>
      <w:r>
        <w:rPr>
          <w:rFonts w:ascii="Arial" w:eastAsia="宋体" w:hAnsi="Arial" w:cs="Arial"/>
          <w:color w:val="000000"/>
          <w:sz w:val="20"/>
          <w:szCs w:val="20"/>
        </w:rPr>
        <w:t>conditions may adversely affect demand for our products.</w:t>
      </w:r>
    </w:p>
    <w:p w14:paraId="59029A11" w14:textId="77777777" w:rsidR="0084406A" w:rsidRDefault="002B18AF">
      <w:pPr>
        <w:spacing w:before="180"/>
        <w:jc w:val="both"/>
      </w:pPr>
      <w:r>
        <w:rPr>
          <w:rFonts w:ascii="Arial" w:eastAsia="宋体" w:hAnsi="Arial" w:cs="Arial"/>
          <w:color w:val="000000"/>
          <w:sz w:val="20"/>
          <w:szCs w:val="20"/>
        </w:rPr>
        <w:t>For a more complete discussion of the material risks facing our business, see below.</w:t>
      </w:r>
    </w:p>
    <w:p w14:paraId="59029A12" w14:textId="77777777" w:rsidR="0084406A" w:rsidRDefault="002B18AF">
      <w:pPr>
        <w:jc w:val="center"/>
      </w:pPr>
      <w:r>
        <w:rPr>
          <w:rFonts w:ascii="Arial" w:eastAsia="宋体" w:hAnsi="Arial" w:cs="Arial"/>
          <w:color w:val="000000"/>
          <w:sz w:val="20"/>
          <w:szCs w:val="20"/>
        </w:rPr>
        <w:t>14</w:t>
      </w:r>
    </w:p>
    <w:p w14:paraId="59029A13" w14:textId="77777777" w:rsidR="0084406A" w:rsidRDefault="002B18AF">
      <w:r>
        <w:pict w14:anchorId="5902BB02">
          <v:rect id="_x0000_i1041" style="width:415.3pt;height:1.5pt" o:hralign="center" o:hrstd="t" o:hr="t" fillcolor="#a0a0a0" stroked="f"/>
        </w:pict>
      </w:r>
    </w:p>
    <w:p w14:paraId="59029A14" w14:textId="77777777" w:rsidR="0084406A" w:rsidRDefault="0084406A"/>
    <w:p w14:paraId="59029A15" w14:textId="77777777" w:rsidR="0084406A" w:rsidRDefault="002B18AF">
      <w:pPr>
        <w:spacing w:before="180"/>
      </w:pPr>
      <w:r>
        <w:rPr>
          <w:rFonts w:ascii="Arial" w:eastAsia="宋体" w:hAnsi="Arial" w:cs="Arial"/>
          <w:b/>
          <w:bCs/>
          <w:color w:val="000000"/>
          <w:sz w:val="20"/>
          <w:szCs w:val="20"/>
        </w:rPr>
        <w:t>Economic and Strategic Risks</w:t>
      </w:r>
    </w:p>
    <w:p w14:paraId="59029A16" w14:textId="77777777" w:rsidR="0084406A" w:rsidRDefault="002B18AF">
      <w:pPr>
        <w:spacing w:before="180"/>
        <w:jc w:val="both"/>
      </w:pPr>
      <w:r>
        <w:rPr>
          <w:rFonts w:ascii="Arial" w:eastAsia="宋体" w:hAnsi="Arial" w:cs="Arial"/>
          <w:b/>
          <w:bCs/>
          <w:i/>
          <w:iCs/>
          <w:color w:val="000000"/>
          <w:sz w:val="20"/>
          <w:szCs w:val="20"/>
        </w:rPr>
        <w:t>Intel Corporation’s dominance of the microprocessor market and its aggressive b</w:t>
      </w:r>
      <w:r>
        <w:rPr>
          <w:rFonts w:ascii="Arial" w:eastAsia="宋体" w:hAnsi="Arial" w:cs="Arial"/>
          <w:b/>
          <w:bCs/>
          <w:i/>
          <w:iCs/>
          <w:color w:val="000000"/>
          <w:sz w:val="20"/>
          <w:szCs w:val="20"/>
        </w:rPr>
        <w:t>usiness practices may limit our ability to compete effectively on a level playing field.</w:t>
      </w:r>
    </w:p>
    <w:p w14:paraId="59029A17" w14:textId="77777777" w:rsidR="0084406A" w:rsidRDefault="002B18AF">
      <w:pPr>
        <w:spacing w:before="180"/>
        <w:jc w:val="both"/>
      </w:pPr>
      <w:r>
        <w:rPr>
          <w:rFonts w:ascii="Arial" w:eastAsia="宋体" w:hAnsi="Arial" w:cs="Arial"/>
          <w:color w:val="000000"/>
          <w:sz w:val="20"/>
          <w:szCs w:val="20"/>
        </w:rPr>
        <w:t>Intel Corporation (Intel) has been the market share leader for microprocessors for many years. Intel’s market share, margins and significant financial resources enable</w:t>
      </w:r>
      <w:r>
        <w:rPr>
          <w:rFonts w:ascii="Arial" w:eastAsia="宋体" w:hAnsi="Arial" w:cs="Arial"/>
          <w:color w:val="000000"/>
          <w:sz w:val="20"/>
          <w:szCs w:val="20"/>
        </w:rPr>
        <w:t xml:space="preserve"> it to market its products aggressively, to target our customers and our channel partners with special incentives and to influence customers who do business with us. These aggressive activities have in the past resulted in lower unit sales and a lower aver</w:t>
      </w:r>
      <w:r>
        <w:rPr>
          <w:rFonts w:ascii="Arial" w:eastAsia="宋体" w:hAnsi="Arial" w:cs="Arial"/>
          <w:color w:val="000000"/>
          <w:sz w:val="20"/>
          <w:szCs w:val="20"/>
        </w:rPr>
        <w:t>age selling price for many of our products and adversely affected our margins and profitability.</w:t>
      </w:r>
    </w:p>
    <w:p w14:paraId="59029A18" w14:textId="77777777" w:rsidR="0084406A" w:rsidRDefault="002B18AF">
      <w:pPr>
        <w:spacing w:before="180"/>
        <w:jc w:val="both"/>
      </w:pPr>
      <w:r>
        <w:rPr>
          <w:rFonts w:ascii="Arial" w:eastAsia="宋体" w:hAnsi="Arial" w:cs="Arial"/>
          <w:color w:val="000000"/>
          <w:sz w:val="20"/>
          <w:szCs w:val="20"/>
        </w:rPr>
        <w:t>Intel exerts substantial influence over computer manufacturers and their channels of distribution through various brand and other marketing programs. As a resu</w:t>
      </w:r>
      <w:r>
        <w:rPr>
          <w:rFonts w:ascii="Arial" w:eastAsia="宋体" w:hAnsi="Arial" w:cs="Arial"/>
          <w:color w:val="000000"/>
          <w:sz w:val="20"/>
          <w:szCs w:val="20"/>
        </w:rPr>
        <w:t>lt of Intel’s position in the microprocessor market, Intel has been able to control x86 microprocessor and computer system standards and benchmarks and to dictate the type of products the microprocessor market requires of us. Intel also dominates the compu</w:t>
      </w:r>
      <w:r>
        <w:rPr>
          <w:rFonts w:ascii="Arial" w:eastAsia="宋体" w:hAnsi="Arial" w:cs="Arial"/>
          <w:color w:val="000000"/>
          <w:sz w:val="20"/>
          <w:szCs w:val="20"/>
        </w:rPr>
        <w:t>ter system platform, which includes core logic chipsets, graphics chips, networking devices (wired and wireless), non-volatile storage and other components necessary to assemble a computer system. Additionally, Intel is able to drive de facto standards and</w:t>
      </w:r>
      <w:r>
        <w:rPr>
          <w:rFonts w:ascii="Arial" w:eastAsia="宋体" w:hAnsi="Arial" w:cs="Arial"/>
          <w:color w:val="000000"/>
          <w:sz w:val="20"/>
          <w:szCs w:val="20"/>
        </w:rPr>
        <w:t xml:space="preserve"> specifications for x86 microprocessors that could cause us and other companies to have delayed access to such standards.</w:t>
      </w:r>
    </w:p>
    <w:p w14:paraId="59029A19" w14:textId="77777777" w:rsidR="0084406A" w:rsidRDefault="002B18AF">
      <w:pPr>
        <w:spacing w:before="180"/>
        <w:jc w:val="both"/>
      </w:pPr>
      <w:r>
        <w:rPr>
          <w:rFonts w:ascii="Arial" w:eastAsia="宋体" w:hAnsi="Arial" w:cs="Arial"/>
          <w:color w:val="000000"/>
          <w:sz w:val="20"/>
          <w:szCs w:val="20"/>
        </w:rPr>
        <w:t>As long as Intel remains in this dominant position, we may be materially adversely affected by Intel’s business practices, including r</w:t>
      </w:r>
      <w:r>
        <w:rPr>
          <w:rFonts w:ascii="Arial" w:eastAsia="宋体" w:hAnsi="Arial" w:cs="Arial"/>
          <w:color w:val="000000"/>
          <w:sz w:val="20"/>
          <w:szCs w:val="20"/>
        </w:rPr>
        <w:t>ebating and allocation strategies and pricing actions, designed to limit our market share and margins; product mix and introduction schedules; product bundling, marketing and merchandising strategies; exclusivity payments to its current and potential custo</w:t>
      </w:r>
      <w:r>
        <w:rPr>
          <w:rFonts w:ascii="Arial" w:eastAsia="宋体" w:hAnsi="Arial" w:cs="Arial"/>
          <w:color w:val="000000"/>
          <w:sz w:val="20"/>
          <w:szCs w:val="20"/>
        </w:rPr>
        <w:t>mers, retailers and channel partners; de facto control over industry standards, and heavy influence on PC manufacturers and other PC industry participants, including motherboard, memory, chipset and basic input/output system (BIOS) suppliers and software c</w:t>
      </w:r>
      <w:r>
        <w:rPr>
          <w:rFonts w:ascii="Arial" w:eastAsia="宋体" w:hAnsi="Arial" w:cs="Arial"/>
          <w:color w:val="000000"/>
          <w:sz w:val="20"/>
          <w:szCs w:val="20"/>
        </w:rPr>
        <w:t>ompanies as well as the graphics interface for Intel platforms; and marketing and advertising expenditures in support of positioning the Intel brand over the brand of its original equipment manufacturer (OEM) customers and retailers.</w:t>
      </w:r>
    </w:p>
    <w:p w14:paraId="59029A1A" w14:textId="77777777" w:rsidR="0084406A" w:rsidRDefault="002B18AF">
      <w:pPr>
        <w:spacing w:before="180"/>
        <w:jc w:val="both"/>
      </w:pPr>
      <w:r>
        <w:rPr>
          <w:rFonts w:ascii="Arial" w:eastAsia="宋体" w:hAnsi="Arial" w:cs="Arial"/>
          <w:color w:val="000000"/>
          <w:sz w:val="20"/>
          <w:szCs w:val="20"/>
        </w:rPr>
        <w:t>Intel has substantiall</w:t>
      </w:r>
      <w:r>
        <w:rPr>
          <w:rFonts w:ascii="Arial" w:eastAsia="宋体" w:hAnsi="Arial" w:cs="Arial"/>
          <w:color w:val="000000"/>
          <w:sz w:val="20"/>
          <w:szCs w:val="20"/>
        </w:rPr>
        <w:t>y greater financial resources than we do and accordingly spends substantially greater amounts on marketing and research and development than we do. We expect Intel to continue to invest heavily in marketing, research and development, new manufacturing faci</w:t>
      </w:r>
      <w:r>
        <w:rPr>
          <w:rFonts w:ascii="Arial" w:eastAsia="宋体" w:hAnsi="Arial" w:cs="Arial"/>
          <w:color w:val="000000"/>
          <w:sz w:val="20"/>
          <w:szCs w:val="20"/>
        </w:rPr>
        <w:t>lities and other technology companies. To the extent Intel manufactures a significantly larger portion of its microprocessor products using more advanced process technologies, or introduces competitive new products into the market before we do, we may be m</w:t>
      </w:r>
      <w:r>
        <w:rPr>
          <w:rFonts w:ascii="Arial" w:eastAsia="宋体" w:hAnsi="Arial" w:cs="Arial"/>
          <w:color w:val="000000"/>
          <w:sz w:val="20"/>
          <w:szCs w:val="20"/>
        </w:rPr>
        <w:t>ore vulnerable to Intel’s aggressive marketing and pricing strategies for microprocessor products.</w:t>
      </w:r>
    </w:p>
    <w:p w14:paraId="59029A1B" w14:textId="77777777" w:rsidR="0084406A" w:rsidRDefault="002B18AF">
      <w:pPr>
        <w:spacing w:before="180"/>
        <w:jc w:val="both"/>
      </w:pPr>
      <w:r>
        <w:rPr>
          <w:rFonts w:ascii="Arial" w:eastAsia="宋体" w:hAnsi="Arial" w:cs="Arial"/>
          <w:color w:val="000000"/>
          <w:sz w:val="20"/>
          <w:szCs w:val="20"/>
        </w:rPr>
        <w:t>Intel could also take actions that place our discrete graphics processing units (GPUs) at a competitive disadvantage, including giving one or more of our com</w:t>
      </w:r>
      <w:r>
        <w:rPr>
          <w:rFonts w:ascii="Arial" w:eastAsia="宋体" w:hAnsi="Arial" w:cs="Arial"/>
          <w:color w:val="000000"/>
          <w:sz w:val="20"/>
          <w:szCs w:val="20"/>
        </w:rPr>
        <w:t>petitors in the graphics market, such as NVIDIA Corporation, preferential access to its proprietary graphics interface or other useful information or restricting access to external companies. Also, Intel has developed their own high-end discrete GPUs and h</w:t>
      </w:r>
      <w:r>
        <w:rPr>
          <w:rFonts w:ascii="Arial" w:eastAsia="宋体" w:hAnsi="Arial" w:cs="Arial"/>
          <w:color w:val="000000"/>
          <w:sz w:val="20"/>
          <w:szCs w:val="20"/>
        </w:rPr>
        <w:t>as announced that they have developed gaming-focused discrete graphics that will be released in 2022. Intel’s position in the microprocessor market, its introduction of competitive new products, its existing relationships with top-tier OEMs, and its aggres</w:t>
      </w:r>
      <w:r>
        <w:rPr>
          <w:rFonts w:ascii="Arial" w:eastAsia="宋体" w:hAnsi="Arial" w:cs="Arial"/>
          <w:color w:val="000000"/>
          <w:sz w:val="20"/>
          <w:szCs w:val="20"/>
        </w:rPr>
        <w:t>sive marketing and pricing strategies could result in lower unit sales and lower average selling prices for our products, which could have a material adverse effect on us.</w:t>
      </w:r>
    </w:p>
    <w:p w14:paraId="59029A1C" w14:textId="77777777" w:rsidR="0084406A" w:rsidRDefault="002B18AF">
      <w:pPr>
        <w:spacing w:before="180"/>
        <w:jc w:val="both"/>
      </w:pPr>
      <w:r>
        <w:rPr>
          <w:rFonts w:ascii="Arial" w:eastAsia="宋体" w:hAnsi="Arial" w:cs="Arial"/>
          <w:b/>
          <w:bCs/>
          <w:i/>
          <w:iCs/>
          <w:color w:val="000000"/>
          <w:sz w:val="20"/>
          <w:szCs w:val="20"/>
        </w:rPr>
        <w:t>Global economic and market uncertainty may adversely impact our business and operati</w:t>
      </w:r>
      <w:r>
        <w:rPr>
          <w:rFonts w:ascii="Arial" w:eastAsia="宋体" w:hAnsi="Arial" w:cs="Arial"/>
          <w:b/>
          <w:bCs/>
          <w:i/>
          <w:iCs/>
          <w:color w:val="000000"/>
          <w:sz w:val="20"/>
          <w:szCs w:val="20"/>
        </w:rPr>
        <w:t>ng results.</w:t>
      </w:r>
    </w:p>
    <w:p w14:paraId="59029A1D" w14:textId="77777777" w:rsidR="0084406A" w:rsidRDefault="002B18AF">
      <w:pPr>
        <w:spacing w:before="180"/>
        <w:jc w:val="both"/>
      </w:pPr>
      <w:r>
        <w:rPr>
          <w:rFonts w:ascii="Arial" w:eastAsia="宋体" w:hAnsi="Arial" w:cs="Arial"/>
          <w:color w:val="000000"/>
          <w:sz w:val="20"/>
          <w:szCs w:val="20"/>
        </w:rPr>
        <w:t>Uncertain global economic conditions have in the past and may in the future adversely impact our business, including, without limitation, a slowdown in the Chinese economy, one of the largest global markets for desktop and notebook PCs. Uncerta</w:t>
      </w:r>
      <w:r>
        <w:rPr>
          <w:rFonts w:ascii="Arial" w:eastAsia="宋体" w:hAnsi="Arial" w:cs="Arial"/>
          <w:color w:val="000000"/>
          <w:sz w:val="20"/>
          <w:szCs w:val="20"/>
        </w:rPr>
        <w:t>inty in the worldwide economic environment or other unfavorable changes in economic conditions, such as inflation, interest rates or recession, may negatively impact consumer confidence and spending causing our customers to postpone purchases. In addition,</w:t>
      </w:r>
      <w:r>
        <w:rPr>
          <w:rFonts w:ascii="Arial" w:eastAsia="宋体" w:hAnsi="Arial" w:cs="Arial"/>
          <w:color w:val="000000"/>
          <w:sz w:val="20"/>
          <w:szCs w:val="20"/>
        </w:rPr>
        <w:t xml:space="preserve"> during challenging economic times, our current or potential future customers may experience cash flow problems and as a result may modify, delay or cancel plans to purchase our products. Additionally, if our customers are not successful in generating suff</w:t>
      </w:r>
      <w:r>
        <w:rPr>
          <w:rFonts w:ascii="Arial" w:eastAsia="宋体" w:hAnsi="Arial" w:cs="Arial"/>
          <w:color w:val="000000"/>
          <w:sz w:val="20"/>
          <w:szCs w:val="20"/>
        </w:rPr>
        <w:t>icient revenue or are unable to secure financing, they may not be able to pay, or may delay payment of, accounts receivable that they owe us. The risk related to our customers potentially defaulting on or delaying payments to us is increased because we exp</w:t>
      </w:r>
      <w:r>
        <w:rPr>
          <w:rFonts w:ascii="Arial" w:eastAsia="宋体" w:hAnsi="Arial" w:cs="Arial"/>
          <w:color w:val="000000"/>
          <w:sz w:val="20"/>
          <w:szCs w:val="20"/>
        </w:rPr>
        <w:t>ect that a small number of customers will continue to account for a substantial part of our revenue. Any inability of our current or potential future customers to pay us for our products may adversely affect our earnings and cash flow. Moreover, our key su</w:t>
      </w:r>
      <w:r>
        <w:rPr>
          <w:rFonts w:ascii="Arial" w:eastAsia="宋体" w:hAnsi="Arial" w:cs="Arial"/>
          <w:color w:val="000000"/>
          <w:sz w:val="20"/>
          <w:szCs w:val="20"/>
        </w:rPr>
        <w:t>ppliers may reduce their output or become insolvent, thereby adversely impacting our ability to manufacture our products. In addition, uncertain economic conditions may make it more difficult for us to raise funds through borrowings or private or public sa</w:t>
      </w:r>
      <w:r>
        <w:rPr>
          <w:rFonts w:ascii="Arial" w:eastAsia="宋体" w:hAnsi="Arial" w:cs="Arial"/>
          <w:color w:val="000000"/>
          <w:sz w:val="20"/>
          <w:szCs w:val="20"/>
        </w:rPr>
        <w:t>les of debt or equity securities.</w:t>
      </w:r>
    </w:p>
    <w:p w14:paraId="59029A1E" w14:textId="77777777" w:rsidR="0084406A" w:rsidRDefault="002B18AF">
      <w:pPr>
        <w:jc w:val="center"/>
      </w:pPr>
      <w:r>
        <w:rPr>
          <w:rFonts w:ascii="Arial" w:eastAsia="宋体" w:hAnsi="Arial" w:cs="Arial"/>
          <w:color w:val="000000"/>
          <w:sz w:val="20"/>
          <w:szCs w:val="20"/>
        </w:rPr>
        <w:t>15</w:t>
      </w:r>
    </w:p>
    <w:p w14:paraId="59029A1F" w14:textId="77777777" w:rsidR="0084406A" w:rsidRDefault="002B18AF">
      <w:r>
        <w:pict w14:anchorId="5902BB03">
          <v:rect id="_x0000_i1042" style="width:415.3pt;height:1.5pt" o:hralign="center" o:hrstd="t" o:hr="t" fillcolor="#a0a0a0" stroked="f"/>
        </w:pict>
      </w:r>
    </w:p>
    <w:p w14:paraId="59029A20" w14:textId="77777777" w:rsidR="0084406A" w:rsidRDefault="0084406A"/>
    <w:p w14:paraId="59029A21" w14:textId="77777777" w:rsidR="0084406A" w:rsidRDefault="002B18AF">
      <w:pPr>
        <w:spacing w:before="180"/>
        <w:jc w:val="both"/>
      </w:pPr>
      <w:r>
        <w:rPr>
          <w:rFonts w:ascii="Arial" w:eastAsia="宋体" w:hAnsi="Arial" w:cs="Arial"/>
          <w:b/>
          <w:bCs/>
          <w:i/>
          <w:iCs/>
          <w:color w:val="000000"/>
          <w:sz w:val="20"/>
          <w:szCs w:val="20"/>
        </w:rPr>
        <w:t>The loss of a significant customer may have a material adverse effect on us.</w:t>
      </w:r>
    </w:p>
    <w:p w14:paraId="59029A22" w14:textId="77777777" w:rsidR="0084406A" w:rsidRDefault="002B18AF">
      <w:pPr>
        <w:spacing w:before="180"/>
        <w:jc w:val="both"/>
      </w:pPr>
      <w:r>
        <w:rPr>
          <w:rFonts w:ascii="Arial" w:eastAsia="宋体" w:hAnsi="Arial" w:cs="Arial"/>
          <w:color w:val="000000"/>
          <w:sz w:val="20"/>
          <w:szCs w:val="20"/>
        </w:rPr>
        <w:t>We depend on a small number of customers for a substantial portion of our business and we expect that a small number of customers will cont</w:t>
      </w:r>
      <w:r>
        <w:rPr>
          <w:rFonts w:ascii="Arial" w:eastAsia="宋体" w:hAnsi="Arial" w:cs="Arial"/>
          <w:color w:val="000000"/>
          <w:sz w:val="20"/>
          <w:szCs w:val="20"/>
        </w:rPr>
        <w:t>inue to account for a significant part of our revenue in the future. If one of our key customers decides to stop buying our products, or if one of these customers materially reduces its operations or its demand for our products, our business would be mater</w:t>
      </w:r>
      <w:r>
        <w:rPr>
          <w:rFonts w:ascii="Arial" w:eastAsia="宋体" w:hAnsi="Arial" w:cs="Arial"/>
          <w:color w:val="000000"/>
          <w:sz w:val="20"/>
          <w:szCs w:val="20"/>
        </w:rPr>
        <w:t>ially adversely affected.</w:t>
      </w:r>
    </w:p>
    <w:p w14:paraId="59029A23" w14:textId="77777777" w:rsidR="0084406A" w:rsidRDefault="002B18AF">
      <w:pPr>
        <w:spacing w:before="180"/>
        <w:jc w:val="both"/>
      </w:pPr>
      <w:r>
        <w:rPr>
          <w:rFonts w:ascii="Arial" w:eastAsia="宋体" w:hAnsi="Arial" w:cs="Arial"/>
          <w:b/>
          <w:bCs/>
          <w:i/>
          <w:iCs/>
          <w:color w:val="000000"/>
          <w:sz w:val="20"/>
          <w:szCs w:val="20"/>
        </w:rPr>
        <w:t xml:space="preserve">The ongoing novel coronavirus (COVID-19) pandemic could materially adversely affect our business, financial condition and results of operations. </w:t>
      </w:r>
    </w:p>
    <w:p w14:paraId="59029A24" w14:textId="77777777" w:rsidR="0084406A" w:rsidRDefault="002B18AF">
      <w:pPr>
        <w:spacing w:before="180"/>
        <w:jc w:val="both"/>
      </w:pPr>
      <w:r>
        <w:rPr>
          <w:rFonts w:ascii="Arial" w:eastAsia="宋体" w:hAnsi="Arial" w:cs="Arial"/>
          <w:color w:val="000000"/>
          <w:sz w:val="20"/>
          <w:szCs w:val="20"/>
        </w:rPr>
        <w:t>The COVID-19 pandemic has caused government authorities to implement numerous public</w:t>
      </w:r>
      <w:r>
        <w:rPr>
          <w:rFonts w:ascii="Arial" w:eastAsia="宋体" w:hAnsi="Arial" w:cs="Arial"/>
          <w:color w:val="000000"/>
          <w:sz w:val="20"/>
          <w:szCs w:val="20"/>
        </w:rPr>
        <w:t xml:space="preserve"> health measures, including vaccination and testing requirements and recordkeeping, quarantines, business closures, travel bans, and restrictions related to social gathering and mobility, to contain the virus. Various state and federal rules are issued and</w:t>
      </w:r>
      <w:r>
        <w:rPr>
          <w:rFonts w:ascii="Arial" w:eastAsia="宋体" w:hAnsi="Arial" w:cs="Arial"/>
          <w:color w:val="000000"/>
          <w:sz w:val="20"/>
          <w:szCs w:val="20"/>
        </w:rPr>
        <w:t xml:space="preserve"> updated on an ongoing basis, at times in conflict and/or with minimal notice. We have experienced and expect to continue to experience disruptions to our business as these measures have, and will continue to have, an effect on our business operations and </w:t>
      </w:r>
      <w:r>
        <w:rPr>
          <w:rFonts w:ascii="Arial" w:eastAsia="宋体" w:hAnsi="Arial" w:cs="Arial"/>
          <w:color w:val="000000"/>
          <w:sz w:val="20"/>
          <w:szCs w:val="20"/>
        </w:rPr>
        <w:t xml:space="preserve">practices. </w:t>
      </w:r>
    </w:p>
    <w:p w14:paraId="59029A25" w14:textId="77777777" w:rsidR="0084406A" w:rsidRDefault="002B18AF">
      <w:pPr>
        <w:spacing w:before="180"/>
        <w:jc w:val="both"/>
      </w:pPr>
      <w:r>
        <w:rPr>
          <w:rFonts w:ascii="Arial" w:eastAsia="宋体" w:hAnsi="Arial" w:cs="Arial"/>
          <w:color w:val="000000"/>
          <w:sz w:val="20"/>
          <w:szCs w:val="20"/>
        </w:rPr>
        <w:t>While many of our offices around the world remain open, either because the pandemic has been contained in that location or to enable critical on-site business functions in compliance with government guidelines, we continue to have many of our e</w:t>
      </w:r>
      <w:r>
        <w:rPr>
          <w:rFonts w:ascii="Arial" w:eastAsia="宋体" w:hAnsi="Arial" w:cs="Arial"/>
          <w:color w:val="000000"/>
          <w:sz w:val="20"/>
          <w:szCs w:val="20"/>
        </w:rPr>
        <w:t>mployees work from home until further notice. It is uncertain as to when the measures put in place to attempt to contain the spread of COVID-19 will be lifted or whether there will be additional measures put into place. If COVID-19 continues to spread or i</w:t>
      </w:r>
      <w:r>
        <w:rPr>
          <w:rFonts w:ascii="Arial" w:eastAsia="宋体" w:hAnsi="Arial" w:cs="Arial"/>
          <w:color w:val="000000"/>
          <w:sz w:val="20"/>
          <w:szCs w:val="20"/>
        </w:rPr>
        <w:t>f there are further waves of the virus, we may need to further limit operations or modify our business practices in a manner that may impact our business. If our employees are not able to perform their job duties due to self-isolation, quarantine, unavaila</w:t>
      </w:r>
      <w:r>
        <w:rPr>
          <w:rFonts w:ascii="Arial" w:eastAsia="宋体" w:hAnsi="Arial" w:cs="Arial"/>
          <w:color w:val="000000"/>
          <w:sz w:val="20"/>
          <w:szCs w:val="20"/>
        </w:rPr>
        <w:t>bility of COVID-19 tests, travel restrictions or illness, a reluctance or refusal to vaccinate, or are unable to perform them as efficiently at home for an extended period of time, we may not be able to meet our product schedules, roadmaps and customer com</w:t>
      </w:r>
      <w:r>
        <w:rPr>
          <w:rFonts w:ascii="Arial" w:eastAsia="宋体" w:hAnsi="Arial" w:cs="Arial"/>
          <w:color w:val="000000"/>
          <w:sz w:val="20"/>
          <w:szCs w:val="20"/>
        </w:rPr>
        <w:t>mitments and we may experience an overall lower productivity of our workforce. We continue to monitor our operations and public health measures implemented by governmental authorities in response to COVID-19. Although some public health measures have eased</w:t>
      </w:r>
      <w:r>
        <w:rPr>
          <w:rFonts w:ascii="Arial" w:eastAsia="宋体" w:hAnsi="Arial" w:cs="Arial"/>
          <w:color w:val="000000"/>
          <w:sz w:val="20"/>
          <w:szCs w:val="20"/>
        </w:rPr>
        <w:t xml:space="preserve"> and a small portion of our employees are at work in certain offices, our efforts to reopen our offices safely may not be successful and could expose our employees to health risks. Even when COVID-19 measures regarding mobility are lifted or modified, our </w:t>
      </w:r>
      <w:r>
        <w:rPr>
          <w:rFonts w:ascii="Arial" w:eastAsia="宋体" w:hAnsi="Arial" w:cs="Arial"/>
          <w:color w:val="000000"/>
          <w:sz w:val="20"/>
          <w:szCs w:val="20"/>
        </w:rPr>
        <w:t>employees’ ability to return to work may delay the return of our full workforce and the resumption of normal business operations.</w:t>
      </w:r>
    </w:p>
    <w:p w14:paraId="59029A26" w14:textId="77777777" w:rsidR="0084406A" w:rsidRDefault="002B18AF">
      <w:pPr>
        <w:spacing w:before="180"/>
        <w:jc w:val="both"/>
      </w:pPr>
      <w:r>
        <w:rPr>
          <w:rFonts w:ascii="Arial" w:eastAsia="宋体" w:hAnsi="Arial" w:cs="Arial"/>
          <w:color w:val="000000"/>
          <w:sz w:val="20"/>
          <w:szCs w:val="20"/>
        </w:rPr>
        <w:t>COVID-19 continues to impact the global supply chain causing disruptions to service providers, logistics and the flow and avai</w:t>
      </w:r>
      <w:r>
        <w:rPr>
          <w:rFonts w:ascii="Arial" w:eastAsia="宋体" w:hAnsi="Arial" w:cs="Arial"/>
          <w:color w:val="000000"/>
          <w:sz w:val="20"/>
          <w:szCs w:val="20"/>
        </w:rPr>
        <w:t>lability of supplies and products. We have experienced some disruptions to parts of our supply chain as a result of COVID-19 and we adjust our supply chain requirements based on changing customer needs and demands. We have taken efforts to maintain a stabl</w:t>
      </w:r>
      <w:r>
        <w:rPr>
          <w:rFonts w:ascii="Arial" w:eastAsia="宋体" w:hAnsi="Arial" w:cs="Arial"/>
          <w:color w:val="000000"/>
          <w:sz w:val="20"/>
          <w:szCs w:val="20"/>
        </w:rPr>
        <w:t>e supply of materials to meet our production requirements through long-term purchase commitments and prepayment arrangements with some of our suppliers. If we are unable to procure a stable supply of equipment, materials or substrates at a reasonable cost,</w:t>
      </w:r>
      <w:r>
        <w:rPr>
          <w:rFonts w:ascii="Arial" w:eastAsia="宋体" w:hAnsi="Arial" w:cs="Arial"/>
          <w:color w:val="000000"/>
          <w:sz w:val="20"/>
          <w:szCs w:val="20"/>
        </w:rPr>
        <w:t xml:space="preserve"> it could have a material adverse effect on our business. We may also assess our product schedules and roadmaps to make any adjustments that may be necessary to support remote working requirements and address the geographic and market demand shifts caused </w:t>
      </w:r>
      <w:r>
        <w:rPr>
          <w:rFonts w:ascii="Arial" w:eastAsia="宋体" w:hAnsi="Arial" w:cs="Arial"/>
          <w:color w:val="000000"/>
          <w:sz w:val="20"/>
          <w:szCs w:val="20"/>
        </w:rPr>
        <w:t>by COVID-19. If the supply of our products to customers is delayed, reduced or canceled due to disruptions encountered by our third-party manufacturers, back-end manufacturers, warehouses, partners, suppliers or vendors as a result of facility closures, bo</w:t>
      </w:r>
      <w:r>
        <w:rPr>
          <w:rFonts w:ascii="Arial" w:eastAsia="宋体" w:hAnsi="Arial" w:cs="Arial"/>
          <w:color w:val="000000"/>
          <w:sz w:val="20"/>
          <w:szCs w:val="20"/>
        </w:rPr>
        <w:t>rder and port restrictions or closures, transportation delays, labor shortages or workforce mobility limitations, it could have a material adverse effect on our business.</w:t>
      </w:r>
    </w:p>
    <w:p w14:paraId="59029A27" w14:textId="77777777" w:rsidR="0084406A" w:rsidRDefault="002B18AF">
      <w:pPr>
        <w:spacing w:before="180"/>
        <w:jc w:val="both"/>
      </w:pPr>
      <w:r>
        <w:rPr>
          <w:rFonts w:ascii="Arial" w:eastAsia="宋体" w:hAnsi="Arial" w:cs="Arial"/>
          <w:color w:val="000000"/>
          <w:sz w:val="20"/>
          <w:szCs w:val="20"/>
        </w:rPr>
        <w:t>COVID-19 has in the short-term and may in the long-term adversely impact the global e</w:t>
      </w:r>
      <w:r>
        <w:rPr>
          <w:rFonts w:ascii="Arial" w:eastAsia="宋体" w:hAnsi="Arial" w:cs="Arial"/>
          <w:color w:val="000000"/>
          <w:sz w:val="20"/>
          <w:szCs w:val="20"/>
        </w:rPr>
        <w:t xml:space="preserve">conomy, creating uncertainty and potentially leading to an economic downturn. This could negatively impact consumer confidence and spending causing our customers to postpone or cancel purchases, or delay paying or default on payment of outstanding amounts </w:t>
      </w:r>
      <w:r>
        <w:rPr>
          <w:rFonts w:ascii="Arial" w:eastAsia="宋体" w:hAnsi="Arial" w:cs="Arial"/>
          <w:color w:val="000000"/>
          <w:sz w:val="20"/>
          <w:szCs w:val="20"/>
        </w:rPr>
        <w:t>due to us, which may have a material adverse effect on our business. Even in times of robust demand for our products, as we are currently experiencing across our business, the worldwide economic environment remains uncertain due to COVID-19 and such demand</w:t>
      </w:r>
      <w:r>
        <w:rPr>
          <w:rFonts w:ascii="Arial" w:eastAsia="宋体" w:hAnsi="Arial" w:cs="Arial"/>
          <w:color w:val="000000"/>
          <w:sz w:val="20"/>
          <w:szCs w:val="20"/>
        </w:rPr>
        <w:t xml:space="preserve"> may not be sustainable over the longer term. </w:t>
      </w:r>
    </w:p>
    <w:p w14:paraId="59029A28" w14:textId="77777777" w:rsidR="0084406A" w:rsidRDefault="002B18AF">
      <w:pPr>
        <w:spacing w:before="180"/>
        <w:jc w:val="both"/>
      </w:pPr>
      <w:r>
        <w:rPr>
          <w:rFonts w:ascii="Arial" w:eastAsia="宋体" w:hAnsi="Arial" w:cs="Arial"/>
          <w:color w:val="000000"/>
          <w:sz w:val="20"/>
          <w:szCs w:val="20"/>
        </w:rPr>
        <w:t>COVID-19 has also led to a disruption and volatility in the global capital and financial markets. While we believe our cash, cash equivalents and short-term investments along with our Revolving Credit Facility</w:t>
      </w:r>
      <w:r>
        <w:rPr>
          <w:rFonts w:ascii="Arial" w:eastAsia="宋体" w:hAnsi="Arial" w:cs="Arial"/>
          <w:color w:val="000000"/>
          <w:sz w:val="20"/>
          <w:szCs w:val="20"/>
        </w:rPr>
        <w:t xml:space="preserve"> and cash flows from operations will be sufficient to fund operations, including capital expenditures and purchase commitments, over the next 12 months and beyond, to the extent we may require additional funding to finance our operations and capital expend</w:t>
      </w:r>
      <w:r>
        <w:rPr>
          <w:rFonts w:ascii="Arial" w:eastAsia="宋体" w:hAnsi="Arial" w:cs="Arial"/>
          <w:color w:val="000000"/>
          <w:sz w:val="20"/>
          <w:szCs w:val="20"/>
        </w:rPr>
        <w:t xml:space="preserve">itures and such funding may not be available to us as a result of contracting capital and financial markets resulting from COVID-19, it may have an adverse effect on our business. </w:t>
      </w:r>
    </w:p>
    <w:p w14:paraId="59029A29" w14:textId="77777777" w:rsidR="0084406A" w:rsidRDefault="002B18AF">
      <w:pPr>
        <w:jc w:val="center"/>
      </w:pPr>
      <w:r>
        <w:rPr>
          <w:rFonts w:ascii="Arial" w:eastAsia="宋体" w:hAnsi="Arial" w:cs="Arial"/>
          <w:color w:val="000000"/>
          <w:sz w:val="20"/>
          <w:szCs w:val="20"/>
        </w:rPr>
        <w:t>16</w:t>
      </w:r>
    </w:p>
    <w:p w14:paraId="59029A2A" w14:textId="77777777" w:rsidR="0084406A" w:rsidRDefault="002B18AF">
      <w:r>
        <w:pict w14:anchorId="5902BB04">
          <v:rect id="_x0000_i1043" style="width:415.3pt;height:1.5pt" o:hralign="center" o:hrstd="t" o:hr="t" fillcolor="#a0a0a0" stroked="f"/>
        </w:pict>
      </w:r>
    </w:p>
    <w:p w14:paraId="59029A2B" w14:textId="77777777" w:rsidR="0084406A" w:rsidRDefault="0084406A"/>
    <w:p w14:paraId="59029A2C" w14:textId="77777777" w:rsidR="0084406A" w:rsidRDefault="002B18AF">
      <w:pPr>
        <w:spacing w:before="180"/>
        <w:jc w:val="both"/>
      </w:pPr>
      <w:r>
        <w:rPr>
          <w:rFonts w:ascii="Arial" w:eastAsia="宋体" w:hAnsi="Arial" w:cs="Arial"/>
          <w:color w:val="000000"/>
          <w:sz w:val="20"/>
          <w:szCs w:val="20"/>
        </w:rPr>
        <w:t xml:space="preserve">The extent to which COVID-19 impacts our business and </w:t>
      </w:r>
      <w:r>
        <w:rPr>
          <w:rFonts w:ascii="Arial" w:eastAsia="宋体" w:hAnsi="Arial" w:cs="Arial"/>
          <w:color w:val="000000"/>
          <w:sz w:val="20"/>
          <w:szCs w:val="20"/>
        </w:rPr>
        <w:t>financial results will depend on future developments, which are unpredictable and highly uncertain, including the continued spread, duration and severity of the outbreak, the appearances of new variants of COVID-19, the breadth and duration of business dis</w:t>
      </w:r>
      <w:r>
        <w:rPr>
          <w:rFonts w:ascii="Arial" w:eastAsia="宋体" w:hAnsi="Arial" w:cs="Arial"/>
          <w:color w:val="000000"/>
          <w:sz w:val="20"/>
          <w:szCs w:val="20"/>
        </w:rPr>
        <w:t xml:space="preserve">ruptions related to COVID-19, the availability and distribution of effective treatments and vaccines, and public health measures and actions taken throughout the world to contain COVID-19. The prolonged effect of COVID-19 could materially adversely impact </w:t>
      </w:r>
      <w:r>
        <w:rPr>
          <w:rFonts w:ascii="Arial" w:eastAsia="宋体" w:hAnsi="Arial" w:cs="Arial"/>
          <w:color w:val="000000"/>
          <w:sz w:val="20"/>
          <w:szCs w:val="20"/>
        </w:rPr>
        <w:t>our business, financial condition and results of operations.</w:t>
      </w:r>
    </w:p>
    <w:p w14:paraId="59029A2D" w14:textId="77777777" w:rsidR="0084406A" w:rsidRDefault="002B18AF">
      <w:pPr>
        <w:spacing w:before="180"/>
        <w:jc w:val="both"/>
      </w:pPr>
      <w:r>
        <w:rPr>
          <w:rFonts w:ascii="Arial" w:eastAsia="宋体" w:hAnsi="Arial" w:cs="Arial"/>
          <w:b/>
          <w:bCs/>
          <w:i/>
          <w:iCs/>
          <w:color w:val="000000"/>
          <w:sz w:val="20"/>
          <w:szCs w:val="20"/>
        </w:rPr>
        <w:t>The markets in which our products are sold are highly competitive.</w:t>
      </w:r>
    </w:p>
    <w:p w14:paraId="59029A2E" w14:textId="77777777" w:rsidR="0084406A" w:rsidRDefault="002B18AF">
      <w:pPr>
        <w:spacing w:before="180"/>
        <w:jc w:val="both"/>
      </w:pPr>
      <w:r>
        <w:rPr>
          <w:rFonts w:ascii="Arial" w:eastAsia="宋体" w:hAnsi="Arial" w:cs="Arial"/>
          <w:color w:val="000000"/>
          <w:sz w:val="20"/>
          <w:szCs w:val="20"/>
        </w:rPr>
        <w:t>The markets in which our products are sold are very competitive and delivering the latest and best products to market on a timel</w:t>
      </w:r>
      <w:r>
        <w:rPr>
          <w:rFonts w:ascii="Arial" w:eastAsia="宋体" w:hAnsi="Arial" w:cs="Arial"/>
          <w:color w:val="000000"/>
          <w:sz w:val="20"/>
          <w:szCs w:val="20"/>
        </w:rPr>
        <w:t>y basis is critical to achieving revenue growth. We believe that the main factors that determine our product competitiveness are timely product introductions, product quality, product features and capabilities (including enabling state-of-the-art visual an</w:t>
      </w:r>
      <w:r>
        <w:rPr>
          <w:rFonts w:ascii="Arial" w:eastAsia="宋体" w:hAnsi="Arial" w:cs="Arial"/>
          <w:color w:val="000000"/>
          <w:sz w:val="20"/>
          <w:szCs w:val="20"/>
        </w:rPr>
        <w:t>d virtual reality experiences), energy efficiency (including power consumption and battery life), reliability, processor clock speed, performance, size (or form factor), selling price, cost, adherence to industry standards (and the creation of open industr</w:t>
      </w:r>
      <w:r>
        <w:rPr>
          <w:rFonts w:ascii="Arial" w:eastAsia="宋体" w:hAnsi="Arial" w:cs="Arial"/>
          <w:color w:val="000000"/>
          <w:sz w:val="20"/>
          <w:szCs w:val="20"/>
        </w:rPr>
        <w:t>y standards), level of integration, software and hardware compatibility, security and stability, brand recognition and availability.</w:t>
      </w:r>
    </w:p>
    <w:p w14:paraId="59029A2F" w14:textId="77777777" w:rsidR="0084406A" w:rsidRDefault="002B18AF">
      <w:pPr>
        <w:spacing w:before="180"/>
        <w:jc w:val="both"/>
      </w:pPr>
      <w:r>
        <w:rPr>
          <w:rFonts w:ascii="Arial" w:eastAsia="宋体" w:hAnsi="Arial" w:cs="Arial"/>
          <w:color w:val="000000"/>
          <w:sz w:val="20"/>
          <w:szCs w:val="20"/>
        </w:rPr>
        <w:t>We expect that competition will continue to be intense due to rapid technological changes, frequent product introductions b</w:t>
      </w:r>
      <w:r>
        <w:rPr>
          <w:rFonts w:ascii="Arial" w:eastAsia="宋体" w:hAnsi="Arial" w:cs="Arial"/>
          <w:color w:val="000000"/>
          <w:sz w:val="20"/>
          <w:szCs w:val="20"/>
        </w:rPr>
        <w:t xml:space="preserve">y our competitors or new competitors of products that may provide better performance/experience or that may include additional features that render our products comparatively less competitive. We may also face aggressive pricing by competitors, especially </w:t>
      </w:r>
      <w:r>
        <w:rPr>
          <w:rFonts w:ascii="Arial" w:eastAsia="宋体" w:hAnsi="Arial" w:cs="Arial"/>
          <w:color w:val="000000"/>
          <w:sz w:val="20"/>
          <w:szCs w:val="20"/>
        </w:rPr>
        <w:t>during challenging economic times. In addition, our competitors have significant marketing and sales resources which could increase the competitive environment in a declining market, leading to lower prices and margins. Some competitors may have greater ac</w:t>
      </w:r>
      <w:r>
        <w:rPr>
          <w:rFonts w:ascii="Arial" w:eastAsia="宋体" w:hAnsi="Arial" w:cs="Arial"/>
          <w:color w:val="000000"/>
          <w:sz w:val="20"/>
          <w:szCs w:val="20"/>
        </w:rPr>
        <w:t>cess or rights to complementary technologies, including interface, processor and memory technical information. For instance, with our APU products and other competing solutions with integrated graphics, we believe that demand for additional discrete graphi</w:t>
      </w:r>
      <w:r>
        <w:rPr>
          <w:rFonts w:ascii="Arial" w:eastAsia="宋体" w:hAnsi="Arial" w:cs="Arial"/>
          <w:color w:val="000000"/>
          <w:sz w:val="20"/>
          <w:szCs w:val="20"/>
        </w:rPr>
        <w:t>cs chips and cards may decrease in the future due to improvements in the quality and performance of integrated graphics. If competitors introduce competitive new products into the market before us, demand for our products could be adversely impacted and ou</w:t>
      </w:r>
      <w:r>
        <w:rPr>
          <w:rFonts w:ascii="Arial" w:eastAsia="宋体" w:hAnsi="Arial" w:cs="Arial"/>
          <w:color w:val="000000"/>
          <w:sz w:val="20"/>
          <w:szCs w:val="20"/>
        </w:rPr>
        <w:t>r business could be adversely affected. In addition, Intel is seeking to expand its position in integrated graphics for the PC market with high-end discrete graphics solutions for a broad range of computing segments, which may negatively impact our ability</w:t>
      </w:r>
      <w:r>
        <w:rPr>
          <w:rFonts w:ascii="Arial" w:eastAsia="宋体" w:hAnsi="Arial" w:cs="Arial"/>
          <w:color w:val="000000"/>
          <w:sz w:val="20"/>
          <w:szCs w:val="20"/>
        </w:rPr>
        <w:t xml:space="preserve"> to compete in these computing segments. We also face competition from companies that use competing computing architectures and platforms like the ARM architecture. Increased adoption of ARM-based semiconductor designs could lead to further growth and deve</w:t>
      </w:r>
      <w:r>
        <w:rPr>
          <w:rFonts w:ascii="Arial" w:eastAsia="宋体" w:hAnsi="Arial" w:cs="Arial"/>
          <w:color w:val="000000"/>
          <w:sz w:val="20"/>
          <w:szCs w:val="20"/>
        </w:rPr>
        <w:t xml:space="preserve">lopment of the ARM ecosystem. </w:t>
      </w:r>
    </w:p>
    <w:p w14:paraId="59029A30" w14:textId="77777777" w:rsidR="0084406A" w:rsidRDefault="002B18AF">
      <w:pPr>
        <w:spacing w:before="180"/>
        <w:jc w:val="both"/>
      </w:pPr>
      <w:r>
        <w:rPr>
          <w:rFonts w:ascii="Arial" w:eastAsia="宋体" w:hAnsi="Arial" w:cs="Arial"/>
          <w:color w:val="000000"/>
          <w:sz w:val="20"/>
          <w:szCs w:val="20"/>
        </w:rPr>
        <w:t>In addition, we are entering markets with current and new competitors who may be able to adapt more quickly to customer requirements and emerging technologies. We cannot assure you that we will be able to compete successfully</w:t>
      </w:r>
      <w:r>
        <w:rPr>
          <w:rFonts w:ascii="Arial" w:eastAsia="宋体" w:hAnsi="Arial" w:cs="Arial"/>
          <w:color w:val="000000"/>
          <w:sz w:val="20"/>
          <w:szCs w:val="20"/>
        </w:rPr>
        <w:t xml:space="preserve"> against current or new competitors who may have stronger positions in these new markets or superior ability to anticipate customer requirements and emerging industry trends. Furthermore, we may face competition from some of our customers who internally de</w:t>
      </w:r>
      <w:r>
        <w:rPr>
          <w:rFonts w:ascii="Arial" w:eastAsia="宋体" w:hAnsi="Arial" w:cs="Arial"/>
          <w:color w:val="000000"/>
          <w:sz w:val="20"/>
          <w:szCs w:val="20"/>
        </w:rPr>
        <w:t>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 xml:space="preserve">We may face delays or disruptions in research and development efforts, or we may be required to invest significantly greater resources in research and development than anticipated. Also, the semiconductor industry has </w:t>
      </w:r>
      <w:r>
        <w:rPr>
          <w:rFonts w:ascii="Arial" w:eastAsia="宋体" w:hAnsi="Arial" w:cs="Arial"/>
          <w:color w:val="000000"/>
          <w:sz w:val="20"/>
          <w:szCs w:val="20"/>
        </w:rPr>
        <w:t>seen several mergers and acquisitions over the last number of years. Further consolidation could adversely impact our business due to there being fewer suppliers, customers and partners in the industry.</w:t>
      </w:r>
    </w:p>
    <w:p w14:paraId="59029A31" w14:textId="77777777" w:rsidR="0084406A" w:rsidRDefault="002B18AF">
      <w:pPr>
        <w:jc w:val="center"/>
      </w:pPr>
      <w:r>
        <w:rPr>
          <w:rFonts w:ascii="Arial" w:eastAsia="宋体" w:hAnsi="Arial" w:cs="Arial"/>
          <w:color w:val="000000"/>
          <w:sz w:val="20"/>
          <w:szCs w:val="20"/>
        </w:rPr>
        <w:t>17</w:t>
      </w:r>
    </w:p>
    <w:p w14:paraId="59029A32" w14:textId="77777777" w:rsidR="0084406A" w:rsidRDefault="002B18AF">
      <w:r>
        <w:pict w14:anchorId="5902BB05">
          <v:rect id="_x0000_i1044" style="width:415.3pt;height:1.5pt" o:hralign="center" o:hrstd="t" o:hr="t" fillcolor="#a0a0a0" stroked="f"/>
        </w:pict>
      </w:r>
    </w:p>
    <w:p w14:paraId="59029A33" w14:textId="77777777" w:rsidR="0084406A" w:rsidRDefault="0084406A"/>
    <w:p w14:paraId="59029A34" w14:textId="77777777" w:rsidR="0084406A" w:rsidRDefault="002B18AF">
      <w:pPr>
        <w:spacing w:before="180"/>
        <w:jc w:val="both"/>
      </w:pPr>
      <w:r>
        <w:rPr>
          <w:rFonts w:ascii="Arial" w:eastAsia="宋体" w:hAnsi="Arial" w:cs="Arial"/>
          <w:b/>
          <w:bCs/>
          <w:i/>
          <w:iCs/>
          <w:color w:val="000000"/>
          <w:sz w:val="20"/>
          <w:szCs w:val="20"/>
        </w:rPr>
        <w:t xml:space="preserve">The demand for our products depends in part on </w:t>
      </w:r>
      <w:r>
        <w:rPr>
          <w:rFonts w:ascii="Arial" w:eastAsia="宋体" w:hAnsi="Arial" w:cs="Arial"/>
          <w:b/>
          <w:bCs/>
          <w:i/>
          <w:iCs/>
          <w:color w:val="000000"/>
          <w:sz w:val="20"/>
          <w:szCs w:val="20"/>
        </w:rPr>
        <w:t>the market conditions in the industries into which they are sold. Fluctuations in demand for our products or a market decline in any of these industries could have a material adverse effect on our results of operations.</w:t>
      </w:r>
    </w:p>
    <w:p w14:paraId="59029A35" w14:textId="77777777" w:rsidR="0084406A" w:rsidRDefault="002B18AF">
      <w:pPr>
        <w:spacing w:before="180"/>
        <w:jc w:val="both"/>
      </w:pPr>
      <w:r>
        <w:rPr>
          <w:rFonts w:ascii="Arial" w:eastAsia="宋体" w:hAnsi="Arial" w:cs="Arial"/>
          <w:color w:val="000000"/>
          <w:sz w:val="20"/>
          <w:szCs w:val="20"/>
        </w:rPr>
        <w:t>Industry-wide fluctuations in the co</w:t>
      </w:r>
      <w:r>
        <w:rPr>
          <w:rFonts w:ascii="Arial" w:eastAsia="宋体" w:hAnsi="Arial" w:cs="Arial"/>
          <w:color w:val="000000"/>
          <w:sz w:val="20"/>
          <w:szCs w:val="20"/>
        </w:rPr>
        <w:t xml:space="preserve">mputer marketplace have materially adversely affected us in the past and may materially adversely affect us in the future. A large portion of our Computing and Graphics revenue is focused on the consumer desktop PC and notebook segments, which have in the </w:t>
      </w:r>
      <w:r>
        <w:rPr>
          <w:rFonts w:ascii="Arial" w:eastAsia="宋体" w:hAnsi="Arial" w:cs="Arial"/>
          <w:color w:val="000000"/>
          <w:sz w:val="20"/>
          <w:szCs w:val="20"/>
        </w:rPr>
        <w:t>past experienced a decline driven by, among other factors, the adoption of smaller and other form factors, increased competition and changes in replacement cycles. The success of our semi-custom SoC products is dependent on securing customers for our semi-</w:t>
      </w:r>
      <w:r>
        <w:rPr>
          <w:rFonts w:ascii="Arial" w:eastAsia="宋体" w:hAnsi="Arial" w:cs="Arial"/>
          <w:color w:val="000000"/>
          <w:sz w:val="20"/>
          <w:szCs w:val="20"/>
        </w:rPr>
        <w:t>custom design pipeline and consumer market conditions, including the success of the Sony PlayStation®5, Microsoft® Xbox™ Series S and Microsoft® Xbox™ Series X game console systems and next generation consoles for Sony and Microsoft, worldwide. In addition</w:t>
      </w:r>
      <w:r>
        <w:rPr>
          <w:rFonts w:ascii="Arial" w:eastAsia="宋体" w:hAnsi="Arial" w:cs="Arial"/>
          <w:color w:val="000000"/>
          <w:sz w:val="20"/>
          <w:szCs w:val="20"/>
        </w:rPr>
        <w:t xml:space="preserve">, the GPU market has at times seen elevated demand due to the application of GPU products to cryptocurrency mining. For example, our GPU revenue has been affected in part by the volatility of the cryptocurrency mining market. Demand for cryptocurrency has </w:t>
      </w:r>
      <w:r>
        <w:rPr>
          <w:rFonts w:ascii="Arial" w:eastAsia="宋体" w:hAnsi="Arial" w:cs="Arial"/>
          <w:color w:val="000000"/>
          <w:sz w:val="20"/>
          <w:szCs w:val="20"/>
        </w:rPr>
        <w:t>changed and is likely to continue to change quickly. For example, South Korea has instituted restrictions on cryptocurrency trading and the valuations of the currencies and China has banned such activities, and corresponding interest in mining of such curr</w:t>
      </w:r>
      <w:r>
        <w:rPr>
          <w:rFonts w:ascii="Arial" w:eastAsia="宋体" w:hAnsi="Arial" w:cs="Arial"/>
          <w:color w:val="000000"/>
          <w:sz w:val="20"/>
          <w:szCs w:val="20"/>
        </w:rPr>
        <w:t>encies are subject to significant fluctuations. Alternatively, countries have created and may continue to create their own cryptocurrencies or equivalents that could also impact interest in mining. If we are unable to manage the risks related to the volati</w:t>
      </w:r>
      <w:r>
        <w:rPr>
          <w:rFonts w:ascii="Arial" w:eastAsia="宋体" w:hAnsi="Arial" w:cs="Arial"/>
          <w:color w:val="000000"/>
          <w:sz w:val="20"/>
          <w:szCs w:val="20"/>
        </w:rPr>
        <w:t>lity of the cryptocurrency mining market, our GPU business could be materially adversely affected.</w:t>
      </w:r>
    </w:p>
    <w:p w14:paraId="59029A36" w14:textId="77777777" w:rsidR="0084406A" w:rsidRDefault="002B18AF">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continue to materially ad</w:t>
      </w:r>
      <w:r>
        <w:rPr>
          <w:rFonts w:ascii="Arial" w:eastAsia="宋体" w:hAnsi="Arial" w:cs="Arial"/>
          <w:b/>
          <w:bCs/>
          <w:i/>
          <w:iCs/>
          <w:color w:val="000000"/>
          <w:sz w:val="20"/>
          <w:szCs w:val="20"/>
        </w:rPr>
        <w:t>versely affect, our business in the future.</w:t>
      </w:r>
    </w:p>
    <w:p w14:paraId="59029A37" w14:textId="77777777" w:rsidR="0084406A" w:rsidRDefault="002B18AF">
      <w:pPr>
        <w:spacing w:before="180"/>
        <w:jc w:val="both"/>
      </w:pPr>
      <w:r>
        <w:rPr>
          <w:rFonts w:ascii="Arial" w:eastAsia="宋体" w:hAnsi="Arial" w:cs="Arial"/>
          <w:color w:val="000000"/>
          <w:sz w:val="20"/>
          <w:szCs w:val="20"/>
        </w:rPr>
        <w:t>The semiconductor industry is highly cyclical and has experienced significant downturns, often in conjunction with constant and rapid technological change, wide fluctuations in supply and demand, continuous new p</w:t>
      </w:r>
      <w:r>
        <w:rPr>
          <w:rFonts w:ascii="Arial" w:eastAsia="宋体" w:hAnsi="Arial" w:cs="Arial"/>
          <w:color w:val="000000"/>
          <w:sz w:val="20"/>
          <w:szCs w:val="20"/>
        </w:rPr>
        <w:t>roduct introductions, price erosion and declines in general economic conditions. We have incurred substantial losses in recent downturns, due to substantial declines in average selling prices; the cyclical nature of supply and demand imbalances in the semi</w:t>
      </w:r>
      <w:r>
        <w:rPr>
          <w:rFonts w:ascii="Arial" w:eastAsia="宋体" w:hAnsi="Arial" w:cs="Arial"/>
          <w:color w:val="000000"/>
          <w:sz w:val="20"/>
          <w:szCs w:val="20"/>
        </w:rPr>
        <w:t xml:space="preserve">conductor industry; a decline in demand for end-user products (such as PCs) that incorporate our products; and excess inventory levels. </w:t>
      </w:r>
    </w:p>
    <w:p w14:paraId="59029A38" w14:textId="77777777" w:rsidR="0084406A" w:rsidRDefault="002B18AF">
      <w:pPr>
        <w:spacing w:before="180"/>
        <w:jc w:val="both"/>
      </w:pPr>
      <w:r>
        <w:rPr>
          <w:rFonts w:ascii="Arial" w:eastAsia="宋体" w:hAnsi="Arial" w:cs="Arial"/>
          <w:color w:val="000000"/>
          <w:sz w:val="20"/>
          <w:szCs w:val="20"/>
        </w:rPr>
        <w:t>Industry-wide fluctuations in the computer marketplace have materially adversely affected us in the past and may materi</w:t>
      </w:r>
      <w:r>
        <w:rPr>
          <w:rFonts w:ascii="Arial" w:eastAsia="宋体" w:hAnsi="Arial" w:cs="Arial"/>
          <w:color w:val="000000"/>
          <w:sz w:val="20"/>
          <w:szCs w:val="20"/>
        </w:rPr>
        <w:t>ally adversely affect us in the future. Global economic uncertainty and weakness have in the past impacted the semiconductor market as consumers and businesses have deferred purchases, which negatively impacted demand for our products. Our financial perfor</w:t>
      </w:r>
      <w:r>
        <w:rPr>
          <w:rFonts w:ascii="Arial" w:eastAsia="宋体" w:hAnsi="Arial" w:cs="Arial"/>
          <w:color w:val="000000"/>
          <w:sz w:val="20"/>
          <w:szCs w:val="20"/>
        </w:rPr>
        <w:t>mance has been, and may in the future be, negatively affected by these downturns.</w:t>
      </w:r>
    </w:p>
    <w:p w14:paraId="59029A39" w14:textId="77777777" w:rsidR="0084406A" w:rsidRDefault="002B18AF">
      <w:pPr>
        <w:spacing w:before="180"/>
        <w:jc w:val="both"/>
      </w:pPr>
      <w:r>
        <w:rPr>
          <w:rFonts w:ascii="Arial" w:eastAsia="宋体" w:hAnsi="Arial" w:cs="Arial"/>
          <w:color w:val="000000"/>
          <w:sz w:val="20"/>
          <w:szCs w:val="20"/>
        </w:rPr>
        <w:t>The growth of our business is also dependent on continued demand for our products from high-growth adjacent emerging global markets. Our ability to be successful in such mark</w:t>
      </w:r>
      <w:r>
        <w:rPr>
          <w:rFonts w:ascii="Arial" w:eastAsia="宋体" w:hAnsi="Arial" w:cs="Arial"/>
          <w:color w:val="000000"/>
          <w:sz w:val="20"/>
          <w:szCs w:val="20"/>
        </w:rPr>
        <w:t>ets depends in part on our ability to establish adequate local infrastructure, as well as our ability to cultivate and maintain local relationships in these markets. If demand from these markets is below our expectations, sales of our products may decrease</w:t>
      </w:r>
      <w:r>
        <w:rPr>
          <w:rFonts w:ascii="Arial" w:eastAsia="宋体" w:hAnsi="Arial" w:cs="Arial"/>
          <w:color w:val="000000"/>
          <w:sz w:val="20"/>
          <w:szCs w:val="20"/>
        </w:rPr>
        <w:t>, which would have a material adverse effect on us.</w:t>
      </w:r>
    </w:p>
    <w:p w14:paraId="59029A3A" w14:textId="77777777" w:rsidR="0084406A" w:rsidRDefault="002B18AF">
      <w:pPr>
        <w:spacing w:before="180"/>
        <w:jc w:val="both"/>
      </w:pPr>
      <w:r>
        <w:rPr>
          <w:rFonts w:ascii="Arial" w:eastAsia="宋体" w:hAnsi="Arial" w:cs="Arial"/>
          <w:b/>
          <w:bCs/>
          <w:i/>
          <w:iCs/>
          <w:color w:val="000000"/>
          <w:sz w:val="20"/>
          <w:szCs w:val="20"/>
        </w:rPr>
        <w:t>Our operating results are subject to quarterly and seasonal sales patterns.</w:t>
      </w:r>
    </w:p>
    <w:p w14:paraId="59029A3B" w14:textId="77777777" w:rsidR="0084406A" w:rsidRDefault="002B18AF">
      <w:pPr>
        <w:spacing w:before="180"/>
        <w:jc w:val="both"/>
      </w:pPr>
      <w:r>
        <w:rPr>
          <w:rFonts w:ascii="Arial" w:eastAsia="宋体" w:hAnsi="Arial" w:cs="Arial"/>
          <w:color w:val="000000"/>
          <w:sz w:val="20"/>
          <w:szCs w:val="20"/>
        </w:rPr>
        <w:t>The profile of our sales may be weighted differently during the year. A large portion of our quarterly sales have historically b</w:t>
      </w:r>
      <w:r>
        <w:rPr>
          <w:rFonts w:ascii="Arial" w:eastAsia="宋体" w:hAnsi="Arial" w:cs="Arial"/>
          <w:color w:val="000000"/>
          <w:sz w:val="20"/>
          <w:szCs w:val="20"/>
        </w:rPr>
        <w:t>een made in the last month of the quarter. This uneven sales pattern makes prediction of revenue for each financial period difficult and increases the risk of unanticipated variations in quarterly results and financial condition. In addition, our operating</w:t>
      </w:r>
      <w:r>
        <w:rPr>
          <w:rFonts w:ascii="Arial" w:eastAsia="宋体" w:hAnsi="Arial" w:cs="Arial"/>
          <w:color w:val="000000"/>
          <w:sz w:val="20"/>
          <w:szCs w:val="20"/>
        </w:rPr>
        <w:t xml:space="preserve"> results tend to vary seasonally with the markets in which our products are sold. For example, historically, our net revenue has been generally higher in the second half of the year than in the first half of the year, although market conditions and product</w:t>
      </w:r>
      <w:r>
        <w:rPr>
          <w:rFonts w:ascii="Arial" w:eastAsia="宋体" w:hAnsi="Arial" w:cs="Arial"/>
          <w:color w:val="000000"/>
          <w:sz w:val="20"/>
          <w:szCs w:val="20"/>
        </w:rPr>
        <w:t xml:space="preserve"> transitions could impact these trends. Many of the factors that create and affect quarterly and seasonal trends are beyond our control.</w:t>
      </w:r>
    </w:p>
    <w:p w14:paraId="59029A3C" w14:textId="77777777" w:rsidR="0084406A" w:rsidRDefault="002B18AF">
      <w:pPr>
        <w:jc w:val="center"/>
      </w:pPr>
      <w:r>
        <w:rPr>
          <w:rFonts w:ascii="Arial" w:eastAsia="宋体" w:hAnsi="Arial" w:cs="Arial"/>
          <w:color w:val="000000"/>
          <w:sz w:val="20"/>
          <w:szCs w:val="20"/>
        </w:rPr>
        <w:t>18</w:t>
      </w:r>
    </w:p>
    <w:p w14:paraId="59029A3D" w14:textId="77777777" w:rsidR="0084406A" w:rsidRDefault="002B18AF">
      <w:r>
        <w:pict w14:anchorId="5902BB06">
          <v:rect id="_x0000_i1045" style="width:415.3pt;height:1.5pt" o:hralign="center" o:hrstd="t" o:hr="t" fillcolor="#a0a0a0" stroked="f"/>
        </w:pict>
      </w:r>
    </w:p>
    <w:p w14:paraId="59029A3E" w14:textId="77777777" w:rsidR="0084406A" w:rsidRDefault="0084406A"/>
    <w:p w14:paraId="59029A3F" w14:textId="77777777" w:rsidR="0084406A" w:rsidRDefault="002B18AF">
      <w:pPr>
        <w:spacing w:before="180"/>
        <w:jc w:val="both"/>
      </w:pPr>
      <w:r>
        <w:rPr>
          <w:rFonts w:ascii="Arial" w:eastAsia="宋体" w:hAnsi="Arial" w:cs="Arial"/>
          <w:b/>
          <w:bCs/>
          <w:i/>
          <w:iCs/>
          <w:color w:val="000000"/>
          <w:sz w:val="20"/>
          <w:szCs w:val="20"/>
        </w:rPr>
        <w:t>If we cannot adequately protect our technology or other intellectual property in the United States and abroad, th</w:t>
      </w:r>
      <w:r>
        <w:rPr>
          <w:rFonts w:ascii="Arial" w:eastAsia="宋体" w:hAnsi="Arial" w:cs="Arial"/>
          <w:b/>
          <w:bCs/>
          <w:i/>
          <w:iCs/>
          <w:color w:val="000000"/>
          <w:sz w:val="20"/>
          <w:szCs w:val="20"/>
        </w:rPr>
        <w:t>rough patents, copyrights, trade secrets, trademarks and other measures, we may lose a competitive advantage and incur significant expenses.</w:t>
      </w:r>
    </w:p>
    <w:p w14:paraId="59029A40" w14:textId="77777777" w:rsidR="0084406A" w:rsidRDefault="002B18AF">
      <w:pPr>
        <w:spacing w:before="180"/>
        <w:jc w:val="both"/>
      </w:pPr>
      <w:r>
        <w:rPr>
          <w:rFonts w:ascii="Arial" w:eastAsia="宋体" w:hAnsi="Arial" w:cs="Arial"/>
          <w:color w:val="000000"/>
          <w:sz w:val="20"/>
          <w:szCs w:val="20"/>
        </w:rPr>
        <w:t>We rely on a combination of protections provided by contracts, including confidentiality and nondisclosure agreemen</w:t>
      </w:r>
      <w:r>
        <w:rPr>
          <w:rFonts w:ascii="Arial" w:eastAsia="宋体" w:hAnsi="Arial" w:cs="Arial"/>
          <w:color w:val="000000"/>
          <w:sz w:val="20"/>
          <w:szCs w:val="20"/>
        </w:rPr>
        <w:t xml:space="preserve">ts, copyrights, patents, trademarks and common law rights, such as trade secrets, to protect our intellectual property. However, we cannot assure you that we will be able to adequately protect our technology or other intellectual property from third-party </w:t>
      </w:r>
      <w:r>
        <w:rPr>
          <w:rFonts w:ascii="Arial" w:eastAsia="宋体" w:hAnsi="Arial" w:cs="Arial"/>
          <w:color w:val="000000"/>
          <w:sz w:val="20"/>
          <w:szCs w:val="20"/>
        </w:rPr>
        <w:t>infringement or from misappropriation in the United States and abroad. Any patent licensed by us or issued to us could be challenged, invalidated, expire, or circumvented or rights granted thereunder may not provide a competitive advantage to us. Also, due</w:t>
      </w:r>
      <w:r>
        <w:rPr>
          <w:rFonts w:ascii="Arial" w:eastAsia="宋体" w:hAnsi="Arial" w:cs="Arial"/>
          <w:color w:val="000000"/>
          <w:sz w:val="20"/>
          <w:szCs w:val="20"/>
        </w:rPr>
        <w:t xml:space="preserve"> to measures to slow down the spread of COVID-19, various patent offices and courts have been adversely impacted and there is a potential for delay or disruptions that might affect certain of our patent rights.</w:t>
      </w:r>
    </w:p>
    <w:p w14:paraId="59029A41" w14:textId="77777777" w:rsidR="0084406A" w:rsidRDefault="002B18AF">
      <w:pPr>
        <w:spacing w:before="180"/>
        <w:jc w:val="both"/>
      </w:pPr>
      <w:r>
        <w:rPr>
          <w:rFonts w:ascii="Arial" w:eastAsia="宋体" w:hAnsi="Arial" w:cs="Arial"/>
          <w:color w:val="000000"/>
          <w:sz w:val="20"/>
          <w:szCs w:val="20"/>
        </w:rPr>
        <w:t>Furthermore, patent applications that we file</w:t>
      </w:r>
      <w:r>
        <w:rPr>
          <w:rFonts w:ascii="Arial" w:eastAsia="宋体" w:hAnsi="Arial" w:cs="Arial"/>
          <w:color w:val="000000"/>
          <w:sz w:val="20"/>
          <w:szCs w:val="20"/>
        </w:rPr>
        <w:t xml:space="preserve"> may not result in issuance of a patent or, if a patent is issued, the patent may not be issued in a form that is advantageous to us. Despite our efforts to protect our intellectual property rights, others may independently develop similar products, duplic</w:t>
      </w:r>
      <w:r>
        <w:rPr>
          <w:rFonts w:ascii="Arial" w:eastAsia="宋体" w:hAnsi="Arial" w:cs="Arial"/>
          <w:color w:val="000000"/>
          <w:sz w:val="20"/>
          <w:szCs w:val="20"/>
        </w:rPr>
        <w:t>ate our products or design around our patents and other rights. In addition, it is difficult to monitor compliance with, and enforce, our intellectual property on a worldwide basis in a cost-effective manner. In jurisdictions where foreign laws provide les</w:t>
      </w:r>
      <w:r>
        <w:rPr>
          <w:rFonts w:ascii="Arial" w:eastAsia="宋体" w:hAnsi="Arial" w:cs="Arial"/>
          <w:color w:val="000000"/>
          <w:sz w:val="20"/>
          <w:szCs w:val="20"/>
        </w:rPr>
        <w:t>s intellectual property protection than afforded in the United States and abroad, our technology or other intellectual property may be compromised, and our business would be materially adversely affected.</w:t>
      </w:r>
    </w:p>
    <w:p w14:paraId="59029A42" w14:textId="77777777" w:rsidR="0084406A" w:rsidRDefault="002B18AF">
      <w:pPr>
        <w:spacing w:before="180"/>
        <w:jc w:val="both"/>
      </w:pPr>
      <w:r>
        <w:rPr>
          <w:rFonts w:ascii="Arial" w:eastAsia="宋体" w:hAnsi="Arial" w:cs="Arial"/>
          <w:b/>
          <w:bCs/>
          <w:i/>
          <w:iCs/>
          <w:color w:val="000000"/>
          <w:sz w:val="20"/>
          <w:szCs w:val="20"/>
        </w:rPr>
        <w:t>Unfavorable currency exchange rate fluctuations cou</w:t>
      </w:r>
      <w:r>
        <w:rPr>
          <w:rFonts w:ascii="Arial" w:eastAsia="宋体" w:hAnsi="Arial" w:cs="Arial"/>
          <w:b/>
          <w:bCs/>
          <w:i/>
          <w:iCs/>
          <w:color w:val="000000"/>
          <w:sz w:val="20"/>
          <w:szCs w:val="20"/>
        </w:rPr>
        <w:t>ld adversely affect us.</w:t>
      </w:r>
    </w:p>
    <w:p w14:paraId="59029A43" w14:textId="77777777" w:rsidR="0084406A" w:rsidRDefault="002B18AF">
      <w:pPr>
        <w:spacing w:before="180"/>
        <w:jc w:val="both"/>
      </w:pPr>
      <w:r>
        <w:rPr>
          <w:rFonts w:ascii="Arial" w:eastAsia="宋体" w:hAnsi="Arial" w:cs="Arial"/>
          <w:color w:val="000000"/>
          <w:sz w:val="20"/>
          <w:szCs w:val="20"/>
        </w:rPr>
        <w:t xml:space="preserve">We have costs, assets and liabilities that are denominated in foreign currencies. As a consequence, movements in exchange rates could cause our foreign currency denominated expenses to increase as a percentage of revenue, affecting </w:t>
      </w:r>
      <w:r>
        <w:rPr>
          <w:rFonts w:ascii="Arial" w:eastAsia="宋体" w:hAnsi="Arial" w:cs="Arial"/>
          <w:color w:val="000000"/>
          <w:sz w:val="20"/>
          <w:szCs w:val="20"/>
        </w:rPr>
        <w:t>our profitability and cash flows. Whenever we believe appropriate, we hedge a portion of our short-term foreign currency exposure to protect against fluctuations in currency exchange rates. We determine our total foreign currency exposure using projections</w:t>
      </w:r>
      <w:r>
        <w:rPr>
          <w:rFonts w:ascii="Arial" w:eastAsia="宋体" w:hAnsi="Arial" w:cs="Arial"/>
          <w:color w:val="000000"/>
          <w:sz w:val="20"/>
          <w:szCs w:val="20"/>
        </w:rPr>
        <w:t xml:space="preserve"> of long-term expenditures for items such as payroll. We cannot assure you that these activities will be effective in reducing foreign exchange rate exposure. Failure to do so could have an adverse effect on our business, financial condition, results of op</w:t>
      </w:r>
      <w:r>
        <w:rPr>
          <w:rFonts w:ascii="Arial" w:eastAsia="宋体" w:hAnsi="Arial" w:cs="Arial"/>
          <w:color w:val="000000"/>
          <w:sz w:val="20"/>
          <w:szCs w:val="20"/>
        </w:rPr>
        <w:t>erations and cash flow. In addition, the majority of our product sales are denominated in U.S. dollars. Fluctuations in the exchange rate between the U.S. dollar and the local currency can cause increases or decreases in the cost of our products in the loc</w:t>
      </w:r>
      <w:r>
        <w:rPr>
          <w:rFonts w:ascii="Arial" w:eastAsia="宋体" w:hAnsi="Arial" w:cs="Arial"/>
          <w:color w:val="000000"/>
          <w:sz w:val="20"/>
          <w:szCs w:val="20"/>
        </w:rPr>
        <w:t>al currency of such customers. An appreciation of the U.S. dollar relative to the local currency could reduce sales of our products.</w:t>
      </w:r>
    </w:p>
    <w:p w14:paraId="59029A44" w14:textId="77777777" w:rsidR="0084406A" w:rsidRDefault="002B18AF">
      <w:pPr>
        <w:spacing w:before="180"/>
        <w:jc w:val="both"/>
      </w:pPr>
      <w:r>
        <w:rPr>
          <w:rFonts w:ascii="Arial" w:eastAsia="宋体" w:hAnsi="Arial" w:cs="Arial"/>
          <w:b/>
          <w:bCs/>
          <w:color w:val="000000"/>
          <w:sz w:val="20"/>
          <w:szCs w:val="20"/>
        </w:rPr>
        <w:t>Operational and Technology Risks</w:t>
      </w:r>
    </w:p>
    <w:p w14:paraId="59029A45" w14:textId="77777777" w:rsidR="0084406A" w:rsidRDefault="002B18AF">
      <w:pPr>
        <w:spacing w:before="180"/>
        <w:jc w:val="both"/>
      </w:pPr>
      <w:r>
        <w:rPr>
          <w:rFonts w:ascii="Arial" w:eastAsia="宋体" w:hAnsi="Arial" w:cs="Arial"/>
          <w:b/>
          <w:bCs/>
          <w:i/>
          <w:iCs/>
          <w:color w:val="000000"/>
          <w:sz w:val="20"/>
          <w:szCs w:val="20"/>
        </w:rPr>
        <w:t>We rely on third parties to manufacture our products, and if they are unable to do so on a</w:t>
      </w:r>
      <w:r>
        <w:rPr>
          <w:rFonts w:ascii="Arial" w:eastAsia="宋体" w:hAnsi="Arial" w:cs="Arial"/>
          <w:b/>
          <w:bCs/>
          <w:i/>
          <w:iCs/>
          <w:color w:val="000000"/>
          <w:sz w:val="20"/>
          <w:szCs w:val="20"/>
        </w:rPr>
        <w:t xml:space="preserve"> timely basis in sufficient quantities and using competitive technologies, our business could be materially adversely affected.</w:t>
      </w:r>
    </w:p>
    <w:p w14:paraId="59029A46" w14:textId="77777777" w:rsidR="0084406A" w:rsidRDefault="002B18AF">
      <w:pPr>
        <w:spacing w:before="180"/>
        <w:jc w:val="both"/>
      </w:pPr>
      <w:r>
        <w:rPr>
          <w:rFonts w:ascii="Arial" w:eastAsia="宋体" w:hAnsi="Arial" w:cs="Arial"/>
          <w:color w:val="000000"/>
          <w:sz w:val="20"/>
          <w:szCs w:val="20"/>
        </w:rPr>
        <w:t xml:space="preserve">We utilize third-party wafer foundries to fabricate the silicon wafers for all of our products. We rely on Taiwan </w:t>
      </w:r>
      <w:r>
        <w:rPr>
          <w:rFonts w:ascii="Arial" w:eastAsia="宋体" w:hAnsi="Arial" w:cs="Arial"/>
          <w:color w:val="000000"/>
          <w:sz w:val="20"/>
          <w:szCs w:val="20"/>
        </w:rPr>
        <w:t>Semiconductor Manufacturing Company Limited (TSMC) for the production of all wafers for products at 7 nanometer (nm) or smaller nodes, and we rely primarily on GLOBALFOUNDRIES Inc. (GF) for wafers for products manufactured at process nodes larger than 7 nm</w:t>
      </w:r>
      <w:r>
        <w:rPr>
          <w:rFonts w:ascii="Arial" w:eastAsia="宋体" w:hAnsi="Arial" w:cs="Arial"/>
          <w:color w:val="000000"/>
          <w:sz w:val="20"/>
          <w:szCs w:val="20"/>
        </w:rPr>
        <w:t xml:space="preserve">. We also rely on third-party manufacturers to assemble, test, mark and pack (ATMP) our products. It is important to have reliable relationships with all of these third-party manufacturing suppliers to ensure adequate product supply to respond to customer </w:t>
      </w:r>
      <w:r>
        <w:rPr>
          <w:rFonts w:ascii="Arial" w:eastAsia="宋体" w:hAnsi="Arial" w:cs="Arial"/>
          <w:color w:val="000000"/>
          <w:sz w:val="20"/>
          <w:szCs w:val="20"/>
        </w:rPr>
        <w:t>demand.</w:t>
      </w:r>
    </w:p>
    <w:p w14:paraId="59029A47" w14:textId="77777777" w:rsidR="0084406A" w:rsidRDefault="002B18AF">
      <w:pPr>
        <w:spacing w:before="180"/>
        <w:jc w:val="both"/>
      </w:pPr>
      <w:r>
        <w:rPr>
          <w:rFonts w:ascii="Arial" w:eastAsia="宋体" w:hAnsi="Arial" w:cs="Arial"/>
          <w:color w:val="000000"/>
          <w:sz w:val="20"/>
          <w:szCs w:val="20"/>
        </w:rPr>
        <w:t>We cannot guarantee that these manufacturers or our other third-party manufacturing suppliers will be able to meet our near-term or long-term manufacturing requirements. If we experience supply constraints from our third-party manufacturing supplie</w:t>
      </w:r>
      <w:r>
        <w:rPr>
          <w:rFonts w:ascii="Arial" w:eastAsia="宋体" w:hAnsi="Arial" w:cs="Arial"/>
          <w:color w:val="000000"/>
          <w:sz w:val="20"/>
          <w:szCs w:val="20"/>
        </w:rPr>
        <w:t>rs, we may be required to allocate the affected products amongst our customers, which could have a material adverse effect on our relationships with these customers and on our financial condition. In addition, if we are unable to meet customer demand due t</w:t>
      </w:r>
      <w:r>
        <w:rPr>
          <w:rFonts w:ascii="Arial" w:eastAsia="宋体" w:hAnsi="Arial" w:cs="Arial"/>
          <w:color w:val="000000"/>
          <w:sz w:val="20"/>
          <w:szCs w:val="20"/>
        </w:rPr>
        <w:t xml:space="preserve">o fluctuating or late supply from our manufacturing suppliers, it could result in lost sales and have a material adverse effect on our business. For example, if TSMC is not able to manufacture wafers for our products at 7 nm or smaller nodes in sufficient </w:t>
      </w:r>
      <w:r>
        <w:rPr>
          <w:rFonts w:ascii="Arial" w:eastAsia="宋体" w:hAnsi="Arial" w:cs="Arial"/>
          <w:color w:val="000000"/>
          <w:sz w:val="20"/>
          <w:szCs w:val="20"/>
        </w:rPr>
        <w:t>quantities to meet customer demand, it could have a material adverse effect on our business.</w:t>
      </w:r>
    </w:p>
    <w:p w14:paraId="59029A48" w14:textId="77777777" w:rsidR="0084406A" w:rsidRDefault="002B18AF">
      <w:pPr>
        <w:jc w:val="center"/>
      </w:pPr>
      <w:r>
        <w:rPr>
          <w:rFonts w:ascii="Arial" w:eastAsia="宋体" w:hAnsi="Arial" w:cs="Arial"/>
          <w:color w:val="000000"/>
          <w:sz w:val="20"/>
          <w:szCs w:val="20"/>
        </w:rPr>
        <w:t>19</w:t>
      </w:r>
    </w:p>
    <w:p w14:paraId="59029A49" w14:textId="77777777" w:rsidR="0084406A" w:rsidRDefault="002B18AF">
      <w:r>
        <w:pict w14:anchorId="5902BB07">
          <v:rect id="_x0000_i1046" style="width:415.3pt;height:1.5pt" o:hralign="center" o:hrstd="t" o:hr="t" fillcolor="#a0a0a0" stroked="f"/>
        </w:pict>
      </w:r>
    </w:p>
    <w:p w14:paraId="59029A4A" w14:textId="77777777" w:rsidR="0084406A" w:rsidRDefault="0084406A"/>
    <w:p w14:paraId="59029A4B" w14:textId="77777777" w:rsidR="0084406A" w:rsidRDefault="002B18AF">
      <w:pPr>
        <w:spacing w:before="180"/>
        <w:jc w:val="both"/>
      </w:pPr>
      <w:r>
        <w:rPr>
          <w:rFonts w:ascii="Arial" w:eastAsia="宋体" w:hAnsi="Arial" w:cs="Arial"/>
          <w:color w:val="000000"/>
          <w:sz w:val="20"/>
          <w:szCs w:val="20"/>
        </w:rPr>
        <w:t>We do not have long-term commitment contracts with some of our third-party manufacturing suppliers. We obtain some of these manufacturing services on a purch</w:t>
      </w:r>
      <w:r>
        <w:rPr>
          <w:rFonts w:ascii="Arial" w:eastAsia="宋体" w:hAnsi="Arial" w:cs="Arial"/>
          <w:color w:val="000000"/>
          <w:sz w:val="20"/>
          <w:szCs w:val="20"/>
        </w:rPr>
        <w:t>ase order basis and these manufacturers are not required to provide us with any specified minimum quantity of product beyond the quantities in an existing purchase order. Accordingly, we depend on these suppliers to allocate to us a portion of their manufa</w:t>
      </w:r>
      <w:r>
        <w:rPr>
          <w:rFonts w:ascii="Arial" w:eastAsia="宋体" w:hAnsi="Arial" w:cs="Arial"/>
          <w:color w:val="000000"/>
          <w:sz w:val="20"/>
          <w:szCs w:val="20"/>
        </w:rPr>
        <w:t>cturing capacity sufficient to meet our needs, to produce products of acceptable quality and at acceptable manufacturing yields and to deliver those products to us on a timely basis and at acceptable prices. The manufacturers we use also fabricate wafers a</w:t>
      </w:r>
      <w:r>
        <w:rPr>
          <w:rFonts w:ascii="Arial" w:eastAsia="宋体" w:hAnsi="Arial" w:cs="Arial"/>
          <w:color w:val="000000"/>
          <w:sz w:val="20"/>
          <w:szCs w:val="20"/>
        </w:rPr>
        <w:t>nd ATMP products for other companies, including certain of our competitors. They could choose to prioritize capacity for other customers, increase the prices that they charge us on short notice, require prepayments, or reduce or eliminate deliveries to us,</w:t>
      </w:r>
      <w:r>
        <w:rPr>
          <w:rFonts w:ascii="Arial" w:eastAsia="宋体" w:hAnsi="Arial" w:cs="Arial"/>
          <w:color w:val="000000"/>
          <w:sz w:val="20"/>
          <w:szCs w:val="20"/>
        </w:rPr>
        <w:t xml:space="preserve"> which could have a material adverse effect on our business.</w:t>
      </w:r>
    </w:p>
    <w:p w14:paraId="59029A4C" w14:textId="77777777" w:rsidR="0084406A" w:rsidRDefault="002B18AF">
      <w:pPr>
        <w:spacing w:before="180"/>
        <w:jc w:val="both"/>
      </w:pPr>
      <w:r>
        <w:rPr>
          <w:rFonts w:ascii="Arial" w:eastAsia="宋体" w:hAnsi="Arial" w:cs="Arial"/>
          <w:color w:val="000000"/>
          <w:sz w:val="20"/>
          <w:szCs w:val="20"/>
        </w:rPr>
        <w:t>Other risks associated with our dependence on third-party manufacturers include limited control over delivery schedules, quality assurance and price increases, lack of capacity in periods of exce</w:t>
      </w:r>
      <w:r>
        <w:rPr>
          <w:rFonts w:ascii="Arial" w:eastAsia="宋体" w:hAnsi="Arial" w:cs="Arial"/>
          <w:color w:val="000000"/>
          <w:sz w:val="20"/>
          <w:szCs w:val="20"/>
        </w:rPr>
        <w:t>ss demand, misappropriation of our intellectual property, dependence on several subcontractors, and limited ability to manage inventory and parts. Moreover, if any of our third-party manufacturers suffer any damage to facilities, lose benefits under materi</w:t>
      </w:r>
      <w:r>
        <w:rPr>
          <w:rFonts w:ascii="Arial" w:eastAsia="宋体" w:hAnsi="Arial" w:cs="Arial"/>
          <w:color w:val="000000"/>
          <w:sz w:val="20"/>
          <w:szCs w:val="20"/>
        </w:rPr>
        <w:t>al agreements, experience power outages, lack sufficient capacity to manufacture our products, encounter financial difficulties, are unable to secure necessary raw materials from their suppliers, suffer any other disruption or reduction in efficiency, or e</w:t>
      </w:r>
      <w:r>
        <w:rPr>
          <w:rFonts w:ascii="Arial" w:eastAsia="宋体" w:hAnsi="Arial" w:cs="Arial"/>
          <w:color w:val="000000"/>
          <w:sz w:val="20"/>
          <w:szCs w:val="20"/>
        </w:rPr>
        <w:t>xperience uncertain social economic or political circumstances or conditions, we may encounter supply delays or disruptions. If we are unable to secure sufficient or reliable supplies of products, our ability to meet customer demand may be adversely affect</w:t>
      </w:r>
      <w:r>
        <w:rPr>
          <w:rFonts w:ascii="Arial" w:eastAsia="宋体" w:hAnsi="Arial" w:cs="Arial"/>
          <w:color w:val="000000"/>
          <w:sz w:val="20"/>
          <w:szCs w:val="20"/>
        </w:rPr>
        <w:t>ed and this could materially affect our business.</w:t>
      </w:r>
    </w:p>
    <w:p w14:paraId="59029A4D" w14:textId="77777777" w:rsidR="0084406A" w:rsidRDefault="002B18AF">
      <w:pPr>
        <w:spacing w:before="180"/>
        <w:jc w:val="both"/>
      </w:pPr>
      <w:r>
        <w:rPr>
          <w:rFonts w:ascii="Arial" w:eastAsia="宋体" w:hAnsi="Arial" w:cs="Arial"/>
          <w:color w:val="000000"/>
          <w:sz w:val="20"/>
          <w:szCs w:val="20"/>
        </w:rPr>
        <w:t>If we transition the production of some of our products to new manufacturers, we may experience delayed product introductions, lower yields or poorer performance of our products. If we experience problems w</w:t>
      </w:r>
      <w:r>
        <w:rPr>
          <w:rFonts w:ascii="Arial" w:eastAsia="宋体" w:hAnsi="Arial" w:cs="Arial"/>
          <w:color w:val="000000"/>
          <w:sz w:val="20"/>
          <w:szCs w:val="20"/>
        </w:rPr>
        <w:t>ith product quality or are unable to secure sufficient capacity from a particular third-party manufacturer, or if we for other reasons cease utilizing one of those suppliers, we may be unable to secure an alternative supply for any specific product in a sh</w:t>
      </w:r>
      <w:r>
        <w:rPr>
          <w:rFonts w:ascii="Arial" w:eastAsia="宋体" w:hAnsi="Arial" w:cs="Arial"/>
          <w:color w:val="000000"/>
          <w:sz w:val="20"/>
          <w:szCs w:val="20"/>
        </w:rPr>
        <w:t>ort time frame. We could experience significant delays in the shipment of our products if we are required to find alternative third-party manufacturers, which could have a material adverse effect on our business.</w:t>
      </w:r>
    </w:p>
    <w:p w14:paraId="59029A4E" w14:textId="77777777" w:rsidR="0084406A" w:rsidRDefault="002B18AF">
      <w:pPr>
        <w:spacing w:before="180"/>
        <w:jc w:val="both"/>
      </w:pPr>
      <w:r>
        <w:rPr>
          <w:rFonts w:ascii="Arial" w:eastAsia="宋体" w:hAnsi="Arial" w:cs="Arial"/>
          <w:color w:val="000000"/>
          <w:sz w:val="20"/>
          <w:szCs w:val="20"/>
        </w:rPr>
        <w:t xml:space="preserve">We are a party to a wafer supply agreement </w:t>
      </w:r>
      <w:r>
        <w:rPr>
          <w:rFonts w:ascii="Arial" w:eastAsia="宋体" w:hAnsi="Arial" w:cs="Arial"/>
          <w:color w:val="000000"/>
          <w:sz w:val="20"/>
          <w:szCs w:val="20"/>
        </w:rPr>
        <w:t>(WSA) with GF that governs the terms by which we purchase products manufactured by GF, and this agreement is in place through 2025. In May 2021, we entered into an amendment to the WSA, and in December 2021, we further amended these terms (the “Amendment”)</w:t>
      </w:r>
      <w:r>
        <w:rPr>
          <w:rFonts w:ascii="Arial" w:eastAsia="宋体" w:hAnsi="Arial" w:cs="Arial"/>
          <w:color w:val="000000"/>
          <w:sz w:val="20"/>
          <w:szCs w:val="20"/>
        </w:rPr>
        <w:t>. Under the Amendment, GF will provide a minimum annual capacity allocation to us for years 2022 through 2025 and AMD has corresponding annual wafer purchase targets. If we do not meet the annual wafer purchase target for any of these years, we will be req</w:t>
      </w:r>
      <w:r>
        <w:rPr>
          <w:rFonts w:ascii="Arial" w:eastAsia="宋体" w:hAnsi="Arial" w:cs="Arial"/>
          <w:color w:val="000000"/>
          <w:sz w:val="20"/>
          <w:szCs w:val="20"/>
        </w:rPr>
        <w:t>uired to pay to GF a portion of the difference between the actual wafer purchases and the wafer purchase target for that year. AMD and GF also have agreed to wafer pricing through 2025, and AMD is obligated to pre-pay GF certain amounts for those wafers in</w:t>
      </w:r>
      <w:r>
        <w:rPr>
          <w:rFonts w:ascii="Arial" w:eastAsia="宋体" w:hAnsi="Arial" w:cs="Arial"/>
          <w:color w:val="000000"/>
          <w:sz w:val="20"/>
          <w:szCs w:val="20"/>
        </w:rPr>
        <w:t xml:space="preserve"> 2022 and 2023. The Amendment no longer includes any exclusivity commitments and provides us with full flexibility to contract with any wafer foundry with respect to all products manufactured at any technology node. If our actual wafer requirements are les</w:t>
      </w:r>
      <w:r>
        <w:rPr>
          <w:rFonts w:ascii="Arial" w:eastAsia="宋体" w:hAnsi="Arial" w:cs="Arial"/>
          <w:color w:val="000000"/>
          <w:sz w:val="20"/>
          <w:szCs w:val="20"/>
        </w:rPr>
        <w:t xml:space="preserve">s than the number of wafers required to meet the applicable annual wafer purchase target, we could have excess inventory or higher inventory unit costs, both of which may adversely impact our gross margin and our results of operations. If GF fails to meet </w:t>
      </w:r>
      <w:r>
        <w:rPr>
          <w:rFonts w:ascii="Arial" w:eastAsia="宋体" w:hAnsi="Arial" w:cs="Arial"/>
          <w:color w:val="000000"/>
          <w:sz w:val="20"/>
          <w:szCs w:val="20"/>
        </w:rPr>
        <w:t>its minimum annual capacity allocation obligations, we could experience significant delays in the shipment of our products, which could have a material adverse effect on our busines</w:t>
      </w:r>
      <w:r>
        <w:rPr>
          <w:rFonts w:ascii="sans-serif" w:eastAsia="宋体" w:hAnsi="sans-serif" w:cs="sans-serif"/>
          <w:color w:val="000000"/>
          <w:sz w:val="22"/>
          <w:szCs w:val="22"/>
        </w:rPr>
        <w:t>s.</w:t>
      </w:r>
    </w:p>
    <w:p w14:paraId="59029A4F" w14:textId="77777777" w:rsidR="0084406A" w:rsidRDefault="002B18AF">
      <w:pPr>
        <w:spacing w:before="180"/>
        <w:jc w:val="both"/>
      </w:pPr>
      <w:r>
        <w:rPr>
          <w:rFonts w:ascii="Arial" w:eastAsia="宋体" w:hAnsi="Arial" w:cs="Arial"/>
          <w:color w:val="000000"/>
          <w:sz w:val="20"/>
          <w:szCs w:val="20"/>
        </w:rPr>
        <w:t>We are party to two ATMP joint ventures (collectively, the ATMP JVs) with affiliates of Tongfu Microelectronics Co., Ltd. The majority of our ATMP services are provided by the ATMP JVs and there is no guarantee that the ATMP JVs will be able to fulfill our</w:t>
      </w:r>
      <w:r>
        <w:rPr>
          <w:rFonts w:ascii="Arial" w:eastAsia="宋体" w:hAnsi="Arial" w:cs="Arial"/>
          <w:color w:val="000000"/>
          <w:sz w:val="20"/>
          <w:szCs w:val="20"/>
        </w:rPr>
        <w:t xml:space="preserve"> long-term ATMP requirements. If we are unable to meet customer demand due to fluctuating or late supply from the ATMP JVs, it could result in lost sales and have a material adverse effect on our business. </w:t>
      </w:r>
    </w:p>
    <w:p w14:paraId="59029A50" w14:textId="77777777" w:rsidR="0084406A" w:rsidRDefault="002B18AF">
      <w:pPr>
        <w:jc w:val="center"/>
      </w:pPr>
      <w:r>
        <w:rPr>
          <w:rFonts w:ascii="Arial" w:eastAsia="宋体" w:hAnsi="Arial" w:cs="Arial"/>
          <w:color w:val="000000"/>
          <w:sz w:val="20"/>
          <w:szCs w:val="20"/>
        </w:rPr>
        <w:t>20</w:t>
      </w:r>
    </w:p>
    <w:p w14:paraId="59029A51" w14:textId="77777777" w:rsidR="0084406A" w:rsidRDefault="002B18AF">
      <w:r>
        <w:pict w14:anchorId="5902BB08">
          <v:rect id="_x0000_i1047" style="width:415.3pt;height:1.5pt" o:hralign="center" o:hrstd="t" o:hr="t" fillcolor="#a0a0a0" stroked="f"/>
        </w:pict>
      </w:r>
    </w:p>
    <w:p w14:paraId="59029A52" w14:textId="77777777" w:rsidR="0084406A" w:rsidRDefault="0084406A"/>
    <w:p w14:paraId="59029A53" w14:textId="77777777" w:rsidR="0084406A" w:rsidRDefault="002B18AF">
      <w:pPr>
        <w:spacing w:before="180"/>
        <w:jc w:val="both"/>
      </w:pPr>
      <w:r>
        <w:rPr>
          <w:rFonts w:ascii="Arial" w:eastAsia="宋体" w:hAnsi="Arial" w:cs="Arial"/>
          <w:b/>
          <w:bCs/>
          <w:i/>
          <w:iCs/>
          <w:color w:val="000000"/>
          <w:sz w:val="20"/>
          <w:szCs w:val="20"/>
        </w:rPr>
        <w:t>If essential equipment, materials, substrat</w:t>
      </w:r>
      <w:r>
        <w:rPr>
          <w:rFonts w:ascii="Arial" w:eastAsia="宋体" w:hAnsi="Arial" w:cs="Arial"/>
          <w:b/>
          <w:bCs/>
          <w:i/>
          <w:iCs/>
          <w:color w:val="000000"/>
          <w:sz w:val="20"/>
          <w:szCs w:val="20"/>
        </w:rPr>
        <w:t xml:space="preserve">es or manufacturing processes are not available to manufacture our products, we could be materially adversely affected. </w:t>
      </w:r>
    </w:p>
    <w:p w14:paraId="59029A54" w14:textId="77777777" w:rsidR="0084406A" w:rsidRDefault="002B18AF">
      <w:pPr>
        <w:spacing w:before="180"/>
        <w:jc w:val="both"/>
      </w:pPr>
      <w:r>
        <w:rPr>
          <w:rFonts w:ascii="Arial" w:eastAsia="宋体" w:hAnsi="Arial" w:cs="Arial"/>
          <w:color w:val="000000"/>
          <w:sz w:val="20"/>
          <w:szCs w:val="20"/>
        </w:rPr>
        <w:t xml:space="preserve">We may purchase equipment, materials and substrates for use by our back-end manufacturing service providers from a number of suppliers </w:t>
      </w:r>
      <w:r>
        <w:rPr>
          <w:rFonts w:ascii="Arial" w:eastAsia="宋体" w:hAnsi="Arial" w:cs="Arial"/>
          <w:color w:val="000000"/>
          <w:sz w:val="20"/>
          <w:szCs w:val="20"/>
        </w:rPr>
        <w:t>and our operations depend upon obtaining deliveries of adequate supplies of equipment and materials on a timely basis. Our third-party suppliers also depend on the same timely delivery of adequate quantities of equipment and materials in the manufacture of</w:t>
      </w:r>
      <w:r>
        <w:rPr>
          <w:rFonts w:ascii="Arial" w:eastAsia="宋体" w:hAnsi="Arial" w:cs="Arial"/>
          <w:color w:val="000000"/>
          <w:sz w:val="20"/>
          <w:szCs w:val="20"/>
        </w:rPr>
        <w:t xml:space="preserve"> our products. In addition, as many of our products increase in technical complexity, we rely on our third-party suppliers to update their processes in order to continue meeting our back-end manufacturing needs. Certain equipment and materials that are use</w:t>
      </w:r>
      <w:r>
        <w:rPr>
          <w:rFonts w:ascii="Arial" w:eastAsia="宋体" w:hAnsi="Arial" w:cs="Arial"/>
          <w:color w:val="000000"/>
          <w:sz w:val="20"/>
          <w:szCs w:val="20"/>
        </w:rPr>
        <w:t>d in the manufacture of our products are available only from a limited number of suppliers, or in some cases, a sole supplier. We also depend on a limited number of suppliers to provide the majority of certain types of integrated circuit packages for our m</w:t>
      </w:r>
      <w:r>
        <w:rPr>
          <w:rFonts w:ascii="Arial" w:eastAsia="宋体" w:hAnsi="Arial" w:cs="Arial"/>
          <w:color w:val="000000"/>
          <w:sz w:val="20"/>
          <w:szCs w:val="20"/>
        </w:rPr>
        <w:t>icroprocessors, including our APU products. Similarly, certain non-proprietary materials or components such as memory, printed circuit boards (PCBs), interposers, substrates and capacitors used in the manufacture of our products are currently available fro</w:t>
      </w:r>
      <w:r>
        <w:rPr>
          <w:rFonts w:ascii="Arial" w:eastAsia="宋体" w:hAnsi="Arial" w:cs="Arial"/>
          <w:color w:val="000000"/>
          <w:sz w:val="20"/>
          <w:szCs w:val="20"/>
        </w:rPr>
        <w:t>m only a limited number of sources. If we are unable to procure a stable supply of equipment, materials or substrates on an ongoing basis and at reasonable costs to meet our production requirements, we could experience a shortage in equipment, materials or</w:t>
      </w:r>
      <w:r>
        <w:rPr>
          <w:rFonts w:ascii="Arial" w:eastAsia="宋体" w:hAnsi="Arial" w:cs="Arial"/>
          <w:color w:val="000000"/>
          <w:sz w:val="20"/>
          <w:szCs w:val="20"/>
        </w:rPr>
        <w:t xml:space="preserve"> substrate supply or an increase in production costs, which could have a material adverse effect on our business. We have long-term purchase commitments and prepayment arrangements with some of our vendors. If the delivery of such supply is delayed or does</w:t>
      </w:r>
      <w:r>
        <w:rPr>
          <w:rFonts w:ascii="Arial" w:eastAsia="宋体" w:hAnsi="Arial" w:cs="Arial"/>
          <w:color w:val="000000"/>
          <w:sz w:val="20"/>
          <w:szCs w:val="20"/>
        </w:rPr>
        <w:t xml:space="preserve"> not occur for any reason, it could materially impact our ability to procure and process the required volume of supply to meet customer demand. Conversely, a decrease in customer demand could result in excess inventory and an increase in our production cos</w:t>
      </w:r>
      <w:r>
        <w:rPr>
          <w:rFonts w:ascii="Arial" w:eastAsia="宋体" w:hAnsi="Arial" w:cs="Arial"/>
          <w:color w:val="000000"/>
          <w:sz w:val="20"/>
          <w:szCs w:val="20"/>
        </w:rPr>
        <w:t>ts, particularly since we have prepayment arrangements with certain vendors.</w:t>
      </w:r>
      <w:r>
        <w:rPr>
          <w:rFonts w:ascii="Arial" w:eastAsia="宋体" w:hAnsi="Arial" w:cs="Arial"/>
          <w:color w:val="008080"/>
        </w:rPr>
        <w:t xml:space="preserve"> </w:t>
      </w:r>
      <w:r>
        <w:rPr>
          <w:rFonts w:ascii="Arial" w:eastAsia="宋体" w:hAnsi="Arial" w:cs="Arial"/>
          <w:color w:val="000000"/>
          <w:sz w:val="20"/>
          <w:szCs w:val="20"/>
        </w:rPr>
        <w:t>Because some of the equipment and materials that we and our third-party manufacturing suppliers purchase are complex, it is sometimes difficult to substitute one supplier for anot</w:t>
      </w:r>
      <w:r>
        <w:rPr>
          <w:rFonts w:ascii="Arial" w:eastAsia="宋体" w:hAnsi="Arial" w:cs="Arial"/>
          <w:color w:val="000000"/>
          <w:sz w:val="20"/>
          <w:szCs w:val="20"/>
        </w:rPr>
        <w:t>her. From time to time, suppliers may extend lead times, limit supply or increase prices due to capacity constraints or other factors. Also, some of these materials and components may be subject to rapid changes in price and availability. Interruption of s</w:t>
      </w:r>
      <w:r>
        <w:rPr>
          <w:rFonts w:ascii="Arial" w:eastAsia="宋体" w:hAnsi="Arial" w:cs="Arial"/>
          <w:color w:val="000000"/>
          <w:sz w:val="20"/>
          <w:szCs w:val="20"/>
        </w:rPr>
        <w:t>upply or increased demand in the industry could cause shortages and price increases in various essential materials. Dependence on a sole supplier or a limited number of suppliers exacerbates these risks. If we are unable to procure certain of these materia</w:t>
      </w:r>
      <w:r>
        <w:rPr>
          <w:rFonts w:ascii="Arial" w:eastAsia="宋体" w:hAnsi="Arial" w:cs="Arial"/>
          <w:color w:val="000000"/>
          <w:sz w:val="20"/>
          <w:szCs w:val="20"/>
        </w:rPr>
        <w:t>ls for our back-end manufacturing operations, or our third-party foundries or manufacturing suppliers are unable to procure materials for manufacturing our products, our business would be materially adversely affected.</w:t>
      </w:r>
    </w:p>
    <w:p w14:paraId="59029A55" w14:textId="77777777" w:rsidR="0084406A" w:rsidRDefault="002B18AF">
      <w:pPr>
        <w:spacing w:before="180"/>
        <w:jc w:val="both"/>
      </w:pPr>
      <w:r>
        <w:rPr>
          <w:rFonts w:ascii="Arial" w:eastAsia="宋体" w:hAnsi="Arial" w:cs="Arial"/>
          <w:b/>
          <w:bCs/>
          <w:i/>
          <w:iCs/>
          <w:color w:val="000000"/>
          <w:sz w:val="20"/>
          <w:szCs w:val="20"/>
        </w:rPr>
        <w:t>Failure to achieve expected manufactu</w:t>
      </w:r>
      <w:r>
        <w:rPr>
          <w:rFonts w:ascii="Arial" w:eastAsia="宋体" w:hAnsi="Arial" w:cs="Arial"/>
          <w:b/>
          <w:bCs/>
          <w:i/>
          <w:iCs/>
          <w:color w:val="000000"/>
          <w:sz w:val="20"/>
          <w:szCs w:val="20"/>
        </w:rPr>
        <w:t>ring yields for our products could negatively impact our financial results.</w:t>
      </w:r>
    </w:p>
    <w:p w14:paraId="59029A56" w14:textId="77777777" w:rsidR="0084406A" w:rsidRDefault="002B18AF">
      <w:pPr>
        <w:spacing w:before="180"/>
        <w:jc w:val="both"/>
      </w:pPr>
      <w:r>
        <w:rPr>
          <w:rFonts w:ascii="Arial" w:eastAsia="宋体" w:hAnsi="Arial" w:cs="Arial"/>
          <w:color w:val="000000"/>
          <w:sz w:val="20"/>
          <w:szCs w:val="20"/>
        </w:rPr>
        <w:t>Semiconductor manufacturing yields are a result of both product design and process technology, which is typically proprietary to the manufacturer, and low yields can result from de</w:t>
      </w:r>
      <w:r>
        <w:rPr>
          <w:rFonts w:ascii="Arial" w:eastAsia="宋体" w:hAnsi="Arial" w:cs="Arial"/>
          <w:color w:val="000000"/>
          <w:sz w:val="20"/>
          <w:szCs w:val="20"/>
        </w:rPr>
        <w:t xml:space="preserve">sign failures, process technology failures or a combination of both. Our third-party foundries are responsible for the process technologies used to fabricate silicon wafers. If our third-party foundries experience manufacturing inefficiencies or encounter </w:t>
      </w:r>
      <w:r>
        <w:rPr>
          <w:rFonts w:ascii="Arial" w:eastAsia="宋体" w:hAnsi="Arial" w:cs="Arial"/>
          <w:color w:val="000000"/>
          <w:sz w:val="20"/>
          <w:szCs w:val="20"/>
        </w:rPr>
        <w:t>disruptions, errors or difficulties during production, we may fail to achieve acceptable yields or experience product delivery delays. We cannot be certain that our third-party foundries will be able to develop, obtain or successfully implement leading-edg</w:t>
      </w:r>
      <w:r>
        <w:rPr>
          <w:rFonts w:ascii="Arial" w:eastAsia="宋体" w:hAnsi="Arial" w:cs="Arial"/>
          <w:color w:val="000000"/>
          <w:sz w:val="20"/>
          <w:szCs w:val="20"/>
        </w:rPr>
        <w:t>e process technologies needed to manufacture future generations of our products profitably or on a timely basis or that our competitors will not develop new technologies, products or processes earlier. Moreover, during periods when foundries are implementi</w:t>
      </w:r>
      <w:r>
        <w:rPr>
          <w:rFonts w:ascii="Arial" w:eastAsia="宋体" w:hAnsi="Arial" w:cs="Arial"/>
          <w:color w:val="000000"/>
          <w:sz w:val="20"/>
          <w:szCs w:val="20"/>
        </w:rPr>
        <w:t>ng new process technologies, their manufacturing facilities may not be fully productive. A substantial delay in the technology transitions to smaller process technologies could have a material adverse effect on us, particularly if our competitors transitio</w:t>
      </w:r>
      <w:r>
        <w:rPr>
          <w:rFonts w:ascii="Arial" w:eastAsia="宋体" w:hAnsi="Arial" w:cs="Arial"/>
          <w:color w:val="000000"/>
          <w:sz w:val="20"/>
          <w:szCs w:val="20"/>
        </w:rPr>
        <w:t>n to more cost effective technologies before us. For example, we are presently focusing our 7 nm and lower product portfolio on TSMC’s processes. If TSMC is not able to manufacture wafers for our products at 7nm or smaller nodes in sufficient quantities to</w:t>
      </w:r>
      <w:r>
        <w:rPr>
          <w:rFonts w:ascii="Arial" w:eastAsia="宋体" w:hAnsi="Arial" w:cs="Arial"/>
          <w:color w:val="000000"/>
          <w:sz w:val="20"/>
          <w:szCs w:val="20"/>
        </w:rPr>
        <w:t xml:space="preserve"> meet customer demand, it could have a material adverse effect on our business.</w:t>
      </w:r>
    </w:p>
    <w:p w14:paraId="59029A57" w14:textId="77777777" w:rsidR="0084406A" w:rsidRDefault="002B18AF">
      <w:pPr>
        <w:spacing w:before="18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w:t>
      </w:r>
      <w:r>
        <w:rPr>
          <w:rFonts w:ascii="Arial" w:eastAsia="宋体" w:hAnsi="Arial" w:cs="Arial"/>
          <w:color w:val="000000"/>
          <w:sz w:val="20"/>
          <w:szCs w:val="20"/>
        </w:rPr>
        <w:t xml:space="preserve">t supply amongst our customers, which could harm our relationships and reputation with our customers and materially adversely affect our business. </w:t>
      </w:r>
    </w:p>
    <w:p w14:paraId="59029A58" w14:textId="77777777" w:rsidR="0084406A" w:rsidRDefault="002B18AF">
      <w:pPr>
        <w:jc w:val="center"/>
      </w:pPr>
      <w:r>
        <w:rPr>
          <w:rFonts w:ascii="Arial" w:eastAsia="宋体" w:hAnsi="Arial" w:cs="Arial"/>
          <w:color w:val="000000"/>
          <w:sz w:val="20"/>
          <w:szCs w:val="20"/>
        </w:rPr>
        <w:t>21</w:t>
      </w:r>
    </w:p>
    <w:p w14:paraId="59029A59" w14:textId="77777777" w:rsidR="0084406A" w:rsidRDefault="002B18AF">
      <w:r>
        <w:pict w14:anchorId="5902BB09">
          <v:rect id="_x0000_i1048" style="width:415.3pt;height:1.5pt" o:hralign="center" o:hrstd="t" o:hr="t" fillcolor="#a0a0a0" stroked="f"/>
        </w:pict>
      </w:r>
    </w:p>
    <w:p w14:paraId="59029A5A" w14:textId="77777777" w:rsidR="0084406A" w:rsidRDefault="0084406A"/>
    <w:p w14:paraId="59029A5B" w14:textId="77777777" w:rsidR="0084406A" w:rsidRDefault="002B18AF">
      <w:pPr>
        <w:spacing w:before="180"/>
        <w:jc w:val="both"/>
      </w:pPr>
      <w:r>
        <w:rPr>
          <w:rFonts w:ascii="Arial" w:eastAsia="宋体" w:hAnsi="Arial" w:cs="Arial"/>
          <w:b/>
          <w:bCs/>
          <w:i/>
          <w:iCs/>
          <w:color w:val="000000"/>
          <w:sz w:val="20"/>
          <w:szCs w:val="20"/>
        </w:rPr>
        <w:t>The success of our business is dependent upon our ability to introduce products on a timely basis with</w:t>
      </w:r>
      <w:r>
        <w:rPr>
          <w:rFonts w:ascii="Arial" w:eastAsia="宋体" w:hAnsi="Arial" w:cs="Arial"/>
          <w:b/>
          <w:bCs/>
          <w:i/>
          <w:iCs/>
          <w:color w:val="000000"/>
          <w:sz w:val="20"/>
          <w:szCs w:val="20"/>
        </w:rPr>
        <w:t xml:space="preserve"> features and performance levels that provide value to our customers while supporting and coinciding with significant industry transitions. </w:t>
      </w:r>
    </w:p>
    <w:p w14:paraId="59029A5C" w14:textId="77777777" w:rsidR="0084406A" w:rsidRDefault="002B18AF">
      <w:pPr>
        <w:spacing w:before="180"/>
        <w:jc w:val="both"/>
      </w:pPr>
      <w:r>
        <w:rPr>
          <w:rFonts w:ascii="Arial" w:eastAsia="宋体" w:hAnsi="Arial" w:cs="Arial"/>
          <w:color w:val="000000"/>
          <w:sz w:val="20"/>
          <w:szCs w:val="20"/>
        </w:rPr>
        <w:t>Our success depends to a significant extent on the development, qualification, implementation and acceptance of new</w:t>
      </w:r>
      <w:r>
        <w:rPr>
          <w:rFonts w:ascii="Arial" w:eastAsia="宋体" w:hAnsi="Arial" w:cs="Arial"/>
          <w:color w:val="000000"/>
          <w:sz w:val="20"/>
          <w:szCs w:val="20"/>
        </w:rPr>
        <w:t xml:space="preserve"> product designs and improvements that provide value to our customers. Our ability to develop, qualify and distribute, and have manufactured, new products and related technologies to meet evolving industry requirements, at prices acceptable to our customer</w:t>
      </w:r>
      <w:r>
        <w:rPr>
          <w:rFonts w:ascii="Arial" w:eastAsia="宋体" w:hAnsi="Arial" w:cs="Arial"/>
          <w:color w:val="000000"/>
          <w:sz w:val="20"/>
          <w:szCs w:val="20"/>
        </w:rPr>
        <w:t xml:space="preserve">s and on a timely basis, are significant factors in determining our competitiveness in our target markets. As consumers have new product feature preferences or have different requirements than those consumers in the PC market, PC sales could be negatively </w:t>
      </w:r>
      <w:r>
        <w:rPr>
          <w:rFonts w:ascii="Arial" w:eastAsia="宋体" w:hAnsi="Arial" w:cs="Arial"/>
          <w:color w:val="000000"/>
          <w:sz w:val="20"/>
          <w:szCs w:val="20"/>
        </w:rPr>
        <w:t xml:space="preserve">impacted, which could adversely impact our business. Our product roadmap includes our next-generation AMD Ryzen™, AMD Radeon™ and AMD EPYC™ processors. We cannot assure you that our efforts to execute our product roadmap will result in innovative products </w:t>
      </w:r>
      <w:r>
        <w:rPr>
          <w:rFonts w:ascii="Arial" w:eastAsia="宋体" w:hAnsi="Arial" w:cs="Arial"/>
          <w:color w:val="000000"/>
          <w:sz w:val="20"/>
          <w:szCs w:val="20"/>
        </w:rPr>
        <w:t>and technologies that provide value to our customers. If we fail to or are delayed in developing, qualifying or shipping new products or technologies that provide value to our customers and address these new trends or if we fail to predict which new form f</w:t>
      </w:r>
      <w:r>
        <w:rPr>
          <w:rFonts w:ascii="Arial" w:eastAsia="宋体" w:hAnsi="Arial" w:cs="Arial"/>
          <w:color w:val="000000"/>
          <w:sz w:val="20"/>
          <w:szCs w:val="20"/>
        </w:rPr>
        <w:t>actors consumers will adopt and adjust our business accordingly, we may lose competitive positioning, which could cause us to lose market share and require us to discount the selling prices of our products. Although we make substantial investments in resea</w:t>
      </w:r>
      <w:r>
        <w:rPr>
          <w:rFonts w:ascii="Arial" w:eastAsia="宋体" w:hAnsi="Arial" w:cs="Arial"/>
          <w:color w:val="000000"/>
          <w:sz w:val="20"/>
          <w:szCs w:val="20"/>
        </w:rPr>
        <w:t>rch and development, we cannot be certain that we will be able to develop, obtain or successfully implement new products and technologies on a timely basis or that they will be well-received by our customers. Moreover, our investments in new products and t</w:t>
      </w:r>
      <w:r>
        <w:rPr>
          <w:rFonts w:ascii="Arial" w:eastAsia="宋体" w:hAnsi="Arial" w:cs="Arial"/>
          <w:color w:val="000000"/>
          <w:sz w:val="20"/>
          <w:szCs w:val="20"/>
        </w:rPr>
        <w:t>echnologies involve certain risks and uncertainties and could disrupt our ongoing business. New investments may not generate sufficient revenue, may incur unanticipated liabilities and may divert our limited resources and distract management from our curre</w:t>
      </w:r>
      <w:r>
        <w:rPr>
          <w:rFonts w:ascii="Arial" w:eastAsia="宋体" w:hAnsi="Arial" w:cs="Arial"/>
          <w:color w:val="000000"/>
          <w:sz w:val="20"/>
          <w:szCs w:val="20"/>
        </w:rPr>
        <w:t>nt operations. We cannot be certain that our ongoing investments in new products and technologies will be successful, will meet our expectations and will not adversely affect our reputation, financial condition and operating results.</w:t>
      </w:r>
    </w:p>
    <w:p w14:paraId="59029A5D" w14:textId="77777777" w:rsidR="0084406A" w:rsidRDefault="002B18AF">
      <w:pPr>
        <w:spacing w:before="180"/>
        <w:jc w:val="both"/>
      </w:pPr>
      <w:r>
        <w:rPr>
          <w:rFonts w:ascii="Arial" w:eastAsia="宋体" w:hAnsi="Arial" w:cs="Arial"/>
          <w:color w:val="000000"/>
          <w:sz w:val="20"/>
          <w:szCs w:val="20"/>
        </w:rPr>
        <w:t xml:space="preserve">Delays in developing, </w:t>
      </w:r>
      <w:r>
        <w:rPr>
          <w:rFonts w:ascii="Arial" w:eastAsia="宋体" w:hAnsi="Arial" w:cs="Arial"/>
          <w:color w:val="000000"/>
          <w:sz w:val="20"/>
          <w:szCs w:val="20"/>
        </w:rPr>
        <w:t xml:space="preserve">qualifying or shipping new products can also cause us to miss our customers’ product design windows or, in some cases, breach contractual obligations or cause us to pay penalties. If our customers do not include our products in the initial design of their </w:t>
      </w:r>
      <w:r>
        <w:rPr>
          <w:rFonts w:ascii="Arial" w:eastAsia="宋体" w:hAnsi="Arial" w:cs="Arial"/>
          <w:color w:val="000000"/>
          <w:sz w:val="20"/>
          <w:szCs w:val="20"/>
        </w:rPr>
        <w:t xml:space="preserve">computer systems or products, they will typically not use our products in their systems or products until at least the next design configuration. The process of being qualified for inclusion in a customer’s system or product can be lengthy and could cause </w:t>
      </w:r>
      <w:r>
        <w:rPr>
          <w:rFonts w:ascii="Arial" w:eastAsia="宋体" w:hAnsi="Arial" w:cs="Arial"/>
          <w:color w:val="000000"/>
          <w:sz w:val="20"/>
          <w:szCs w:val="20"/>
        </w:rPr>
        <w:t>us to further miss a cycle in the demand of end-users, which also could result in a loss of market share and harm our business. We also depend on the success and timing of our customers’ platform launches. If our customers delay their product launches or i</w:t>
      </w:r>
      <w:r>
        <w:rPr>
          <w:rFonts w:ascii="Arial" w:eastAsia="宋体" w:hAnsi="Arial" w:cs="Arial"/>
          <w:color w:val="000000"/>
          <w:sz w:val="20"/>
          <w:szCs w:val="20"/>
        </w:rPr>
        <w:t>f our customers do not effectively market their platforms with our products, it could result in a delay in bringing our products to market and cause us to miss a cycle in the demand of end-users, which could materially adversely affect our business. In add</w:t>
      </w:r>
      <w:r>
        <w:rPr>
          <w:rFonts w:ascii="Arial" w:eastAsia="宋体" w:hAnsi="Arial" w:cs="Arial"/>
          <w:color w:val="000000"/>
          <w:sz w:val="20"/>
          <w:szCs w:val="20"/>
        </w:rPr>
        <w:t xml:space="preserve">ition, market demand requires that products incorporate new features and performance standards on an industry-wide basis. Over the life of a specific product, the sale price is typically reduced over time. The introduction of new products and enhancements </w:t>
      </w:r>
      <w:r>
        <w:rPr>
          <w:rFonts w:ascii="Arial" w:eastAsia="宋体" w:hAnsi="Arial" w:cs="Arial"/>
          <w:color w:val="000000"/>
          <w:sz w:val="20"/>
          <w:szCs w:val="20"/>
        </w:rPr>
        <w:t>to existing products is necessary to maintain the overall corporate average selling price. If we are unable to introduce new products with sufficiently high sale prices or to increase unit sales volumes capable of offsetting the reductions in the sale pric</w:t>
      </w:r>
      <w:r>
        <w:rPr>
          <w:rFonts w:ascii="Arial" w:eastAsia="宋体" w:hAnsi="Arial" w:cs="Arial"/>
          <w:color w:val="000000"/>
          <w:sz w:val="20"/>
          <w:szCs w:val="20"/>
        </w:rPr>
        <w:t>es of existing products over time, our business could be materially adversely affected.</w:t>
      </w:r>
    </w:p>
    <w:p w14:paraId="59029A5E" w14:textId="77777777" w:rsidR="0084406A" w:rsidRDefault="002B18AF">
      <w:pPr>
        <w:spacing w:before="180"/>
        <w:jc w:val="both"/>
      </w:pPr>
      <w:r>
        <w:rPr>
          <w:rFonts w:ascii="Arial" w:eastAsia="宋体" w:hAnsi="Arial" w:cs="Arial"/>
          <w:b/>
          <w:bCs/>
          <w:i/>
          <w:iCs/>
          <w:color w:val="000000"/>
          <w:sz w:val="20"/>
          <w:szCs w:val="20"/>
        </w:rPr>
        <w:t>Our revenue from our semi-custom SoC products is dependent upon our semi-custom SoC products being incorporated into customers’ products and the success of those produc</w:t>
      </w:r>
      <w:r>
        <w:rPr>
          <w:rFonts w:ascii="Arial" w:eastAsia="宋体" w:hAnsi="Arial" w:cs="Arial"/>
          <w:b/>
          <w:bCs/>
          <w:i/>
          <w:iCs/>
          <w:color w:val="000000"/>
          <w:sz w:val="20"/>
          <w:szCs w:val="20"/>
        </w:rPr>
        <w:t>ts.</w:t>
      </w:r>
    </w:p>
    <w:p w14:paraId="59029A5F" w14:textId="77777777" w:rsidR="0084406A" w:rsidRDefault="002B18AF">
      <w:pPr>
        <w:spacing w:before="180"/>
        <w:jc w:val="both"/>
      </w:pPr>
      <w:r>
        <w:rPr>
          <w:rFonts w:ascii="Arial" w:eastAsia="宋体" w:hAnsi="Arial" w:cs="Arial"/>
          <w:color w:val="000000"/>
          <w:sz w:val="20"/>
          <w:szCs w:val="20"/>
        </w:rPr>
        <w:t>The revenue that we receive from our semi-custom SoC products is in the form of non-recurring engineering fees charged to third parties for design and development services and revenue received in connection with sales of our semi-custom SoC products to</w:t>
      </w:r>
      <w:r>
        <w:rPr>
          <w:rFonts w:ascii="Arial" w:eastAsia="宋体" w:hAnsi="Arial" w:cs="Arial"/>
          <w:color w:val="000000"/>
          <w:sz w:val="20"/>
          <w:szCs w:val="20"/>
        </w:rPr>
        <w:t xml:space="preserve"> these third parties. As a result, our ability to generate revenue from our semi-custom products depends on our ability to secure customers for our semi-custom design pipeline, our customers’ desire to pursue the project and our semi-custom SoC products be</w:t>
      </w:r>
      <w:r>
        <w:rPr>
          <w:rFonts w:ascii="Arial" w:eastAsia="宋体" w:hAnsi="Arial" w:cs="Arial"/>
          <w:color w:val="000000"/>
          <w:sz w:val="20"/>
          <w:szCs w:val="20"/>
        </w:rPr>
        <w:t>ing incorporated into those customers’ products. Any revenue from sales of our semi-custom SoC products is directly related to sales of the third-party’s products and reflective of their success in the market. Moreover, we have no control over the marketin</w:t>
      </w:r>
      <w:r>
        <w:rPr>
          <w:rFonts w:ascii="Arial" w:eastAsia="宋体" w:hAnsi="Arial" w:cs="Arial"/>
          <w:color w:val="000000"/>
          <w:sz w:val="20"/>
          <w:szCs w:val="20"/>
        </w:rPr>
        <w:t>g efforts of these third parties, and we cannot make any assurances that sales of their products will be successful in current or future years. Consequently, the semi-custom SoC product revenue expected by us may not be fully realized and our operating res</w:t>
      </w:r>
      <w:r>
        <w:rPr>
          <w:rFonts w:ascii="Arial" w:eastAsia="宋体" w:hAnsi="Arial" w:cs="Arial"/>
          <w:color w:val="000000"/>
          <w:sz w:val="20"/>
          <w:szCs w:val="20"/>
        </w:rPr>
        <w:t>ults may be adversely affected.</w:t>
      </w:r>
    </w:p>
    <w:p w14:paraId="59029A60" w14:textId="77777777" w:rsidR="0084406A" w:rsidRDefault="002B18AF">
      <w:pPr>
        <w:jc w:val="center"/>
      </w:pPr>
      <w:r>
        <w:rPr>
          <w:rFonts w:ascii="Arial" w:eastAsia="宋体" w:hAnsi="Arial" w:cs="Arial"/>
          <w:color w:val="000000"/>
          <w:sz w:val="20"/>
          <w:szCs w:val="20"/>
        </w:rPr>
        <w:t>22</w:t>
      </w:r>
    </w:p>
    <w:p w14:paraId="59029A61" w14:textId="77777777" w:rsidR="0084406A" w:rsidRDefault="002B18AF">
      <w:r>
        <w:pict w14:anchorId="5902BB0A">
          <v:rect id="_x0000_i1049" style="width:415.3pt;height:1.5pt" o:hralign="center" o:hrstd="t" o:hr="t" fillcolor="#a0a0a0" stroked="f"/>
        </w:pict>
      </w:r>
    </w:p>
    <w:p w14:paraId="59029A62" w14:textId="77777777" w:rsidR="0084406A" w:rsidRDefault="0084406A"/>
    <w:p w14:paraId="59029A63" w14:textId="77777777" w:rsidR="0084406A" w:rsidRDefault="002B18AF">
      <w:pPr>
        <w:spacing w:before="180"/>
        <w:jc w:val="both"/>
      </w:pPr>
      <w:r>
        <w:rPr>
          <w:rFonts w:ascii="Arial" w:eastAsia="宋体" w:hAnsi="Arial" w:cs="Arial"/>
          <w:b/>
          <w:bCs/>
          <w:i/>
          <w:iCs/>
          <w:color w:val="000000"/>
          <w:sz w:val="20"/>
          <w:szCs w:val="20"/>
        </w:rPr>
        <w:t>Our products may be subject to security vulnerabilities that could have a material adverse effect on us.</w:t>
      </w:r>
    </w:p>
    <w:p w14:paraId="59029A64" w14:textId="77777777" w:rsidR="0084406A" w:rsidRDefault="002B18AF">
      <w:pPr>
        <w:spacing w:before="180"/>
        <w:jc w:val="both"/>
      </w:pPr>
      <w:r>
        <w:rPr>
          <w:rFonts w:ascii="Arial" w:eastAsia="宋体" w:hAnsi="Arial" w:cs="Arial"/>
          <w:color w:val="000000"/>
          <w:sz w:val="20"/>
          <w:szCs w:val="20"/>
        </w:rPr>
        <w:t xml:space="preserve">The products that we sell are complex and have been and may in the future be subject to security vulnerabilities that could result in, among other things, the loss, corruption, theft or misuse of confidential data or system performance issues. Our efforts </w:t>
      </w:r>
      <w:r>
        <w:rPr>
          <w:rFonts w:ascii="Arial" w:eastAsia="宋体" w:hAnsi="Arial" w:cs="Arial"/>
          <w:color w:val="000000"/>
          <w:sz w:val="20"/>
          <w:szCs w:val="20"/>
        </w:rPr>
        <w:t>to prevent and address security vulnerabilities may decrease performance, be only partially effective or not successful at all. We may depend on vendors to create mitigations to their technology that we incorporate into our products and they may delay or d</w:t>
      </w:r>
      <w:r>
        <w:rPr>
          <w:rFonts w:ascii="Arial" w:eastAsia="宋体" w:hAnsi="Arial" w:cs="Arial"/>
          <w:color w:val="000000"/>
          <w:sz w:val="20"/>
          <w:szCs w:val="20"/>
        </w:rPr>
        <w:t>ecline to make such mitigations. We may also depend on third parties, such as customers and end users, to deploy our mitigations alone or as part of their own mitigations, and they may delay, decline or modify the implementation of such mitigations. Our re</w:t>
      </w:r>
      <w:r>
        <w:rPr>
          <w:rFonts w:ascii="Arial" w:eastAsia="宋体" w:hAnsi="Arial" w:cs="Arial"/>
          <w:color w:val="000000"/>
          <w:sz w:val="20"/>
          <w:szCs w:val="20"/>
        </w:rPr>
        <w:t xml:space="preserve">lationships with our customers could be adversely affected as some of our customers may stop purchasing our products, reduce or delay future purchases of our products, or use competing products. Any of these actions by our customers could adversely affect </w:t>
      </w:r>
      <w:r>
        <w:rPr>
          <w:rFonts w:ascii="Arial" w:eastAsia="宋体" w:hAnsi="Arial" w:cs="Arial"/>
          <w:color w:val="000000"/>
          <w:sz w:val="20"/>
          <w:szCs w:val="20"/>
        </w:rPr>
        <w:t>our revenue. We have and may in the future be subject to claims and litigation related to security vulnerabilities. Actual or perceived security vulnerabilities of our products may subject us to adverse publicity, damage to our brand and reputation, and co</w:t>
      </w:r>
      <w:r>
        <w:rPr>
          <w:rFonts w:ascii="Arial" w:eastAsia="宋体" w:hAnsi="Arial" w:cs="Arial"/>
          <w:color w:val="000000"/>
          <w:sz w:val="20"/>
          <w:szCs w:val="20"/>
        </w:rPr>
        <w:t xml:space="preserve">uld materially harm our business or financial results. </w:t>
      </w:r>
    </w:p>
    <w:p w14:paraId="59029A65" w14:textId="77777777" w:rsidR="0084406A" w:rsidRDefault="002B18AF">
      <w:pPr>
        <w:spacing w:before="180"/>
        <w:jc w:val="both"/>
      </w:pPr>
      <w:r>
        <w:rPr>
          <w:rFonts w:ascii="Arial" w:eastAsia="宋体" w:hAnsi="Arial" w:cs="Arial"/>
          <w:b/>
          <w:bCs/>
          <w:i/>
          <w:iCs/>
          <w:color w:val="000000"/>
          <w:sz w:val="20"/>
          <w:szCs w:val="20"/>
        </w:rPr>
        <w:t>IT outages, data loss, data breaches and cyber-attacks could compromise our intellectual property or other sensitive information, be costly to remediate or cause significant damage to our business, re</w:t>
      </w:r>
      <w:r>
        <w:rPr>
          <w:rFonts w:ascii="Arial" w:eastAsia="宋体" w:hAnsi="Arial" w:cs="Arial"/>
          <w:b/>
          <w:bCs/>
          <w:i/>
          <w:iCs/>
          <w:color w:val="000000"/>
          <w:sz w:val="20"/>
          <w:szCs w:val="20"/>
        </w:rPr>
        <w:t>putation and operations.</w:t>
      </w:r>
    </w:p>
    <w:p w14:paraId="59029A66" w14:textId="77777777" w:rsidR="0084406A" w:rsidRDefault="002B18AF">
      <w:pPr>
        <w:spacing w:before="180"/>
        <w:jc w:val="both"/>
      </w:pPr>
      <w:r>
        <w:rPr>
          <w:rFonts w:ascii="Arial" w:eastAsia="宋体" w:hAnsi="Arial" w:cs="Arial"/>
          <w:color w:val="000000"/>
          <w:sz w:val="20"/>
          <w:szCs w:val="20"/>
        </w:rPr>
        <w:t>In the ordinary course of our business, we maintain sensitive data on our information technology (IT) assets, and also may maintain sensitive information on our business partners’ and third-party providers’ IT assets, including our</w:t>
      </w:r>
      <w:r>
        <w:rPr>
          <w:rFonts w:ascii="Arial" w:eastAsia="宋体" w:hAnsi="Arial" w:cs="Arial"/>
          <w:color w:val="000000"/>
          <w:sz w:val="20"/>
          <w:szCs w:val="20"/>
        </w:rPr>
        <w:t xml:space="preserve"> intellectual property and proprietary or confidential business information relating to our business and that of our customers and business partners. The White House, SEC and other regulators have also increased their focus on companies’ cybersecurity vuln</w:t>
      </w:r>
      <w:r>
        <w:rPr>
          <w:rFonts w:ascii="Arial" w:eastAsia="宋体" w:hAnsi="Arial" w:cs="Arial"/>
          <w:color w:val="000000"/>
          <w:sz w:val="20"/>
          <w:szCs w:val="20"/>
        </w:rPr>
        <w:t xml:space="preserve">erabilities and risks. Maintaining the security of this information is important to our business and reputation. We believe that companies like AMD have been increasingly subject to a wide variety of security incidents, cyber-attacks, hacking and phishing </w:t>
      </w:r>
      <w:r>
        <w:rPr>
          <w:rFonts w:ascii="Arial" w:eastAsia="宋体" w:hAnsi="Arial" w:cs="Arial"/>
          <w:color w:val="000000"/>
          <w:sz w:val="20"/>
          <w:szCs w:val="20"/>
        </w:rPr>
        <w:t>attacks, business and system disruption attacks, and other attempts to gain unauthorized access. The increased prevalence of work-from-home arrangements at AMD and our providers has presented additional operational and cybersecurity risks to our IT systems</w:t>
      </w:r>
      <w:r>
        <w:rPr>
          <w:rFonts w:ascii="Arial" w:eastAsia="宋体" w:hAnsi="Arial" w:cs="Arial"/>
          <w:color w:val="000000"/>
          <w:sz w:val="20"/>
          <w:szCs w:val="20"/>
        </w:rPr>
        <w:t xml:space="preserve"> as well as those of our customers, business partners, and third-party partners. These threats can come from a variety of sources, all ranging in sophistication from an individual hacker or insider threat to a state-sponsored attack. Cyber threats may be g</w:t>
      </w:r>
      <w:r>
        <w:rPr>
          <w:rFonts w:ascii="Arial" w:eastAsia="宋体" w:hAnsi="Arial" w:cs="Arial"/>
          <w:color w:val="000000"/>
          <w:sz w:val="20"/>
          <w:szCs w:val="20"/>
        </w:rPr>
        <w:t>eneric, or they may be custom-crafted against our information systems. Cyber threats may come into our network through malicious code that is added to widely available open-source software. Cyber-attacks have become increasingly more prevalent and much har</w:t>
      </w:r>
      <w:r>
        <w:rPr>
          <w:rFonts w:ascii="Arial" w:eastAsia="宋体" w:hAnsi="Arial" w:cs="Arial"/>
          <w:color w:val="000000"/>
          <w:sz w:val="20"/>
          <w:szCs w:val="20"/>
        </w:rPr>
        <w:t>der to detect, defend against or prevent. Our network and storage applications, as well as those of our customers, business partners, and third-party providers, have been and may be subject to unauthorized access by hackers or breached due to operator erro</w:t>
      </w:r>
      <w:r>
        <w:rPr>
          <w:rFonts w:ascii="Arial" w:eastAsia="宋体" w:hAnsi="Arial" w:cs="Arial"/>
          <w:color w:val="000000"/>
          <w:sz w:val="20"/>
          <w:szCs w:val="20"/>
        </w:rPr>
        <w:t>r, malfeasance or other system disruptions.</w:t>
      </w:r>
    </w:p>
    <w:p w14:paraId="59029A67" w14:textId="77777777" w:rsidR="0084406A" w:rsidRDefault="002B18AF">
      <w:pPr>
        <w:spacing w:before="180"/>
        <w:jc w:val="both"/>
      </w:pPr>
      <w:r>
        <w:rPr>
          <w:rFonts w:ascii="Arial" w:eastAsia="宋体" w:hAnsi="Arial" w:cs="Arial"/>
          <w:color w:val="000000"/>
          <w:sz w:val="20"/>
          <w:szCs w:val="20"/>
        </w:rPr>
        <w:t>It is often difficult to anticipate or immediately detect such incidents and the damage caused by such incidents. It also may not be possible to determine the root cause of such incidents. These data breaches and</w:t>
      </w:r>
      <w:r>
        <w:rPr>
          <w:rFonts w:ascii="Arial" w:eastAsia="宋体" w:hAnsi="Arial" w:cs="Arial"/>
          <w:color w:val="000000"/>
          <w:sz w:val="20"/>
          <w:szCs w:val="20"/>
        </w:rPr>
        <w:t xml:space="preserve"> any unauthorized access, misuse or disclosure of our information or intellectual property could compromise our intellectual property and expose sensitive business information. Cyber-attacks on us or our customers, business partners or third-party provider</w:t>
      </w:r>
      <w:r>
        <w:rPr>
          <w:rFonts w:ascii="Arial" w:eastAsia="宋体" w:hAnsi="Arial" w:cs="Arial"/>
          <w:color w:val="000000"/>
          <w:sz w:val="20"/>
          <w:szCs w:val="20"/>
        </w:rPr>
        <w:t>s could also cause us to incur significant remediation costs, result in product development delays, disrupt key business operations and divert attention of management and key information technology resources. These incidents could also subject us to liabil</w:t>
      </w:r>
      <w:r>
        <w:rPr>
          <w:rFonts w:ascii="Arial" w:eastAsia="宋体" w:hAnsi="Arial" w:cs="Arial"/>
          <w:color w:val="000000"/>
          <w:sz w:val="20"/>
          <w:szCs w:val="20"/>
        </w:rPr>
        <w:t>ity, expose us to significant expense and cause significant harm to our reputation and business.</w:t>
      </w:r>
    </w:p>
    <w:p w14:paraId="59029A68" w14:textId="77777777" w:rsidR="0084406A" w:rsidRDefault="002B18AF">
      <w:pPr>
        <w:spacing w:before="180"/>
        <w:jc w:val="both"/>
      </w:pPr>
      <w:r>
        <w:rPr>
          <w:rFonts w:ascii="Arial" w:eastAsia="宋体" w:hAnsi="Arial" w:cs="Arial"/>
          <w:color w:val="000000"/>
          <w:sz w:val="20"/>
          <w:szCs w:val="20"/>
        </w:rPr>
        <w:t>We also maintain confidential and personally identifiable information about our workers and consumers. The confidentiality and integrity of our worker and cons</w:t>
      </w:r>
      <w:r>
        <w:rPr>
          <w:rFonts w:ascii="Arial" w:eastAsia="宋体" w:hAnsi="Arial" w:cs="Arial"/>
          <w:color w:val="000000"/>
          <w:sz w:val="20"/>
          <w:szCs w:val="20"/>
        </w:rPr>
        <w:t>umer data is important to our business and our workers and consumers have a high expectation that we adequately protect their personal information. In addition, many governments have enacted laws around personally identifiable information, such as the Euro</w:t>
      </w:r>
      <w:r>
        <w:rPr>
          <w:rFonts w:ascii="Arial" w:eastAsia="宋体" w:hAnsi="Arial" w:cs="Arial"/>
          <w:color w:val="000000"/>
          <w:sz w:val="20"/>
          <w:szCs w:val="20"/>
        </w:rPr>
        <w:t xml:space="preserve">pean Union’s General Data Protection Regulation and the California Consumer Privacy Act, and failure to comply could result in sanctions or other actions by the governments. </w:t>
      </w:r>
    </w:p>
    <w:p w14:paraId="59029A69" w14:textId="77777777" w:rsidR="0084406A" w:rsidRDefault="002B18AF">
      <w:pPr>
        <w:spacing w:before="180"/>
        <w:jc w:val="both"/>
      </w:pPr>
      <w:r>
        <w:rPr>
          <w:rFonts w:ascii="Arial" w:eastAsia="宋体" w:hAnsi="Arial" w:cs="Arial"/>
          <w:color w:val="000000"/>
          <w:sz w:val="20"/>
          <w:szCs w:val="20"/>
        </w:rPr>
        <w:t>We anticipate ongoing and increasing costs related to: enhancing and implementing</w:t>
      </w:r>
      <w:r>
        <w:rPr>
          <w:rFonts w:ascii="Arial" w:eastAsia="宋体" w:hAnsi="Arial" w:cs="Arial"/>
          <w:color w:val="000000"/>
          <w:sz w:val="20"/>
          <w:szCs w:val="20"/>
        </w:rPr>
        <w:t xml:space="preserve"> information security controls, including costs related to upgrading application, computer, and network security components; training workers to maintain and monitor our security controls; investigating, responding to and remediating any data security brea</w:t>
      </w:r>
      <w:r>
        <w:rPr>
          <w:rFonts w:ascii="Arial" w:eastAsia="宋体" w:hAnsi="Arial" w:cs="Arial"/>
          <w:color w:val="000000"/>
          <w:sz w:val="20"/>
          <w:szCs w:val="20"/>
        </w:rPr>
        <w:t xml:space="preserve">ch, and addressing any related litigation; mitigating reputational harm; and complying with external regulations. </w:t>
      </w:r>
    </w:p>
    <w:p w14:paraId="59029A6A" w14:textId="77777777" w:rsidR="0084406A" w:rsidRDefault="002B18AF">
      <w:pPr>
        <w:jc w:val="center"/>
      </w:pPr>
      <w:r>
        <w:rPr>
          <w:rFonts w:ascii="Arial" w:eastAsia="宋体" w:hAnsi="Arial" w:cs="Arial"/>
          <w:color w:val="000000"/>
          <w:sz w:val="20"/>
          <w:szCs w:val="20"/>
        </w:rPr>
        <w:t>23</w:t>
      </w:r>
    </w:p>
    <w:p w14:paraId="59029A6B" w14:textId="77777777" w:rsidR="0084406A" w:rsidRDefault="002B18AF">
      <w:r>
        <w:pict w14:anchorId="5902BB0B">
          <v:rect id="_x0000_i1050" style="width:415.3pt;height:1.5pt" o:hralign="center" o:hrstd="t" o:hr="t" fillcolor="#a0a0a0" stroked="f"/>
        </w:pict>
      </w:r>
    </w:p>
    <w:p w14:paraId="59029A6C" w14:textId="77777777" w:rsidR="0084406A" w:rsidRDefault="0084406A"/>
    <w:p w14:paraId="59029A6D" w14:textId="77777777" w:rsidR="0084406A" w:rsidRDefault="002B18AF">
      <w:pPr>
        <w:spacing w:before="180"/>
        <w:jc w:val="both"/>
      </w:pPr>
      <w:r>
        <w:rPr>
          <w:rFonts w:ascii="Arial" w:eastAsia="宋体" w:hAnsi="Arial" w:cs="Arial"/>
          <w:color w:val="000000"/>
          <w:sz w:val="20"/>
          <w:szCs w:val="20"/>
        </w:rPr>
        <w:t>We often partner with third-party providers for certain worker services and we may provide certain limited worker information to such t</w:t>
      </w:r>
      <w:r>
        <w:rPr>
          <w:rFonts w:ascii="Arial" w:eastAsia="宋体" w:hAnsi="Arial" w:cs="Arial"/>
          <w:color w:val="000000"/>
          <w:sz w:val="20"/>
          <w:szCs w:val="20"/>
        </w:rPr>
        <w:t>hird parties based on the scope of the services provided to us. However, if these third parties fail to adopt or adhere to adequate data security practices, or in the event of a breach of their networks, our workers’ data may be improperly accessed, used o</w:t>
      </w:r>
      <w:r>
        <w:rPr>
          <w:rFonts w:ascii="Arial" w:eastAsia="宋体" w:hAnsi="Arial" w:cs="Arial"/>
          <w:color w:val="000000"/>
          <w:sz w:val="20"/>
          <w:szCs w:val="20"/>
        </w:rPr>
        <w:t>r disclosed.</w:t>
      </w:r>
    </w:p>
    <w:p w14:paraId="59029A6E" w14:textId="77777777" w:rsidR="0084406A" w:rsidRDefault="002B18AF">
      <w:pPr>
        <w:spacing w:before="180"/>
        <w:jc w:val="both"/>
      </w:pPr>
      <w:r>
        <w:rPr>
          <w:rFonts w:ascii="Arial" w:eastAsia="宋体" w:hAnsi="Arial" w:cs="Arial"/>
          <w:color w:val="000000"/>
          <w:sz w:val="20"/>
          <w:szCs w:val="20"/>
        </w:rPr>
        <w:t>A breach of data privacy may cause significant disruption of our business operations. Failure to adequately maintain and update our security systems could materially adversely affect our operations and our ability to maintain worker confidence</w:t>
      </w:r>
      <w:r>
        <w:rPr>
          <w:rFonts w:ascii="Arial" w:eastAsia="宋体" w:hAnsi="Arial" w:cs="Arial"/>
          <w:color w:val="000000"/>
          <w:sz w:val="20"/>
          <w:szCs w:val="20"/>
        </w:rPr>
        <w:t xml:space="preserve">. Failure to prevent unauthorized access to electronic and other confidential information, IT outages, data loss and data breaches could materially adversely affect our financial condition, our competitive position and operating results. </w:t>
      </w:r>
    </w:p>
    <w:p w14:paraId="59029A6F" w14:textId="77777777" w:rsidR="0084406A" w:rsidRDefault="002B18AF">
      <w:pPr>
        <w:spacing w:before="180"/>
        <w:jc w:val="both"/>
      </w:pPr>
      <w:r>
        <w:rPr>
          <w:rFonts w:ascii="Arial" w:eastAsia="宋体" w:hAnsi="Arial" w:cs="Arial"/>
          <w:b/>
          <w:bCs/>
          <w:i/>
          <w:iCs/>
          <w:color w:val="000000"/>
          <w:sz w:val="20"/>
          <w:szCs w:val="20"/>
        </w:rPr>
        <w:t>Uncertainties inv</w:t>
      </w:r>
      <w:r>
        <w:rPr>
          <w:rFonts w:ascii="Arial" w:eastAsia="宋体" w:hAnsi="Arial" w:cs="Arial"/>
          <w:b/>
          <w:bCs/>
          <w:i/>
          <w:iCs/>
          <w:color w:val="000000"/>
          <w:sz w:val="20"/>
          <w:szCs w:val="20"/>
        </w:rPr>
        <w:t>olving the ordering and shipment of our products could materially adversely affect us.</w:t>
      </w:r>
    </w:p>
    <w:p w14:paraId="59029A70" w14:textId="77777777" w:rsidR="0084406A" w:rsidRDefault="002B18AF">
      <w:pPr>
        <w:spacing w:before="180"/>
        <w:jc w:val="both"/>
      </w:pPr>
      <w:r>
        <w:rPr>
          <w:rFonts w:ascii="Arial" w:eastAsia="宋体" w:hAnsi="Arial" w:cs="Arial"/>
          <w:color w:val="000000"/>
          <w:sz w:val="20"/>
          <w:szCs w:val="20"/>
        </w:rPr>
        <w:t>We typically sell our products pursuant to individual purchase orders. We generally do not have long-term supply arrangements with our customers or minimum purchase requ</w:t>
      </w:r>
      <w:r>
        <w:rPr>
          <w:rFonts w:ascii="Arial" w:eastAsia="宋体" w:hAnsi="Arial" w:cs="Arial"/>
          <w:color w:val="000000"/>
          <w:sz w:val="20"/>
          <w:szCs w:val="20"/>
        </w:rPr>
        <w:t>irements except that orders generally must be for standard pack quantities. Generally, our customers may cancel orders for standard products more than 30 days prior to shipment without incurring significant fees. We base our inventory levels in part on cus</w:t>
      </w:r>
      <w:r>
        <w:rPr>
          <w:rFonts w:ascii="Arial" w:eastAsia="宋体" w:hAnsi="Arial" w:cs="Arial"/>
          <w:color w:val="000000"/>
          <w:sz w:val="20"/>
          <w:szCs w:val="20"/>
        </w:rPr>
        <w:t>tomers’ estimates of demand for their products, which may not accurately predict the quantity or type of our products that our customers will want in the future or ultimately end up purchasing. Our ability to forecast demand is even further complicated whe</w:t>
      </w:r>
      <w:r>
        <w:rPr>
          <w:rFonts w:ascii="Arial" w:eastAsia="宋体" w:hAnsi="Arial" w:cs="Arial"/>
          <w:color w:val="000000"/>
          <w:sz w:val="20"/>
          <w:szCs w:val="20"/>
        </w:rPr>
        <w:t>n our products are sold indirectly through downstream channel distributors and customers, as our forecasts for demand are then based on estimates provided by multiple parties throughout the downstream channel. For instance, we have experienced and continue</w:t>
      </w:r>
      <w:r>
        <w:rPr>
          <w:rFonts w:ascii="Arial" w:eastAsia="宋体" w:hAnsi="Arial" w:cs="Arial"/>
          <w:color w:val="000000"/>
          <w:sz w:val="20"/>
          <w:szCs w:val="20"/>
        </w:rPr>
        <w:t xml:space="preserve"> to experience increased demand for our products. To the extent we fail to forecast demand and product mix accurately or are unable to increase production or secure sufficient capacity and there is a mismatch between supply and demand for our products, it </w:t>
      </w:r>
      <w:r>
        <w:rPr>
          <w:rFonts w:ascii="Arial" w:eastAsia="宋体" w:hAnsi="Arial" w:cs="Arial"/>
          <w:color w:val="000000"/>
          <w:sz w:val="20"/>
          <w:szCs w:val="20"/>
        </w:rPr>
        <w:t>could limit our ability to meet customer demand and have a material adverse effect on our business. Many of our markets are characterized by short product lifecycles, which can lead to rapid obsolescence and price erosion. In addition, our customers may ch</w:t>
      </w:r>
      <w:r>
        <w:rPr>
          <w:rFonts w:ascii="Arial" w:eastAsia="宋体" w:hAnsi="Arial" w:cs="Arial"/>
          <w:color w:val="000000"/>
          <w:sz w:val="20"/>
          <w:szCs w:val="20"/>
        </w:rPr>
        <w:t>ange their inventory practices on short notice for any reason. We may build inventories during periods of anticipated growth, and the cancellation or deferral of product orders or overproduction due to failure of anticipated orders to materialize could res</w:t>
      </w:r>
      <w:r>
        <w:rPr>
          <w:rFonts w:ascii="Arial" w:eastAsia="宋体" w:hAnsi="Arial" w:cs="Arial"/>
          <w:color w:val="000000"/>
          <w:sz w:val="20"/>
          <w:szCs w:val="20"/>
        </w:rPr>
        <w:t>ult in excess or obsolete inventory, which could result in write-downs of inventory and an adverse effect on gross margins. Our customers may also experience a shortage of, or delay in receiving, certain components to build their products, which in turn ma</w:t>
      </w:r>
      <w:r>
        <w:rPr>
          <w:rFonts w:ascii="Arial" w:eastAsia="宋体" w:hAnsi="Arial" w:cs="Arial"/>
          <w:color w:val="000000"/>
          <w:sz w:val="20"/>
          <w:szCs w:val="20"/>
        </w:rPr>
        <w:t>y affect the demand for or the timing of our products. For instance, our OEMs have and continue to experience industry-wide challenges securing matched component sets to build their products.</w:t>
      </w:r>
    </w:p>
    <w:p w14:paraId="59029A71" w14:textId="77777777" w:rsidR="0084406A" w:rsidRDefault="002B18AF">
      <w:pPr>
        <w:spacing w:before="180"/>
        <w:jc w:val="both"/>
      </w:pPr>
      <w:r>
        <w:rPr>
          <w:rFonts w:ascii="Arial" w:eastAsia="宋体" w:hAnsi="Arial" w:cs="Arial"/>
          <w:color w:val="000000"/>
          <w:sz w:val="20"/>
          <w:szCs w:val="20"/>
        </w:rPr>
        <w:t xml:space="preserve">Factors that may result in excess or obsolete </w:t>
      </w:r>
      <w:r>
        <w:rPr>
          <w:rFonts w:ascii="Arial" w:eastAsia="宋体" w:hAnsi="Arial" w:cs="Arial"/>
          <w:color w:val="000000"/>
          <w:sz w:val="20"/>
          <w:szCs w:val="20"/>
        </w:rPr>
        <w:t>inventory, which could result in write-downs of the value of our inventory, a reduction in the average selling price or a reduction in our gross margin include: a sudden or significant decrease in demand for our products; a production or design defect in o</w:t>
      </w:r>
      <w:r>
        <w:rPr>
          <w:rFonts w:ascii="Arial" w:eastAsia="宋体" w:hAnsi="Arial" w:cs="Arial"/>
          <w:color w:val="000000"/>
          <w:sz w:val="20"/>
          <w:szCs w:val="20"/>
        </w:rPr>
        <w:t>ur products; a higher incidence of inventory obsolescence because of rapidly changing technology and customer requirements; a failure to accurately estimate customer demand for our products, including for our older products as our new products are introduc</w:t>
      </w:r>
      <w:r>
        <w:rPr>
          <w:rFonts w:ascii="Arial" w:eastAsia="宋体" w:hAnsi="Arial" w:cs="Arial"/>
          <w:color w:val="000000"/>
          <w:sz w:val="20"/>
          <w:szCs w:val="20"/>
        </w:rPr>
        <w:t>ed; or our competitors introducing new products or taking aggressive pricing actions.</w:t>
      </w:r>
    </w:p>
    <w:p w14:paraId="59029A72" w14:textId="77777777" w:rsidR="0084406A" w:rsidRDefault="002B18AF">
      <w:pPr>
        <w:spacing w:before="180"/>
        <w:jc w:val="both"/>
      </w:pPr>
      <w:r>
        <w:rPr>
          <w:rFonts w:ascii="Arial" w:eastAsia="宋体" w:hAnsi="Arial" w:cs="Arial"/>
          <w:b/>
          <w:bCs/>
          <w:i/>
          <w:iCs/>
          <w:color w:val="000000"/>
          <w:sz w:val="20"/>
          <w:szCs w:val="20"/>
        </w:rPr>
        <w:t>Our ability to design and introduce new products in a timely manner is dependent upon third-party intellectual property.</w:t>
      </w:r>
    </w:p>
    <w:p w14:paraId="59029A73" w14:textId="77777777" w:rsidR="0084406A" w:rsidRDefault="002B18AF">
      <w:pPr>
        <w:spacing w:before="180"/>
        <w:jc w:val="both"/>
      </w:pPr>
      <w:r>
        <w:rPr>
          <w:rFonts w:ascii="Arial" w:eastAsia="宋体" w:hAnsi="Arial" w:cs="Arial"/>
          <w:color w:val="000000"/>
          <w:sz w:val="20"/>
          <w:szCs w:val="20"/>
        </w:rPr>
        <w:t>In the design and development of new and enhanced</w:t>
      </w:r>
      <w:r>
        <w:rPr>
          <w:rFonts w:ascii="Arial" w:eastAsia="宋体" w:hAnsi="Arial" w:cs="Arial"/>
          <w:color w:val="000000"/>
          <w:sz w:val="20"/>
          <w:szCs w:val="20"/>
        </w:rPr>
        <w:t xml:space="preserve"> products, we rely on third-party intellectual property such as development and testing tools for software and hardware. Furthermore, certain product features may rely on intellectual property acquired from third parties. The design requirements necessary </w:t>
      </w:r>
      <w:r>
        <w:rPr>
          <w:rFonts w:ascii="Arial" w:eastAsia="宋体" w:hAnsi="Arial" w:cs="Arial"/>
          <w:color w:val="000000"/>
          <w:sz w:val="20"/>
          <w:szCs w:val="20"/>
        </w:rPr>
        <w:t>to meet customer demand for more features and greater functionality from semiconductor products may exceed the capabilities of the third-party intellectual property or development or testing tools available to us. If the third-party intellectual property t</w:t>
      </w:r>
      <w:r>
        <w:rPr>
          <w:rFonts w:ascii="Arial" w:eastAsia="宋体" w:hAnsi="Arial" w:cs="Arial"/>
          <w:color w:val="000000"/>
          <w:sz w:val="20"/>
          <w:szCs w:val="20"/>
        </w:rPr>
        <w:t>hat we use becomes unavailable, is not available with required functionality or performance in the time frame, manufacturing technology, or price point needed for our new products or fails to produce designs that meet customer demands, our business could b</w:t>
      </w:r>
      <w:r>
        <w:rPr>
          <w:rFonts w:ascii="Arial" w:eastAsia="宋体" w:hAnsi="Arial" w:cs="Arial"/>
          <w:color w:val="000000"/>
          <w:sz w:val="20"/>
          <w:szCs w:val="20"/>
        </w:rPr>
        <w:t>e materially adversely affected.</w:t>
      </w:r>
    </w:p>
    <w:p w14:paraId="59029A74" w14:textId="77777777" w:rsidR="0084406A" w:rsidRDefault="002B18AF">
      <w:pPr>
        <w:jc w:val="center"/>
      </w:pPr>
      <w:r>
        <w:rPr>
          <w:rFonts w:ascii="Arial" w:eastAsia="宋体" w:hAnsi="Arial" w:cs="Arial"/>
          <w:color w:val="000000"/>
          <w:sz w:val="20"/>
          <w:szCs w:val="20"/>
        </w:rPr>
        <w:t>24</w:t>
      </w:r>
    </w:p>
    <w:p w14:paraId="59029A75" w14:textId="77777777" w:rsidR="0084406A" w:rsidRDefault="002B18AF">
      <w:r>
        <w:pict w14:anchorId="5902BB0C">
          <v:rect id="_x0000_i1051" style="width:415.3pt;height:1.5pt" o:hralign="center" o:hrstd="t" o:hr="t" fillcolor="#a0a0a0" stroked="f"/>
        </w:pict>
      </w:r>
    </w:p>
    <w:p w14:paraId="59029A76" w14:textId="77777777" w:rsidR="0084406A" w:rsidRDefault="0084406A"/>
    <w:p w14:paraId="59029A77" w14:textId="77777777" w:rsidR="0084406A" w:rsidRDefault="002B18AF">
      <w:pPr>
        <w:spacing w:before="180"/>
        <w:jc w:val="both"/>
      </w:pPr>
      <w:r>
        <w:rPr>
          <w:rFonts w:ascii="Arial" w:eastAsia="宋体" w:hAnsi="Arial" w:cs="Arial"/>
          <w:b/>
          <w:bCs/>
          <w:i/>
          <w:iCs/>
          <w:color w:val="000000"/>
          <w:sz w:val="20"/>
          <w:szCs w:val="20"/>
        </w:rPr>
        <w:t>We depend on third-party companies for the design, manufacture and supply of motherboards, software, memory and other computer platform components to support our business.</w:t>
      </w:r>
    </w:p>
    <w:p w14:paraId="59029A78" w14:textId="77777777" w:rsidR="0084406A" w:rsidRDefault="002B18AF">
      <w:pPr>
        <w:spacing w:before="180"/>
        <w:jc w:val="both"/>
      </w:pPr>
      <w:r>
        <w:rPr>
          <w:rFonts w:ascii="Arial" w:eastAsia="宋体" w:hAnsi="Arial" w:cs="Arial"/>
          <w:color w:val="000000"/>
          <w:sz w:val="20"/>
          <w:szCs w:val="20"/>
        </w:rPr>
        <w:t>We depend on third-party companies for the de</w:t>
      </w:r>
      <w:r>
        <w:rPr>
          <w:rFonts w:ascii="Arial" w:eastAsia="宋体" w:hAnsi="Arial" w:cs="Arial"/>
          <w:color w:val="000000"/>
          <w:sz w:val="20"/>
          <w:szCs w:val="20"/>
        </w:rPr>
        <w:t>sign, manufacture and supply of motherboards, graphics cards, software (e.g., BIOS, operating systems, drivers), memory and other components that our customers utilize to support and/or use our microprocessor, GPU and APU offerings. We also rely on our AIB</w:t>
      </w:r>
      <w:r>
        <w:rPr>
          <w:rFonts w:ascii="Arial" w:eastAsia="宋体" w:hAnsi="Arial" w:cs="Arial"/>
          <w:color w:val="000000"/>
          <w:sz w:val="20"/>
          <w:szCs w:val="20"/>
        </w:rPr>
        <w:t xml:space="preserve"> partners to support our GPU and APU products. In addition, our microprocessors are not designed to function with motherboards and chipsets designed to work with Intel microprocessors. If the designers, manufacturers, AIBs and suppliers of motherboards, gr</w:t>
      </w:r>
      <w:r>
        <w:rPr>
          <w:rFonts w:ascii="Arial" w:eastAsia="宋体" w:hAnsi="Arial" w:cs="Arial"/>
          <w:color w:val="000000"/>
          <w:sz w:val="20"/>
          <w:szCs w:val="20"/>
        </w:rPr>
        <w:t xml:space="preserve">aphics cards, software, memory and other components cease or reduce their design, manufacture or production of current or future products that are based on or support our products, our business could be materially adversely affected. </w:t>
      </w:r>
    </w:p>
    <w:p w14:paraId="59029A79" w14:textId="77777777" w:rsidR="0084406A" w:rsidRDefault="002B18AF">
      <w:pPr>
        <w:spacing w:before="180"/>
        <w:jc w:val="both"/>
      </w:pPr>
      <w:r>
        <w:rPr>
          <w:rFonts w:ascii="Arial" w:eastAsia="宋体" w:hAnsi="Arial" w:cs="Arial"/>
          <w:b/>
          <w:bCs/>
          <w:i/>
          <w:iCs/>
          <w:color w:val="000000"/>
          <w:sz w:val="20"/>
          <w:szCs w:val="20"/>
        </w:rPr>
        <w:t xml:space="preserve">If we lose Microsoft </w:t>
      </w:r>
      <w:r>
        <w:rPr>
          <w:rFonts w:ascii="Arial" w:eastAsia="宋体" w:hAnsi="Arial" w:cs="Arial"/>
          <w:b/>
          <w:bCs/>
          <w:i/>
          <w:iCs/>
          <w:color w:val="000000"/>
          <w:sz w:val="20"/>
          <w:szCs w:val="20"/>
        </w:rPr>
        <w:t>Corporation’s support for our products or other software vendors do not design and develop software to run on our products, our ability to sell our products could be materially adversely affected.</w:t>
      </w:r>
    </w:p>
    <w:p w14:paraId="59029A7A" w14:textId="77777777" w:rsidR="0084406A" w:rsidRDefault="002B18AF">
      <w:pPr>
        <w:spacing w:before="180"/>
        <w:jc w:val="both"/>
      </w:pPr>
      <w:r>
        <w:rPr>
          <w:rFonts w:ascii="Arial" w:eastAsia="宋体" w:hAnsi="Arial" w:cs="Arial"/>
          <w:color w:val="000000"/>
          <w:sz w:val="20"/>
          <w:szCs w:val="20"/>
        </w:rPr>
        <w:t>Our ability to innovate beyond the x86 instruction set cont</w:t>
      </w:r>
      <w:r>
        <w:rPr>
          <w:rFonts w:ascii="Arial" w:eastAsia="宋体" w:hAnsi="Arial" w:cs="Arial"/>
          <w:color w:val="000000"/>
          <w:sz w:val="20"/>
          <w:szCs w:val="20"/>
        </w:rPr>
        <w:t>rolled by Intel depends partially on Microsoft designing and developing its operating systems to run on or support our x86-based microprocessor products. With respect to our graphics products, we depend in part on Microsoft to design and develop its operat</w:t>
      </w:r>
      <w:r>
        <w:rPr>
          <w:rFonts w:ascii="Arial" w:eastAsia="宋体" w:hAnsi="Arial" w:cs="Arial"/>
          <w:color w:val="000000"/>
          <w:sz w:val="20"/>
          <w:szCs w:val="20"/>
        </w:rPr>
        <w:t>ing system to run on or support our graphics products. Similarly, the success of our products in the market, such as our APU products, is dependent on independent software providers designing and developing software to run on our products. If Microsoft doe</w:t>
      </w:r>
      <w:r>
        <w:rPr>
          <w:rFonts w:ascii="Arial" w:eastAsia="宋体" w:hAnsi="Arial" w:cs="Arial"/>
          <w:color w:val="000000"/>
          <w:sz w:val="20"/>
          <w:szCs w:val="20"/>
        </w:rPr>
        <w:t>s not continue to design and develop its operating systems so that they work with our x86 instruction sets or does not continue to develop and maintain their operating systems to support our graphics products, independent software providers may forego desi</w:t>
      </w:r>
      <w:r>
        <w:rPr>
          <w:rFonts w:ascii="Arial" w:eastAsia="宋体" w:hAnsi="Arial" w:cs="Arial"/>
          <w:color w:val="000000"/>
          <w:sz w:val="20"/>
          <w:szCs w:val="20"/>
        </w:rPr>
        <w:t>gning their software applications to take advantage of our innovations and customers may not purchase PCs with our products. In addition, some software drivers licensed for use with our products are certified by Microsoft. If Microsoft did not certify a dr</w:t>
      </w:r>
      <w:r>
        <w:rPr>
          <w:rFonts w:ascii="Arial" w:eastAsia="宋体" w:hAnsi="Arial" w:cs="Arial"/>
          <w:color w:val="000000"/>
          <w:sz w:val="20"/>
          <w:szCs w:val="20"/>
        </w:rPr>
        <w:t>iver, or if we otherwise fail to retain the support of Microsoft or other software vendors, our ability to market our products would be materially adversely affected.</w:t>
      </w:r>
    </w:p>
    <w:p w14:paraId="59029A7B" w14:textId="77777777" w:rsidR="0084406A" w:rsidRDefault="002B18AF">
      <w:pPr>
        <w:spacing w:before="180"/>
        <w:jc w:val="both"/>
      </w:pPr>
      <w:r>
        <w:rPr>
          <w:rFonts w:ascii="Arial" w:eastAsia="宋体" w:hAnsi="Arial" w:cs="Arial"/>
          <w:b/>
          <w:bCs/>
          <w:i/>
          <w:iCs/>
          <w:color w:val="000000"/>
          <w:sz w:val="20"/>
          <w:szCs w:val="20"/>
        </w:rPr>
        <w:t>Our reliance on third-party distributors and AIB partners subjects us to certain risks.</w:t>
      </w:r>
    </w:p>
    <w:p w14:paraId="59029A7C" w14:textId="77777777" w:rsidR="0084406A" w:rsidRDefault="002B18AF">
      <w:pPr>
        <w:spacing w:before="180"/>
        <w:jc w:val="both"/>
      </w:pPr>
      <w:r>
        <w:rPr>
          <w:rFonts w:ascii="Arial" w:eastAsia="宋体" w:hAnsi="Arial" w:cs="Arial"/>
          <w:color w:val="000000"/>
          <w:sz w:val="20"/>
          <w:szCs w:val="20"/>
        </w:rPr>
        <w:t>W</w:t>
      </w:r>
      <w:r>
        <w:rPr>
          <w:rFonts w:ascii="Arial" w:eastAsia="宋体" w:hAnsi="Arial" w:cs="Arial"/>
          <w:color w:val="000000"/>
          <w:sz w:val="20"/>
          <w:szCs w:val="20"/>
        </w:rPr>
        <w:t>e market and sell our products directly and through third-party distributors and AIB partners pursuant to agreements that can generally be terminated for convenience by either party upon prior notice to the other party. These agreements are non-exclusive a</w:t>
      </w:r>
      <w:r>
        <w:rPr>
          <w:rFonts w:ascii="Arial" w:eastAsia="宋体" w:hAnsi="Arial" w:cs="Arial"/>
          <w:color w:val="000000"/>
          <w:sz w:val="20"/>
          <w:szCs w:val="20"/>
        </w:rPr>
        <w:t xml:space="preserve">nd permit both our distributors and AIB partners to offer our competitors’ products. We are dependent on our distributors and AIB partners to supplement our direct marketing and sales efforts. If any significant distributor or AIB partner or a substantial </w:t>
      </w:r>
      <w:r>
        <w:rPr>
          <w:rFonts w:ascii="Arial" w:eastAsia="宋体" w:hAnsi="Arial" w:cs="Arial"/>
          <w:color w:val="000000"/>
          <w:sz w:val="20"/>
          <w:szCs w:val="20"/>
        </w:rPr>
        <w:t xml:space="preserve">number of our distributors or AIB partners terminated their relationship with us, decided to market our competitors’ products over our products or decided not to market our products at all, our ability to bring our products to market would be impacted and </w:t>
      </w:r>
      <w:r>
        <w:rPr>
          <w:rFonts w:ascii="Arial" w:eastAsia="宋体" w:hAnsi="Arial" w:cs="Arial"/>
          <w:color w:val="000000"/>
          <w:sz w:val="20"/>
          <w:szCs w:val="20"/>
        </w:rPr>
        <w:t>we would be materially adversely affected. In addition, if we are unable to collect accounts receivable from our significant distributors and/or AIB partners, it could have a material adverse effect on our business. If we are unable to manage the risks rel</w:t>
      </w:r>
      <w:r>
        <w:rPr>
          <w:rFonts w:ascii="Arial" w:eastAsia="宋体" w:hAnsi="Arial" w:cs="Arial"/>
          <w:color w:val="000000"/>
          <w:sz w:val="20"/>
          <w:szCs w:val="20"/>
        </w:rPr>
        <w:t>ated to the use of our third-party distributors and AIB partners or offer appropriate incentives to focus them on the sale of our products, our business could be materially adversely affected.</w:t>
      </w:r>
    </w:p>
    <w:p w14:paraId="59029A7D" w14:textId="77777777" w:rsidR="0084406A" w:rsidRDefault="002B18AF">
      <w:pPr>
        <w:spacing w:before="180"/>
        <w:jc w:val="both"/>
      </w:pPr>
      <w:r>
        <w:rPr>
          <w:rFonts w:ascii="Arial" w:eastAsia="宋体" w:hAnsi="Arial" w:cs="Arial"/>
          <w:color w:val="000000"/>
          <w:sz w:val="20"/>
          <w:szCs w:val="20"/>
        </w:rPr>
        <w:t xml:space="preserve">Additionally, distributors and AIB partners typically maintain </w:t>
      </w:r>
      <w:r>
        <w:rPr>
          <w:rFonts w:ascii="Arial" w:eastAsia="宋体" w:hAnsi="Arial" w:cs="Arial"/>
          <w:color w:val="000000"/>
          <w:sz w:val="20"/>
          <w:szCs w:val="20"/>
        </w:rPr>
        <w:t xml:space="preserve">an inventory of our products. In most instances, our agreements with distributors protect their inventory of our products against price reductions, as well as provide return rights for any product that we have removed from our price book that is less than </w:t>
      </w:r>
      <w:r>
        <w:rPr>
          <w:rFonts w:ascii="Arial" w:eastAsia="宋体" w:hAnsi="Arial" w:cs="Arial"/>
          <w:color w:val="000000"/>
          <w:sz w:val="20"/>
          <w:szCs w:val="20"/>
        </w:rPr>
        <w:t>12 months older than the manufacturing date. Some agreements with our distributors also contain standard stock rotation provisions permitting limited levels of product returns. Our agreements with AIB partners protect their inventory of our products agains</w:t>
      </w:r>
      <w:r>
        <w:rPr>
          <w:rFonts w:ascii="Arial" w:eastAsia="宋体" w:hAnsi="Arial" w:cs="Arial"/>
          <w:color w:val="000000"/>
          <w:sz w:val="20"/>
          <w:szCs w:val="20"/>
        </w:rPr>
        <w:t>t price reductions. In the event of a significant decline in the price of our products, the price protection rights we offer would materially adversely affect us because our revenue and corresponding gross margin would decline.</w:t>
      </w:r>
    </w:p>
    <w:p w14:paraId="59029A7E" w14:textId="77777777" w:rsidR="0084406A" w:rsidRDefault="002B18AF">
      <w:pPr>
        <w:spacing w:before="180"/>
        <w:jc w:val="both"/>
      </w:pPr>
      <w:r>
        <w:rPr>
          <w:rFonts w:ascii="Arial" w:eastAsia="宋体" w:hAnsi="Arial" w:cs="Arial"/>
          <w:b/>
          <w:bCs/>
          <w:i/>
          <w:iCs/>
          <w:color w:val="000000"/>
          <w:sz w:val="20"/>
          <w:szCs w:val="20"/>
        </w:rPr>
        <w:t xml:space="preserve">Our business is </w:t>
      </w:r>
      <w:r>
        <w:rPr>
          <w:rFonts w:ascii="Arial" w:eastAsia="宋体" w:hAnsi="Arial" w:cs="Arial"/>
          <w:b/>
          <w:bCs/>
          <w:i/>
          <w:iCs/>
          <w:color w:val="000000"/>
          <w:sz w:val="20"/>
          <w:szCs w:val="20"/>
        </w:rPr>
        <w:t>dependent upon the proper functioning of our internal business processes and information systems and modification or interruption of such systems may disrupt our business, processes and internal controls.</w:t>
      </w:r>
    </w:p>
    <w:p w14:paraId="59029A7F" w14:textId="77777777" w:rsidR="0084406A" w:rsidRDefault="002B18AF">
      <w:pPr>
        <w:spacing w:before="180"/>
        <w:jc w:val="both"/>
      </w:pPr>
      <w:r>
        <w:rPr>
          <w:rFonts w:ascii="Arial" w:eastAsia="宋体" w:hAnsi="Arial" w:cs="Arial"/>
          <w:color w:val="000000"/>
          <w:sz w:val="20"/>
          <w:szCs w:val="20"/>
        </w:rPr>
        <w:t>We rely upon a number of internal business processe</w:t>
      </w:r>
      <w:r>
        <w:rPr>
          <w:rFonts w:ascii="Arial" w:eastAsia="宋体" w:hAnsi="Arial" w:cs="Arial"/>
          <w:color w:val="000000"/>
          <w:sz w:val="20"/>
          <w:szCs w:val="20"/>
        </w:rPr>
        <w:t>s and information systems to support key business functions, and the efficient operation of these processes and systems is critical to our business. Our business processes and information systems need to be sufficiently scalable to support the growth of ou</w:t>
      </w:r>
      <w:r>
        <w:rPr>
          <w:rFonts w:ascii="Arial" w:eastAsia="宋体" w:hAnsi="Arial" w:cs="Arial"/>
          <w:color w:val="000000"/>
          <w:sz w:val="20"/>
          <w:szCs w:val="20"/>
        </w:rPr>
        <w:t xml:space="preserve">r business and may require modifications or upgrades that expose us to a number of operational risks. As such, our information systems will continually evolve and adapt in order to meet our business needs. These changes may be costly and disruptive to our </w:t>
      </w:r>
      <w:r>
        <w:rPr>
          <w:rFonts w:ascii="Arial" w:eastAsia="宋体" w:hAnsi="Arial" w:cs="Arial"/>
          <w:color w:val="000000"/>
          <w:sz w:val="20"/>
          <w:szCs w:val="20"/>
        </w:rPr>
        <w:t>operations and could impose substantial demands on management time.</w:t>
      </w:r>
    </w:p>
    <w:p w14:paraId="59029A80" w14:textId="77777777" w:rsidR="0084406A" w:rsidRDefault="002B18AF">
      <w:pPr>
        <w:jc w:val="center"/>
      </w:pPr>
      <w:r>
        <w:rPr>
          <w:rFonts w:ascii="Arial" w:eastAsia="宋体" w:hAnsi="Arial" w:cs="Arial"/>
          <w:color w:val="000000"/>
          <w:sz w:val="20"/>
          <w:szCs w:val="20"/>
        </w:rPr>
        <w:t>25</w:t>
      </w:r>
    </w:p>
    <w:p w14:paraId="59029A81" w14:textId="77777777" w:rsidR="0084406A" w:rsidRDefault="002B18AF">
      <w:r>
        <w:pict w14:anchorId="5902BB0D">
          <v:rect id="_x0000_i1052" style="width:415.3pt;height:1.5pt" o:hralign="center" o:hrstd="t" o:hr="t" fillcolor="#a0a0a0" stroked="f"/>
        </w:pict>
      </w:r>
    </w:p>
    <w:p w14:paraId="59029A82" w14:textId="77777777" w:rsidR="0084406A" w:rsidRDefault="0084406A"/>
    <w:p w14:paraId="59029A83" w14:textId="77777777" w:rsidR="0084406A" w:rsidRDefault="002B18AF">
      <w:pPr>
        <w:spacing w:before="180"/>
        <w:jc w:val="both"/>
      </w:pPr>
      <w:r>
        <w:rPr>
          <w:rFonts w:ascii="Arial" w:eastAsia="宋体" w:hAnsi="Arial" w:cs="Arial"/>
          <w:color w:val="000000"/>
          <w:sz w:val="20"/>
          <w:szCs w:val="20"/>
        </w:rPr>
        <w:t>These changes may also require changes in our information systems, modification of internal control procedures and significant training of employees and third-party resources. We con</w:t>
      </w:r>
      <w:r>
        <w:rPr>
          <w:rFonts w:ascii="Arial" w:eastAsia="宋体" w:hAnsi="Arial" w:cs="Arial"/>
          <w:color w:val="000000"/>
          <w:sz w:val="20"/>
          <w:szCs w:val="20"/>
        </w:rPr>
        <w:t xml:space="preserve">tinuously work on simplifying our information systems and applications through consolidation and standardization efforts. There can be no assurance that our business and operations will not experience any disruption in connection with this transition. Our </w:t>
      </w:r>
      <w:r>
        <w:rPr>
          <w:rFonts w:ascii="Arial" w:eastAsia="宋体" w:hAnsi="Arial" w:cs="Arial"/>
          <w:color w:val="000000"/>
          <w:sz w:val="20"/>
          <w:szCs w:val="20"/>
        </w:rPr>
        <w:t>information technology systems, and those of third-party information technology providers or business partners, may also be vulnerable to damage or disruption caused by circumstances beyond our control including catastrophic events, power anomalies or outa</w:t>
      </w:r>
      <w:r>
        <w:rPr>
          <w:rFonts w:ascii="Arial" w:eastAsia="宋体" w:hAnsi="Arial" w:cs="Arial"/>
          <w:color w:val="000000"/>
          <w:sz w:val="20"/>
          <w:szCs w:val="20"/>
        </w:rPr>
        <w:t>ges, natural disasters, viruses or malware, cyber-attacks, data breaches and computer system or network failures, exposing us to significant cost, reputational harm and disruption or damage to our business.</w:t>
      </w:r>
    </w:p>
    <w:p w14:paraId="59029A84" w14:textId="77777777" w:rsidR="0084406A" w:rsidRDefault="002B18AF">
      <w:pPr>
        <w:spacing w:before="180"/>
        <w:jc w:val="both"/>
      </w:pPr>
      <w:r>
        <w:rPr>
          <w:rFonts w:ascii="Arial" w:eastAsia="宋体" w:hAnsi="Arial" w:cs="Arial"/>
          <w:color w:val="000000"/>
          <w:sz w:val="20"/>
          <w:szCs w:val="20"/>
        </w:rPr>
        <w:t>In addition, as our IT environment continues to e</w:t>
      </w:r>
      <w:r>
        <w:rPr>
          <w:rFonts w:ascii="Arial" w:eastAsia="宋体" w:hAnsi="Arial" w:cs="Arial"/>
          <w:color w:val="000000"/>
          <w:sz w:val="20"/>
          <w:szCs w:val="20"/>
        </w:rPr>
        <w:t>volve, we are embracing new ways of communicating and sharing data internally and externally with customers and partners using methods such as mobility and the cloud that can promote business efficiency. However, these practices can also result in a more d</w:t>
      </w:r>
      <w:r>
        <w:rPr>
          <w:rFonts w:ascii="Arial" w:eastAsia="宋体" w:hAnsi="Arial" w:cs="Arial"/>
          <w:color w:val="000000"/>
          <w:sz w:val="20"/>
          <w:szCs w:val="20"/>
        </w:rPr>
        <w:t>istributed IT environment, making it more difficult for us to maintain visibility and control over internal and external users, and meet scalability and administrative requirements. If our security controls cannot keep pace with the speed of these changes,</w:t>
      </w:r>
      <w:r>
        <w:rPr>
          <w:rFonts w:ascii="Arial" w:eastAsia="宋体" w:hAnsi="Arial" w:cs="Arial"/>
          <w:color w:val="000000"/>
          <w:sz w:val="20"/>
          <w:szCs w:val="20"/>
        </w:rPr>
        <w:t xml:space="preserve"> or if we are not able to meet regulatory and compliance requirements, our business would be materially adversely affected.</w:t>
      </w:r>
    </w:p>
    <w:p w14:paraId="59029A85" w14:textId="77777777" w:rsidR="0084406A" w:rsidRDefault="002B18AF">
      <w:pPr>
        <w:spacing w:before="180"/>
        <w:jc w:val="both"/>
      </w:pPr>
      <w:r>
        <w:rPr>
          <w:rFonts w:ascii="Arial" w:eastAsia="宋体" w:hAnsi="Arial" w:cs="Arial"/>
          <w:b/>
          <w:bCs/>
          <w:i/>
          <w:iCs/>
          <w:color w:val="000000"/>
          <w:sz w:val="20"/>
          <w:szCs w:val="20"/>
        </w:rPr>
        <w:t>If our products are not compatible with some or all industry-standard software and hardware, we could be materially adversely affect</w:t>
      </w:r>
      <w:r>
        <w:rPr>
          <w:rFonts w:ascii="Arial" w:eastAsia="宋体" w:hAnsi="Arial" w:cs="Arial"/>
          <w:b/>
          <w:bCs/>
          <w:i/>
          <w:iCs/>
          <w:color w:val="000000"/>
          <w:sz w:val="20"/>
          <w:szCs w:val="20"/>
        </w:rPr>
        <w:t>ed.</w:t>
      </w:r>
    </w:p>
    <w:p w14:paraId="59029A86" w14:textId="77777777" w:rsidR="0084406A" w:rsidRDefault="002B18AF">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w:t>
      </w:r>
      <w:r>
        <w:rPr>
          <w:rFonts w:ascii="Arial" w:eastAsia="宋体" w:hAnsi="Arial" w:cs="Arial"/>
          <w:color w:val="000000"/>
          <w:sz w:val="20"/>
          <w:szCs w:val="20"/>
        </w:rPr>
        <w:t>th software or hardware, we could be materially adversely affected. In addition, the mere announcement of an incompatibility problem relating to our products could have a material adverse effect on our business.</w:t>
      </w:r>
    </w:p>
    <w:p w14:paraId="59029A87" w14:textId="77777777" w:rsidR="0084406A" w:rsidRDefault="002B18AF">
      <w:pPr>
        <w:spacing w:before="180"/>
        <w:jc w:val="both"/>
      </w:pPr>
      <w:r>
        <w:rPr>
          <w:rFonts w:ascii="Arial" w:eastAsia="宋体" w:hAnsi="Arial" w:cs="Arial"/>
          <w:b/>
          <w:bCs/>
          <w:i/>
          <w:iCs/>
          <w:color w:val="000000"/>
          <w:sz w:val="20"/>
          <w:szCs w:val="20"/>
        </w:rPr>
        <w:t>Costs related to defective products could ha</w:t>
      </w:r>
      <w:r>
        <w:rPr>
          <w:rFonts w:ascii="Arial" w:eastAsia="宋体" w:hAnsi="Arial" w:cs="Arial"/>
          <w:b/>
          <w:bCs/>
          <w:i/>
          <w:iCs/>
          <w:color w:val="000000"/>
          <w:sz w:val="20"/>
          <w:szCs w:val="20"/>
        </w:rPr>
        <w:t>ve a material adverse effect on us.</w:t>
      </w:r>
    </w:p>
    <w:p w14:paraId="59029A88" w14:textId="77777777" w:rsidR="0084406A" w:rsidRDefault="002B18AF">
      <w:pPr>
        <w:spacing w:before="18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procedure</w:t>
      </w:r>
      <w:r>
        <w:rPr>
          <w:rFonts w:ascii="Arial" w:eastAsia="宋体" w:hAnsi="Arial" w:cs="Arial"/>
          <w:color w:val="000000"/>
          <w:sz w:val="20"/>
          <w:szCs w:val="20"/>
        </w:rPr>
        <w:t>s, errors will not be found in new products or releases after commencement of commercial shipments in the future, which could result in loss of or delay in market acceptance of our products, material recall and replacement costs, loss of revenue, writing d</w:t>
      </w:r>
      <w:r>
        <w:rPr>
          <w:rFonts w:ascii="Arial" w:eastAsia="宋体" w:hAnsi="Arial" w:cs="Arial"/>
          <w:color w:val="000000"/>
          <w:sz w:val="20"/>
          <w:szCs w:val="20"/>
        </w:rPr>
        <w:t>own the inventory of defective products, the diversion of the attention of our engineering personnel from product development efforts, defending against litigation related to defective products or related liabilities, including property damage, personal in</w:t>
      </w:r>
      <w:r>
        <w:rPr>
          <w:rFonts w:ascii="Arial" w:eastAsia="宋体" w:hAnsi="Arial" w:cs="Arial"/>
          <w:color w:val="000000"/>
          <w:sz w:val="20"/>
          <w:szCs w:val="20"/>
        </w:rPr>
        <w:t>jury, damage to our reputation in the industry and loss of data or intangible property, and could adversely affect our relationships with our customers. In addition, we may have difficulty identifying the end customers of the defective products in the fiel</w:t>
      </w:r>
      <w:r>
        <w:rPr>
          <w:rFonts w:ascii="Arial" w:eastAsia="宋体" w:hAnsi="Arial" w:cs="Arial"/>
          <w:color w:val="000000"/>
          <w:sz w:val="20"/>
          <w:szCs w:val="20"/>
        </w:rPr>
        <w:t>d. As a result, we could incur substantial costs to implement modifications to correct defects. Any of these problems could materially adversely affect our business.</w:t>
      </w:r>
    </w:p>
    <w:p w14:paraId="59029A89" w14:textId="77777777" w:rsidR="0084406A" w:rsidRDefault="002B18AF">
      <w:pPr>
        <w:spacing w:before="180"/>
        <w:jc w:val="both"/>
      </w:pPr>
      <w:r>
        <w:rPr>
          <w:rFonts w:ascii="Arial" w:eastAsia="宋体" w:hAnsi="Arial" w:cs="Arial"/>
          <w:color w:val="000000"/>
          <w:sz w:val="20"/>
          <w:szCs w:val="20"/>
        </w:rPr>
        <w:t>We could be subject to potential product liability claims if one of our products causes, o</w:t>
      </w:r>
      <w:r>
        <w:rPr>
          <w:rFonts w:ascii="Arial" w:eastAsia="宋体" w:hAnsi="Arial" w:cs="Arial"/>
          <w:color w:val="000000"/>
          <w:sz w:val="20"/>
          <w:szCs w:val="20"/>
        </w:rPr>
        <w:t>r merely appears to have caused, an injury, whether tangible or intangible. Claims may be made by consumers or others selling our products, and we may be subject to claims against us even if an alleged injury is due to the actions of others. A product liab</w:t>
      </w:r>
      <w:r>
        <w:rPr>
          <w:rFonts w:ascii="Arial" w:eastAsia="宋体" w:hAnsi="Arial" w:cs="Arial"/>
          <w:color w:val="000000"/>
          <w:sz w:val="20"/>
          <w:szCs w:val="20"/>
        </w:rPr>
        <w:t>ility claim, recall or other claim with respect to uninsured liabilities or for amounts in excess of insured liabilities could have a material adverse effect on our business.</w:t>
      </w:r>
    </w:p>
    <w:p w14:paraId="59029A8A" w14:textId="77777777" w:rsidR="0084406A" w:rsidRDefault="002B18AF">
      <w:pPr>
        <w:spacing w:before="180"/>
        <w:jc w:val="both"/>
      </w:pPr>
      <w:r>
        <w:rPr>
          <w:rFonts w:ascii="Arial" w:eastAsia="宋体" w:hAnsi="Arial" w:cs="Arial"/>
          <w:b/>
          <w:bCs/>
          <w:i/>
          <w:iCs/>
          <w:color w:val="000000"/>
          <w:sz w:val="20"/>
          <w:szCs w:val="20"/>
        </w:rPr>
        <w:t>If we fail to maintain the efficiency of our supply chain as we respond to change</w:t>
      </w:r>
      <w:r>
        <w:rPr>
          <w:rFonts w:ascii="Arial" w:eastAsia="宋体" w:hAnsi="Arial" w:cs="Arial"/>
          <w:b/>
          <w:bCs/>
          <w:i/>
          <w:iCs/>
          <w:color w:val="000000"/>
          <w:sz w:val="20"/>
          <w:szCs w:val="20"/>
        </w:rPr>
        <w:t>s in customer demand for our products, our business could be materially adversely affected.</w:t>
      </w:r>
    </w:p>
    <w:p w14:paraId="59029A8B" w14:textId="77777777" w:rsidR="0084406A" w:rsidRDefault="002B18AF">
      <w:pPr>
        <w:spacing w:before="180"/>
        <w:jc w:val="both"/>
      </w:pPr>
      <w:r>
        <w:rPr>
          <w:rFonts w:ascii="Arial" w:eastAsia="宋体" w:hAnsi="Arial" w:cs="Arial"/>
          <w:color w:val="000000"/>
          <w:sz w:val="20"/>
          <w:szCs w:val="20"/>
        </w:rPr>
        <w:t xml:space="preserve">Our ability to meet customer demand for our products depends, in part, on our ability to deliver the products our customers want on a timely basis. Accordingly, we </w:t>
      </w:r>
      <w:r>
        <w:rPr>
          <w:rFonts w:ascii="Arial" w:eastAsia="宋体" w:hAnsi="Arial" w:cs="Arial"/>
          <w:color w:val="000000"/>
          <w:sz w:val="20"/>
          <w:szCs w:val="20"/>
        </w:rPr>
        <w:t>rely on our supply chain for the manufacturing, distribution and fulfillment of our products. As we continue to grow our business, expand to high-growth adjacent markets, acquire new customers and strengthen relationships with existing customers, the effic</w:t>
      </w:r>
      <w:r>
        <w:rPr>
          <w:rFonts w:ascii="Arial" w:eastAsia="宋体" w:hAnsi="Arial" w:cs="Arial"/>
          <w:color w:val="000000"/>
          <w:sz w:val="20"/>
          <w:szCs w:val="20"/>
        </w:rPr>
        <w:t>iency of our supply chain will become increasingly important because many of our customers tend to have specific requirements for particular products, and specific time-frames in which they require delivery of these products. If we are unable to consistent</w:t>
      </w:r>
      <w:r>
        <w:rPr>
          <w:rFonts w:ascii="Arial" w:eastAsia="宋体" w:hAnsi="Arial" w:cs="Arial"/>
          <w:color w:val="000000"/>
          <w:sz w:val="20"/>
          <w:szCs w:val="20"/>
        </w:rPr>
        <w:t>ly deliver the right products to our customers on a timely basis in the right locations, our customers may reduce the quantities they order from us, which could have a material adverse effect on our business.</w:t>
      </w:r>
    </w:p>
    <w:p w14:paraId="59029A8C" w14:textId="77777777" w:rsidR="0084406A" w:rsidRDefault="002B18AF">
      <w:pPr>
        <w:jc w:val="center"/>
      </w:pPr>
      <w:r>
        <w:rPr>
          <w:rFonts w:ascii="Arial" w:eastAsia="宋体" w:hAnsi="Arial" w:cs="Arial"/>
          <w:color w:val="000000"/>
          <w:sz w:val="20"/>
          <w:szCs w:val="20"/>
        </w:rPr>
        <w:t>26</w:t>
      </w:r>
    </w:p>
    <w:p w14:paraId="59029A8D" w14:textId="77777777" w:rsidR="0084406A" w:rsidRDefault="002B18AF">
      <w:r>
        <w:pict w14:anchorId="5902BB0E">
          <v:rect id="_x0000_i1053" style="width:415.3pt;height:1.5pt" o:hralign="center" o:hrstd="t" o:hr="t" fillcolor="#a0a0a0" stroked="f"/>
        </w:pict>
      </w:r>
    </w:p>
    <w:p w14:paraId="59029A8E" w14:textId="77777777" w:rsidR="0084406A" w:rsidRDefault="0084406A"/>
    <w:p w14:paraId="59029A8F" w14:textId="77777777" w:rsidR="0084406A" w:rsidRDefault="002B18AF">
      <w:pPr>
        <w:spacing w:before="180"/>
        <w:jc w:val="both"/>
      </w:pPr>
      <w:r>
        <w:rPr>
          <w:rFonts w:ascii="Arial" w:eastAsia="宋体" w:hAnsi="Arial" w:cs="Arial"/>
          <w:b/>
          <w:bCs/>
          <w:i/>
          <w:iCs/>
          <w:color w:val="000000"/>
          <w:sz w:val="20"/>
          <w:szCs w:val="20"/>
        </w:rPr>
        <w:t>We outsource to third parties certain sup</w:t>
      </w:r>
      <w:r>
        <w:rPr>
          <w:rFonts w:ascii="Arial" w:eastAsia="宋体" w:hAnsi="Arial" w:cs="Arial"/>
          <w:b/>
          <w:bCs/>
          <w:i/>
          <w:iCs/>
          <w:color w:val="000000"/>
          <w:sz w:val="20"/>
          <w:szCs w:val="20"/>
        </w:rPr>
        <w:t>ply-chain logistics functions, including portions of our product distribution, transportation management and information technology support services.</w:t>
      </w:r>
    </w:p>
    <w:p w14:paraId="59029A90" w14:textId="77777777" w:rsidR="0084406A" w:rsidRDefault="002B18AF">
      <w:pPr>
        <w:spacing w:before="180"/>
        <w:jc w:val="both"/>
      </w:pPr>
      <w:r>
        <w:rPr>
          <w:rFonts w:ascii="Arial" w:eastAsia="宋体" w:hAnsi="Arial" w:cs="Arial"/>
          <w:color w:val="000000"/>
          <w:sz w:val="20"/>
          <w:szCs w:val="20"/>
        </w:rPr>
        <w:t>We rely on third-party providers to operate our regional product distribution centers and to manage the tr</w:t>
      </w:r>
      <w:r>
        <w:rPr>
          <w:rFonts w:ascii="Arial" w:eastAsia="宋体" w:hAnsi="Arial" w:cs="Arial"/>
          <w:color w:val="000000"/>
          <w:sz w:val="20"/>
          <w:szCs w:val="20"/>
        </w:rPr>
        <w:t>ansportation of our work-in-process and finished products among our facilities, to our manufacturing suppliers and to our customers. In addition, we rely on third parties to provide certain information technology services to us, including help desk support</w:t>
      </w:r>
      <w:r>
        <w:rPr>
          <w:rFonts w:ascii="Arial" w:eastAsia="宋体" w:hAnsi="Arial" w:cs="Arial"/>
          <w:color w:val="000000"/>
          <w:sz w:val="20"/>
          <w:szCs w:val="20"/>
        </w:rPr>
        <w:t>, desktop application services, business and software support applications, server and storage administration, data center operations, database administration and voice, video and remote access. We cannot guarantee that these providers will fulfill their r</w:t>
      </w:r>
      <w:r>
        <w:rPr>
          <w:rFonts w:ascii="Arial" w:eastAsia="宋体" w:hAnsi="Arial" w:cs="Arial"/>
          <w:color w:val="000000"/>
          <w:sz w:val="20"/>
          <w:szCs w:val="20"/>
        </w:rPr>
        <w:t>espective responsibilities in a timely manner in accordance with the contract terms, in which case our internal operations and the distribution of our products to our customers could be materially adversely affected. Also, we cannot guarantee that our cont</w:t>
      </w:r>
      <w:r>
        <w:rPr>
          <w:rFonts w:ascii="Arial" w:eastAsia="宋体" w:hAnsi="Arial" w:cs="Arial"/>
          <w:color w:val="000000"/>
          <w:sz w:val="20"/>
          <w:szCs w:val="20"/>
        </w:rPr>
        <w:t>racts with these third-party providers will be renewed, in which case we would have to transition these functions in-house or secure new providers, which could have a material adverse effect on our business if the transition is not executed appropriately.</w:t>
      </w:r>
    </w:p>
    <w:p w14:paraId="59029A91" w14:textId="77777777" w:rsidR="0084406A" w:rsidRDefault="002B18AF">
      <w:pPr>
        <w:spacing w:before="18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59029A92" w14:textId="77777777" w:rsidR="0084406A" w:rsidRDefault="002B18AF">
      <w:pPr>
        <w:spacing w:before="180"/>
        <w:jc w:val="both"/>
      </w:pPr>
      <w:r>
        <w:rPr>
          <w:rFonts w:ascii="Arial" w:eastAsia="宋体" w:hAnsi="Arial" w:cs="Arial"/>
          <w:color w:val="000000"/>
          <w:sz w:val="20"/>
          <w:szCs w:val="20"/>
        </w:rPr>
        <w:t xml:space="preserve">We market and sell our products directly to OEMs and through authorized third-party distributors. From time to time, our products </w:t>
      </w:r>
      <w:r>
        <w:rPr>
          <w:rFonts w:ascii="Arial" w:eastAsia="宋体" w:hAnsi="Arial" w:cs="Arial"/>
          <w:color w:val="000000"/>
          <w:sz w:val="20"/>
          <w:szCs w:val="20"/>
        </w:rPr>
        <w:t>are diverted from our authorized distribution channels and are sold on the “gray market.” Gray market products result in shadow inventory that is not visible to us, thus making it difficult to forecast demand accurately. Also, when gray market products ent</w:t>
      </w:r>
      <w:r>
        <w:rPr>
          <w:rFonts w:ascii="Arial" w:eastAsia="宋体" w:hAnsi="Arial" w:cs="Arial"/>
          <w:color w:val="000000"/>
          <w:sz w:val="20"/>
          <w:szCs w:val="20"/>
        </w:rPr>
        <w:t>er the market, we and our distribution channels compete with these heavily discounted gray market products, which adversely affects demand for our products and negatively impacts our margins. In addition, our inability to control gray market activities cou</w:t>
      </w:r>
      <w:r>
        <w:rPr>
          <w:rFonts w:ascii="Arial" w:eastAsia="宋体" w:hAnsi="Arial" w:cs="Arial"/>
          <w:color w:val="000000"/>
          <w:sz w:val="20"/>
          <w:szCs w:val="20"/>
        </w:rPr>
        <w:t>ld result in customer satisfaction issues because any time products are purchased outside our authorized distribution channels there is a risk that our customers are buying counterfeit or substandard products, including products that may have been altered,</w:t>
      </w:r>
      <w:r>
        <w:rPr>
          <w:rFonts w:ascii="Arial" w:eastAsia="宋体" w:hAnsi="Arial" w:cs="Arial"/>
          <w:color w:val="000000"/>
          <w:sz w:val="20"/>
          <w:szCs w:val="20"/>
        </w:rPr>
        <w:t xml:space="preserve"> mishandled or damaged, or are used products represented as new. </w:t>
      </w:r>
    </w:p>
    <w:p w14:paraId="59029A93" w14:textId="77777777" w:rsidR="0084406A" w:rsidRDefault="002B18AF">
      <w:pPr>
        <w:spacing w:before="180"/>
        <w:jc w:val="both"/>
      </w:pPr>
      <w:r>
        <w:rPr>
          <w:rFonts w:ascii="Arial" w:eastAsia="宋体" w:hAnsi="Arial" w:cs="Arial"/>
          <w:b/>
          <w:bCs/>
          <w:color w:val="000000"/>
          <w:sz w:val="20"/>
          <w:szCs w:val="20"/>
        </w:rPr>
        <w:t>Legal and Regulatory Risks</w:t>
      </w:r>
    </w:p>
    <w:p w14:paraId="59029A94" w14:textId="77777777" w:rsidR="0084406A" w:rsidRDefault="002B18AF">
      <w:pPr>
        <w:spacing w:before="180"/>
        <w:jc w:val="both"/>
      </w:pPr>
      <w:r>
        <w:rPr>
          <w:rFonts w:ascii="Arial" w:eastAsia="宋体" w:hAnsi="Arial" w:cs="Arial"/>
          <w:b/>
          <w:bCs/>
          <w:i/>
          <w:iCs/>
          <w:color w:val="000000"/>
          <w:sz w:val="20"/>
          <w:szCs w:val="20"/>
        </w:rPr>
        <w:t>Government actions and regulations such as export administration regulations, tariffs, and trade protection measures may limit our ability to export our products t</w:t>
      </w:r>
      <w:r>
        <w:rPr>
          <w:rFonts w:ascii="Arial" w:eastAsia="宋体" w:hAnsi="Arial" w:cs="Arial"/>
          <w:b/>
          <w:bCs/>
          <w:i/>
          <w:iCs/>
          <w:color w:val="000000"/>
          <w:sz w:val="20"/>
          <w:szCs w:val="20"/>
        </w:rPr>
        <w:t>o certain customers.</w:t>
      </w:r>
    </w:p>
    <w:p w14:paraId="59029A95" w14:textId="77777777" w:rsidR="0084406A" w:rsidRDefault="002B18AF">
      <w:pPr>
        <w:spacing w:before="180"/>
        <w:jc w:val="both"/>
      </w:pPr>
      <w:r>
        <w:rPr>
          <w:rFonts w:ascii="Arial" w:eastAsia="宋体" w:hAnsi="Arial" w:cs="Arial"/>
          <w:color w:val="000000"/>
          <w:sz w:val="20"/>
          <w:szCs w:val="20"/>
        </w:rPr>
        <w:t>We have equity interests in two joint ventures (collectively, the THATIC JV) with Higon Information Technology Co., Ltd. (THATIC), a third-party Chinese entity. In June 2019, the Bureau of Industry and Security (BIS) of the United Stat</w:t>
      </w:r>
      <w:r>
        <w:rPr>
          <w:rFonts w:ascii="Arial" w:eastAsia="宋体" w:hAnsi="Arial" w:cs="Arial"/>
          <w:color w:val="000000"/>
          <w:sz w:val="20"/>
          <w:szCs w:val="20"/>
        </w:rPr>
        <w:t>es Department of Commerce added certain Chinese entities to the Entity List, including THATIC and the THATIC JV. In October 2019, the BIS added additional Chinese entities to the Entity List. Also, the United States administration has called for changes to</w:t>
      </w:r>
      <w:r>
        <w:rPr>
          <w:rFonts w:ascii="Arial" w:eastAsia="宋体" w:hAnsi="Arial" w:cs="Arial"/>
          <w:color w:val="000000"/>
          <w:sz w:val="20"/>
          <w:szCs w:val="20"/>
        </w:rPr>
        <w:t xml:space="preserve"> domestic and foreign policy. Specifically, United States-China trade relations remain uncertain. The United States administration has announced tariffs on certain products imported into the United States with China as the country of origin, and China has </w:t>
      </w:r>
      <w:r>
        <w:rPr>
          <w:rFonts w:ascii="Arial" w:eastAsia="宋体" w:hAnsi="Arial" w:cs="Arial"/>
          <w:color w:val="000000"/>
          <w:sz w:val="20"/>
          <w:szCs w:val="20"/>
        </w:rPr>
        <w:t xml:space="preserve">imposed tariffs in response to the actions of the United States. We are taking steps to mitigate the impact of these tariffs on our business and AMD processor-based products. There is also a possibility of future tariffs, trade protection measures, import </w:t>
      </w:r>
      <w:r>
        <w:rPr>
          <w:rFonts w:ascii="Arial" w:eastAsia="宋体" w:hAnsi="Arial" w:cs="Arial"/>
          <w:color w:val="000000"/>
          <w:sz w:val="20"/>
          <w:szCs w:val="20"/>
        </w:rPr>
        <w:t>or export regulations or other restrictions imposed on our products or on our customers by the United States, China or other countries that could have a material adverse effect on our business. A significant trade disruption or the establishment or increas</w:t>
      </w:r>
      <w:r>
        <w:rPr>
          <w:rFonts w:ascii="Arial" w:eastAsia="宋体" w:hAnsi="Arial" w:cs="Arial"/>
          <w:color w:val="000000"/>
          <w:sz w:val="20"/>
          <w:szCs w:val="20"/>
        </w:rPr>
        <w:t>e of any tariffs, trade protection measures or restrictions could result in lost sales adversely impacting our reputation and business.</w:t>
      </w:r>
    </w:p>
    <w:p w14:paraId="59029A96" w14:textId="77777777" w:rsidR="0084406A" w:rsidRDefault="002B18AF">
      <w:pPr>
        <w:spacing w:before="180"/>
        <w:jc w:val="both"/>
      </w:pPr>
      <w:r>
        <w:rPr>
          <w:rFonts w:ascii="Arial" w:eastAsia="宋体" w:hAnsi="Arial" w:cs="Arial"/>
          <w:b/>
          <w:bCs/>
          <w:i/>
          <w:iCs/>
          <w:color w:val="000000"/>
          <w:sz w:val="20"/>
          <w:szCs w:val="20"/>
        </w:rPr>
        <w:t>If we cannot realize our deferred tax assets, our results of operations could be adversely affected.</w:t>
      </w:r>
    </w:p>
    <w:p w14:paraId="59029A97" w14:textId="77777777" w:rsidR="0084406A" w:rsidRDefault="002B18AF">
      <w:pPr>
        <w:spacing w:before="180"/>
        <w:jc w:val="both"/>
      </w:pPr>
      <w:r>
        <w:rPr>
          <w:rFonts w:ascii="Arial" w:eastAsia="宋体" w:hAnsi="Arial" w:cs="Arial"/>
          <w:color w:val="000000"/>
          <w:sz w:val="20"/>
          <w:szCs w:val="20"/>
        </w:rPr>
        <w:t xml:space="preserve">Our </w:t>
      </w:r>
      <w:r>
        <w:rPr>
          <w:rFonts w:ascii="Arial" w:eastAsia="宋体" w:hAnsi="Arial" w:cs="Arial"/>
          <w:color w:val="000000"/>
          <w:sz w:val="20"/>
          <w:szCs w:val="20"/>
        </w:rPr>
        <w:t>deferred tax assets include net operating losses and tax credit carryforwards that can be used to offset taxable income and reduce income taxes payable in future periods. Each quarter, we consider both positive and negative evidence to determine whether al</w:t>
      </w:r>
      <w:r>
        <w:rPr>
          <w:rFonts w:ascii="Arial" w:eastAsia="宋体" w:hAnsi="Arial" w:cs="Arial"/>
          <w:color w:val="000000"/>
          <w:sz w:val="20"/>
          <w:szCs w:val="20"/>
        </w:rPr>
        <w:t>l or a portion of the deferred tax assets are more likely than not to be realized. If we determine that some or all of our deferred tax assets are not realizable, it could result in a material expense in the period in which this determination is made which</w:t>
      </w:r>
      <w:r>
        <w:rPr>
          <w:rFonts w:ascii="Arial" w:eastAsia="宋体" w:hAnsi="Arial" w:cs="Arial"/>
          <w:color w:val="000000"/>
          <w:sz w:val="20"/>
          <w:szCs w:val="20"/>
        </w:rPr>
        <w:t xml:space="preserve"> may have a material adverse effect on our financial condition and results of operations.</w:t>
      </w:r>
    </w:p>
    <w:p w14:paraId="59029A98" w14:textId="77777777" w:rsidR="0084406A" w:rsidRDefault="002B18AF">
      <w:pPr>
        <w:spacing w:before="180"/>
        <w:jc w:val="both"/>
      </w:pPr>
      <w:r>
        <w:rPr>
          <w:rFonts w:ascii="Arial" w:eastAsia="宋体" w:hAnsi="Arial" w:cs="Arial"/>
          <w:color w:val="000000"/>
          <w:sz w:val="20"/>
          <w:szCs w:val="20"/>
        </w:rPr>
        <w:t xml:space="preserve">In addition, a significant amount of our deferred tax assets related to net operating losses or tax credits which remain under a valuation allowance could be subject </w:t>
      </w:r>
      <w:r>
        <w:rPr>
          <w:rFonts w:ascii="Arial" w:eastAsia="宋体" w:hAnsi="Arial" w:cs="Arial"/>
          <w:color w:val="000000"/>
          <w:sz w:val="20"/>
          <w:szCs w:val="20"/>
        </w:rPr>
        <w:t>to limitations under Internal Revenue Code Section 382 or 383, separate return loss year rules, or dual consolidated loss rules. The limitations could reduce our ability to utilize the net operating losses or tax credits before the expiration of the tax at</w:t>
      </w:r>
      <w:r>
        <w:rPr>
          <w:rFonts w:ascii="Arial" w:eastAsia="宋体" w:hAnsi="Arial" w:cs="Arial"/>
          <w:color w:val="000000"/>
          <w:sz w:val="20"/>
          <w:szCs w:val="20"/>
        </w:rPr>
        <w:t>tributes.</w:t>
      </w:r>
    </w:p>
    <w:p w14:paraId="59029A99" w14:textId="77777777" w:rsidR="0084406A" w:rsidRDefault="002B18AF">
      <w:pPr>
        <w:jc w:val="center"/>
      </w:pPr>
      <w:r>
        <w:rPr>
          <w:rFonts w:ascii="Arial" w:eastAsia="宋体" w:hAnsi="Arial" w:cs="Arial"/>
          <w:color w:val="000000"/>
          <w:sz w:val="20"/>
          <w:szCs w:val="20"/>
        </w:rPr>
        <w:t>27</w:t>
      </w:r>
    </w:p>
    <w:p w14:paraId="59029A9A" w14:textId="77777777" w:rsidR="0084406A" w:rsidRDefault="002B18AF">
      <w:r>
        <w:pict w14:anchorId="5902BB0F">
          <v:rect id="_x0000_i1054" style="width:415.3pt;height:1.5pt" o:hralign="center" o:hrstd="t" o:hr="t" fillcolor="#a0a0a0" stroked="f"/>
        </w:pict>
      </w:r>
    </w:p>
    <w:p w14:paraId="59029A9B" w14:textId="77777777" w:rsidR="0084406A" w:rsidRDefault="0084406A"/>
    <w:p w14:paraId="59029A9C" w14:textId="77777777" w:rsidR="0084406A" w:rsidRDefault="002B18AF">
      <w:pPr>
        <w:spacing w:before="180"/>
        <w:jc w:val="both"/>
      </w:pPr>
      <w:r>
        <w:rPr>
          <w:rFonts w:ascii="Arial" w:eastAsia="宋体" w:hAnsi="Arial" w:cs="Arial"/>
          <w:b/>
          <w:bCs/>
          <w:i/>
          <w:iCs/>
          <w:color w:val="000000"/>
          <w:sz w:val="20"/>
          <w:szCs w:val="20"/>
        </w:rPr>
        <w:t>Our business is subject to potential tax liabilities, including as a result of tax regulation changes.</w:t>
      </w:r>
    </w:p>
    <w:p w14:paraId="59029A9D" w14:textId="77777777" w:rsidR="0084406A" w:rsidRDefault="002B18AF">
      <w:pPr>
        <w:spacing w:before="180"/>
        <w:jc w:val="both"/>
      </w:pPr>
      <w:r>
        <w:rPr>
          <w:rFonts w:ascii="Arial" w:eastAsia="宋体" w:hAnsi="Arial" w:cs="Arial"/>
          <w:color w:val="000000"/>
          <w:sz w:val="20"/>
          <w:szCs w:val="20"/>
        </w:rPr>
        <w:t>We are subject to income tax, indirect tax or other tax claims by tax agencies in jurisdictions in which we conduct business. Significant judgment is required in determining our worldwide provision for income taxes. Tax laws are dynamic and subject to chan</w:t>
      </w:r>
      <w:r>
        <w:rPr>
          <w:rFonts w:ascii="Arial" w:eastAsia="宋体" w:hAnsi="Arial" w:cs="Arial"/>
          <w:color w:val="000000"/>
          <w:sz w:val="20"/>
          <w:szCs w:val="20"/>
        </w:rPr>
        <w:t xml:space="preserve">ge as new laws are passed and new interpretations of the law are issued or applied. Any changes to tax laws could have a material adverse effect on our tax obligations and effective tax rate. </w:t>
      </w:r>
    </w:p>
    <w:p w14:paraId="59029A9E" w14:textId="77777777" w:rsidR="0084406A" w:rsidRDefault="002B18AF">
      <w:pPr>
        <w:spacing w:before="180"/>
        <w:jc w:val="both"/>
      </w:pPr>
      <w:r>
        <w:rPr>
          <w:rFonts w:ascii="Arial" w:eastAsia="宋体" w:hAnsi="Arial" w:cs="Arial"/>
          <w:color w:val="000000"/>
          <w:sz w:val="20"/>
          <w:szCs w:val="20"/>
        </w:rPr>
        <w:t>In the ordinary course of our business, there are many transact</w:t>
      </w:r>
      <w:r>
        <w:rPr>
          <w:rFonts w:ascii="Arial" w:eastAsia="宋体" w:hAnsi="Arial" w:cs="Arial"/>
          <w:color w:val="000000"/>
          <w:sz w:val="20"/>
          <w:szCs w:val="20"/>
        </w:rPr>
        <w:t>ions and calculations where the ultimate income tax, indirect tax, or other tax determination is uncertain. Although we believe our tax estimates are reasonable, we cannot assure that the final determination of any tax audits and litigation will not be mat</w:t>
      </w:r>
      <w:r>
        <w:rPr>
          <w:rFonts w:ascii="Arial" w:eastAsia="宋体" w:hAnsi="Arial" w:cs="Arial"/>
          <w:color w:val="000000"/>
          <w:sz w:val="20"/>
          <w:szCs w:val="20"/>
        </w:rPr>
        <w:t>erially different from that which is reflected in historical tax provisions and accruals. Should additional taxes be assessed as a result of an audit, assessment or litigation, there could be a material adverse effect on our cash, tax provisions and net in</w:t>
      </w:r>
      <w:r>
        <w:rPr>
          <w:rFonts w:ascii="Arial" w:eastAsia="宋体" w:hAnsi="Arial" w:cs="Arial"/>
          <w:color w:val="000000"/>
          <w:sz w:val="20"/>
          <w:szCs w:val="20"/>
        </w:rPr>
        <w:t>come in the period or periods for which that determination is made.</w:t>
      </w:r>
    </w:p>
    <w:p w14:paraId="59029A9F" w14:textId="77777777" w:rsidR="0084406A" w:rsidRDefault="002B18AF">
      <w:pPr>
        <w:spacing w:before="180"/>
        <w:jc w:val="both"/>
      </w:pPr>
      <w:r>
        <w:rPr>
          <w:rFonts w:ascii="Arial" w:eastAsia="宋体" w:hAnsi="Arial" w:cs="Arial"/>
          <w:b/>
          <w:bCs/>
          <w:i/>
          <w:iCs/>
          <w:color w:val="000000"/>
          <w:sz w:val="20"/>
          <w:szCs w:val="20"/>
        </w:rPr>
        <w:t>We are party to litigation and may become a party to other claims or litigation that could cause us to incur substantial costs or pay substantial damages or prohibit us from selling our pr</w:t>
      </w:r>
      <w:r>
        <w:rPr>
          <w:rFonts w:ascii="Arial" w:eastAsia="宋体" w:hAnsi="Arial" w:cs="Arial"/>
          <w:b/>
          <w:bCs/>
          <w:i/>
          <w:iCs/>
          <w:color w:val="000000"/>
          <w:sz w:val="20"/>
          <w:szCs w:val="20"/>
        </w:rPr>
        <w:t>oducts.</w:t>
      </w:r>
    </w:p>
    <w:p w14:paraId="59029AA0" w14:textId="77777777" w:rsidR="0084406A" w:rsidRDefault="002B18AF">
      <w:pPr>
        <w:spacing w:before="180"/>
        <w:jc w:val="both"/>
      </w:pPr>
      <w:r>
        <w:rPr>
          <w:rFonts w:ascii="Arial" w:eastAsia="宋体" w:hAnsi="Arial" w:cs="Arial"/>
          <w:color w:val="000000"/>
          <w:sz w:val="20"/>
          <w:szCs w:val="20"/>
        </w:rPr>
        <w:t>From time to time, we are a defendant or plaintiff in various legal actions, as described in Note 17 of our consolidated financial statements. For example, we have been subject to certain claims concerning federal securities laws and corporate gove</w:t>
      </w:r>
      <w:r>
        <w:rPr>
          <w:rFonts w:ascii="Arial" w:eastAsia="宋体" w:hAnsi="Arial" w:cs="Arial"/>
          <w:color w:val="000000"/>
          <w:sz w:val="20"/>
          <w:szCs w:val="20"/>
        </w:rPr>
        <w:t xml:space="preserve">rnance. Our products are purchased by and/or used by consumers, which could increase our exposure to consumer actions such as product liability claims and consumer class action claims. On occasion, we receive claims that individuals were allegedly exposed </w:t>
      </w:r>
      <w:r>
        <w:rPr>
          <w:rFonts w:ascii="Arial" w:eastAsia="宋体" w:hAnsi="Arial" w:cs="Arial"/>
          <w:color w:val="000000"/>
          <w:sz w:val="20"/>
          <w:szCs w:val="20"/>
        </w:rPr>
        <w:t>to substances used in our former semiconductor wafer manufacturing facilities and that this alleged exposure caused harm. Litigation can involve complex factual and legal questions, and its outcome is uncertain. It is possible that if a claim is successful</w:t>
      </w:r>
      <w:r>
        <w:rPr>
          <w:rFonts w:ascii="Arial" w:eastAsia="宋体" w:hAnsi="Arial" w:cs="Arial"/>
          <w:color w:val="000000"/>
          <w:sz w:val="20"/>
          <w:szCs w:val="20"/>
        </w:rPr>
        <w:t>ly asserted against us, it could result in the payment of damages that could be material to our business.</w:t>
      </w:r>
    </w:p>
    <w:p w14:paraId="59029AA1" w14:textId="77777777" w:rsidR="0084406A" w:rsidRDefault="002B18AF">
      <w:pPr>
        <w:spacing w:before="180"/>
        <w:jc w:val="both"/>
      </w:pPr>
      <w:r>
        <w:rPr>
          <w:rFonts w:ascii="Arial" w:eastAsia="宋体" w:hAnsi="Arial" w:cs="Arial"/>
          <w:color w:val="000000"/>
          <w:sz w:val="20"/>
          <w:szCs w:val="20"/>
        </w:rPr>
        <w:t>With respect to intellectual property litigation, from time to time, we have been notified of, or third parties may bring or have brought, actions aga</w:t>
      </w:r>
      <w:r>
        <w:rPr>
          <w:rFonts w:ascii="Arial" w:eastAsia="宋体" w:hAnsi="Arial" w:cs="Arial"/>
          <w:color w:val="000000"/>
          <w:sz w:val="20"/>
          <w:szCs w:val="20"/>
        </w:rPr>
        <w:t>inst us and/or against our customers based on allegations that we are infringing the intellectual property rights of others, contributing to or inducing the infringement of the intellectual property rights of others, improperly claiming ownership of intell</w:t>
      </w:r>
      <w:r>
        <w:rPr>
          <w:rFonts w:ascii="Arial" w:eastAsia="宋体" w:hAnsi="Arial" w:cs="Arial"/>
          <w:color w:val="000000"/>
          <w:sz w:val="20"/>
          <w:szCs w:val="20"/>
        </w:rPr>
        <w:t>ectual property or otherwise improperly using the intellectual property of others. If any such claims are asserted, we may seek to obtain a license under the third parties’ intellectual property rights. We cannot assure you that we will be able to obtain a</w:t>
      </w:r>
      <w:r>
        <w:rPr>
          <w:rFonts w:ascii="Arial" w:eastAsia="宋体" w:hAnsi="Arial" w:cs="Arial"/>
          <w:color w:val="000000"/>
          <w:sz w:val="20"/>
          <w:szCs w:val="20"/>
        </w:rPr>
        <w:t>ll of the necessary licenses on satisfactory terms, if at all. These parties may file lawsuits against us or our customers seeking damages (potentially up to and including treble damages) or an injunction against the sale of products that incorporate alleg</w:t>
      </w:r>
      <w:r>
        <w:rPr>
          <w:rFonts w:ascii="Arial" w:eastAsia="宋体" w:hAnsi="Arial" w:cs="Arial"/>
          <w:color w:val="000000"/>
          <w:sz w:val="20"/>
          <w:szCs w:val="20"/>
        </w:rPr>
        <w:t>edly infringed intellectual property or against the operation of our business as presently conducted, which could result in our having to stop the sale of some of our products or to increase the costs of selling some of our products or which could damage o</w:t>
      </w:r>
      <w:r>
        <w:rPr>
          <w:rFonts w:ascii="Arial" w:eastAsia="宋体" w:hAnsi="Arial" w:cs="Arial"/>
          <w:color w:val="000000"/>
          <w:sz w:val="20"/>
          <w:szCs w:val="20"/>
        </w:rPr>
        <w:t xml:space="preserve">ur reputation. The award of damages, including material royalty payments, or other types of damages, or the entry of an injunction against the manufacture and sale of some or all of our products could have a material adverse effect on us. We could decide, </w:t>
      </w:r>
      <w:r>
        <w:rPr>
          <w:rFonts w:ascii="Arial" w:eastAsia="宋体" w:hAnsi="Arial" w:cs="Arial"/>
          <w:color w:val="000000"/>
          <w:sz w:val="20"/>
          <w:szCs w:val="20"/>
        </w:rPr>
        <w:t>in the alternative, to redesign our products or to resort to litigation to challenge such claims. Such challenges could be extremely expensive and time-consuming regardless of their merit, could cause delays in product release or shipment and/or could have</w:t>
      </w:r>
      <w:r>
        <w:rPr>
          <w:rFonts w:ascii="Arial" w:eastAsia="宋体" w:hAnsi="Arial" w:cs="Arial"/>
          <w:color w:val="000000"/>
          <w:sz w:val="20"/>
          <w:szCs w:val="20"/>
        </w:rPr>
        <w:t xml:space="preserve"> a material adverse effect on us. We cannot assure you that litigation related to our intellectual property rights or the intellectual property rights of others can always be avoided or successfully concluded.</w:t>
      </w:r>
    </w:p>
    <w:p w14:paraId="59029AA2" w14:textId="77777777" w:rsidR="0084406A" w:rsidRDefault="002B18AF">
      <w:pPr>
        <w:spacing w:before="180"/>
        <w:jc w:val="both"/>
      </w:pPr>
      <w:r>
        <w:rPr>
          <w:rFonts w:ascii="Arial" w:eastAsia="宋体" w:hAnsi="Arial" w:cs="Arial"/>
          <w:color w:val="000000"/>
          <w:sz w:val="20"/>
          <w:szCs w:val="20"/>
        </w:rPr>
        <w:t>Even if we were to prevail, any litigation cou</w:t>
      </w:r>
      <w:r>
        <w:rPr>
          <w:rFonts w:ascii="Arial" w:eastAsia="宋体" w:hAnsi="Arial" w:cs="Arial"/>
          <w:color w:val="000000"/>
          <w:sz w:val="20"/>
          <w:szCs w:val="20"/>
        </w:rPr>
        <w:t>ld be costly and time-consuming and would divert the attention of our management and key personnel from our business operations, which could have a material adverse effect on us.</w:t>
      </w:r>
    </w:p>
    <w:p w14:paraId="59029AA3" w14:textId="77777777" w:rsidR="0084406A" w:rsidRDefault="002B18AF">
      <w:pPr>
        <w:jc w:val="center"/>
      </w:pPr>
      <w:r>
        <w:rPr>
          <w:rFonts w:ascii="Arial" w:eastAsia="宋体" w:hAnsi="Arial" w:cs="Arial"/>
          <w:color w:val="000000"/>
          <w:sz w:val="20"/>
          <w:szCs w:val="20"/>
        </w:rPr>
        <w:t>28</w:t>
      </w:r>
    </w:p>
    <w:p w14:paraId="59029AA4" w14:textId="77777777" w:rsidR="0084406A" w:rsidRDefault="002B18AF">
      <w:r>
        <w:pict w14:anchorId="5902BB10">
          <v:rect id="_x0000_i1055" style="width:415.3pt;height:1.5pt" o:hralign="center" o:hrstd="t" o:hr="t" fillcolor="#a0a0a0" stroked="f"/>
        </w:pict>
      </w:r>
    </w:p>
    <w:p w14:paraId="59029AA5" w14:textId="77777777" w:rsidR="0084406A" w:rsidRDefault="0084406A"/>
    <w:p w14:paraId="59029AA6" w14:textId="77777777" w:rsidR="0084406A" w:rsidRDefault="002B18AF">
      <w:pPr>
        <w:spacing w:before="180"/>
        <w:jc w:val="both"/>
      </w:pPr>
      <w:r>
        <w:rPr>
          <w:rFonts w:ascii="Arial" w:eastAsia="宋体" w:hAnsi="Arial" w:cs="Arial"/>
          <w:b/>
          <w:bCs/>
          <w:i/>
          <w:iCs/>
          <w:color w:val="000000"/>
          <w:sz w:val="20"/>
          <w:szCs w:val="20"/>
        </w:rPr>
        <w:t>We are subject to environmental laws, conflict minerals-related provisi</w:t>
      </w:r>
      <w:r>
        <w:rPr>
          <w:rFonts w:ascii="Arial" w:eastAsia="宋体" w:hAnsi="Arial" w:cs="Arial"/>
          <w:b/>
          <w:bCs/>
          <w:i/>
          <w:iCs/>
          <w:color w:val="000000"/>
          <w:sz w:val="20"/>
          <w:szCs w:val="20"/>
        </w:rPr>
        <w:t>ons of the Dodd-Frank Wall Street Reform and Consumer Protection Act as well as a variety of other laws or regulations that could result in additional costs and liabilities.</w:t>
      </w:r>
    </w:p>
    <w:p w14:paraId="59029AA7" w14:textId="77777777" w:rsidR="0084406A" w:rsidRDefault="002B18AF">
      <w:pPr>
        <w:spacing w:before="180"/>
        <w:jc w:val="both"/>
      </w:pPr>
      <w:r>
        <w:rPr>
          <w:rFonts w:ascii="Arial" w:eastAsia="宋体" w:hAnsi="Arial" w:cs="Arial"/>
          <w:color w:val="000000"/>
          <w:sz w:val="20"/>
          <w:szCs w:val="20"/>
        </w:rPr>
        <w:t xml:space="preserve">Our operations and properties have in the past been and continue to be subject to </w:t>
      </w:r>
      <w:r>
        <w:rPr>
          <w:rFonts w:ascii="Arial" w:eastAsia="宋体" w:hAnsi="Arial" w:cs="Arial"/>
          <w:color w:val="000000"/>
          <w:sz w:val="20"/>
          <w:szCs w:val="20"/>
        </w:rPr>
        <w:t>various United States and foreign laws and regulations, including those relating to materials used in our products and manufacturing processes, discharge of pollutants into the environment, the treatment, transport, storage and disposal of solid and hazard</w:t>
      </w:r>
      <w:r>
        <w:rPr>
          <w:rFonts w:ascii="Arial" w:eastAsia="宋体" w:hAnsi="Arial" w:cs="Arial"/>
          <w:color w:val="000000"/>
          <w:sz w:val="20"/>
          <w:szCs w:val="20"/>
        </w:rPr>
        <w:t>ous wastes and remediation of contamination. These laws and regulations require our suppliers to obtain permits for operations making our products, including the discharge of air pollutants and wastewater. Although our management systems are designed to ov</w:t>
      </w:r>
      <w:r>
        <w:rPr>
          <w:rFonts w:ascii="Arial" w:eastAsia="宋体" w:hAnsi="Arial" w:cs="Arial"/>
          <w:color w:val="000000"/>
          <w:sz w:val="20"/>
          <w:szCs w:val="20"/>
        </w:rPr>
        <w:t xml:space="preserve">ersee our suppliers’ compliance, we cannot assure you that our suppliers have been or will be at all times in complete compliance with such laws, regulations and permits. If our suppliers violate or fail to comply with any of them, a range of consequences </w:t>
      </w:r>
      <w:r>
        <w:rPr>
          <w:rFonts w:ascii="Arial" w:eastAsia="宋体" w:hAnsi="Arial" w:cs="Arial"/>
          <w:color w:val="000000"/>
          <w:sz w:val="20"/>
          <w:szCs w:val="20"/>
        </w:rPr>
        <w:t>could result, including fines, suspension of production, alteration of manufacturing processes, import/export restrictions, sales limitations, criminal and civil liabilities or other sanctions. Such non-compliance from our manufacturing suppliers could res</w:t>
      </w:r>
      <w:r>
        <w:rPr>
          <w:rFonts w:ascii="Arial" w:eastAsia="宋体" w:hAnsi="Arial" w:cs="Arial"/>
          <w:color w:val="000000"/>
          <w:sz w:val="20"/>
          <w:szCs w:val="20"/>
        </w:rPr>
        <w:t xml:space="preserve">ult in disruptions in supply, higher sourcing costs, and/or reputational damage for us. We could also be held liable for any and all consequences arising out of exposure to hazardous materials used, stored, released, disposed of by us or located at, under </w:t>
      </w:r>
      <w:r>
        <w:rPr>
          <w:rFonts w:ascii="Arial" w:eastAsia="宋体" w:hAnsi="Arial" w:cs="Arial"/>
          <w:color w:val="000000"/>
          <w:sz w:val="20"/>
          <w:szCs w:val="20"/>
        </w:rPr>
        <w:t>or emanating from our former facilities or other environmental or natural resource damage. While we have budgeted for foreseeable associated expenditures, we cannot assure you that future environmental legal requirements will not become more stringent or c</w:t>
      </w:r>
      <w:r>
        <w:rPr>
          <w:rFonts w:ascii="Arial" w:eastAsia="宋体" w:hAnsi="Arial" w:cs="Arial"/>
          <w:color w:val="000000"/>
          <w:sz w:val="20"/>
          <w:szCs w:val="20"/>
        </w:rPr>
        <w:t>ostly in the future. Therefore, we cannot assure you that our costs of complying with current and future environmental and health and safety laws, and our liabilities arising from past and future releases of, or exposure to, hazardous substances will not h</w:t>
      </w:r>
      <w:r>
        <w:rPr>
          <w:rFonts w:ascii="Arial" w:eastAsia="宋体" w:hAnsi="Arial" w:cs="Arial"/>
          <w:color w:val="000000"/>
          <w:sz w:val="20"/>
          <w:szCs w:val="20"/>
        </w:rPr>
        <w:t>ave a material adverse effect on us.</w:t>
      </w:r>
    </w:p>
    <w:p w14:paraId="59029AA8" w14:textId="77777777" w:rsidR="0084406A" w:rsidRDefault="002B18AF">
      <w:pPr>
        <w:spacing w:before="18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number of jurisdictions that have enacted rest</w:t>
      </w:r>
      <w:r>
        <w:rPr>
          <w:rFonts w:ascii="Arial" w:eastAsia="宋体" w:hAnsi="Arial" w:cs="Arial"/>
          <w:color w:val="000000"/>
          <w:sz w:val="20"/>
          <w:szCs w:val="20"/>
        </w:rPr>
        <w:t>rictions on the use of lead and other materials in electronic products. These regulations affect semiconductor devices and packaging. As regulations restricting materials in electronic products continue to increase around the world, there is a risk that th</w:t>
      </w:r>
      <w:r>
        <w:rPr>
          <w:rFonts w:ascii="Arial" w:eastAsia="宋体" w:hAnsi="Arial" w:cs="Arial"/>
          <w:color w:val="000000"/>
          <w:sz w:val="20"/>
          <w:szCs w:val="20"/>
        </w:rPr>
        <w:t>e cost, quality and manufacturing yields of products that are subject to these restrictions may be less favorable compared to products that are not subject to such restrictions, or that the transition to compliant products may not meet customer roadmaps, o</w:t>
      </w:r>
      <w:r>
        <w:rPr>
          <w:rFonts w:ascii="Arial" w:eastAsia="宋体" w:hAnsi="Arial" w:cs="Arial"/>
          <w:color w:val="000000"/>
          <w:sz w:val="20"/>
          <w:szCs w:val="20"/>
        </w:rPr>
        <w:t xml:space="preserve">r produce sudden changes in demand, which may result in excess inventory. A number of jurisdictions including the EU, Australia, California and China are developing or have finalized market entry or public procurement regulations for computers and servers </w:t>
      </w:r>
      <w:r>
        <w:rPr>
          <w:rFonts w:ascii="Arial" w:eastAsia="宋体" w:hAnsi="Arial" w:cs="Arial"/>
          <w:color w:val="000000"/>
          <w:sz w:val="20"/>
          <w:szCs w:val="20"/>
        </w:rPr>
        <w:t>based on ENERGY STAR specifications as well as additional energy consumption limits. There is the potential for certain of our products being excluded from some of these markets which could materially adversely affect us.</w:t>
      </w:r>
    </w:p>
    <w:p w14:paraId="59029AA9" w14:textId="77777777" w:rsidR="0084406A" w:rsidRDefault="002B18AF">
      <w:pPr>
        <w:spacing w:before="180"/>
        <w:jc w:val="both"/>
      </w:pPr>
      <w:r>
        <w:rPr>
          <w:rFonts w:ascii="Arial" w:eastAsia="宋体" w:hAnsi="Arial" w:cs="Arial"/>
          <w:color w:val="000000"/>
          <w:sz w:val="20"/>
          <w:szCs w:val="20"/>
        </w:rPr>
        <w:t>Certain environmental laws, includ</w:t>
      </w:r>
      <w:r>
        <w:rPr>
          <w:rFonts w:ascii="Arial" w:eastAsia="宋体" w:hAnsi="Arial" w:cs="Arial"/>
          <w:color w:val="000000"/>
          <w:sz w:val="20"/>
          <w:szCs w:val="20"/>
        </w:rPr>
        <w:t>ing the United States Comprehensive, Environmental Response, Compensation and Liability Act of 1980, or the Superfund Act, impose strict or, under certain circumstances, joint and several liability on current and previous owners or operators of real proper</w:t>
      </w:r>
      <w:r>
        <w:rPr>
          <w:rFonts w:ascii="Arial" w:eastAsia="宋体" w:hAnsi="Arial" w:cs="Arial"/>
          <w:color w:val="000000"/>
          <w:sz w:val="20"/>
          <w:szCs w:val="20"/>
        </w:rPr>
        <w:t>ty for the cost of removal or remediation of hazardous substances and impose liability for damages to natural resources. These laws often impose liability even if the owner or operator did not know of, or was not responsible for, the release of such hazard</w:t>
      </w:r>
      <w:r>
        <w:rPr>
          <w:rFonts w:ascii="Arial" w:eastAsia="宋体" w:hAnsi="Arial" w:cs="Arial"/>
          <w:color w:val="000000"/>
          <w:sz w:val="20"/>
          <w:szCs w:val="20"/>
        </w:rPr>
        <w:t>ous substances. These environmental laws also assess liability on persons who arrange for hazardous substances to be sent to disposal or treatment facilities when such facilities are found to be contaminated. Such persons can be responsible for cleanup cos</w:t>
      </w:r>
      <w:r>
        <w:rPr>
          <w:rFonts w:ascii="Arial" w:eastAsia="宋体" w:hAnsi="Arial" w:cs="Arial"/>
          <w:color w:val="000000"/>
          <w:sz w:val="20"/>
          <w:szCs w:val="20"/>
        </w:rPr>
        <w:t>ts even if they never owned or operated the contaminated facility. We have been named as a responsible party at three Superfund sites in Sunnyvale, California. Although we have not yet been, we could be named a potentially responsible party at other Superf</w:t>
      </w:r>
      <w:r>
        <w:rPr>
          <w:rFonts w:ascii="Arial" w:eastAsia="宋体" w:hAnsi="Arial" w:cs="Arial"/>
          <w:color w:val="000000"/>
          <w:sz w:val="20"/>
          <w:szCs w:val="20"/>
        </w:rPr>
        <w:t>und or contaminated sites in the future. In addition, contamination that has not yet been identified could exist at our other facilities.</w:t>
      </w:r>
    </w:p>
    <w:p w14:paraId="59029AAA" w14:textId="77777777" w:rsidR="0084406A" w:rsidRDefault="002B18AF">
      <w:pPr>
        <w:spacing w:before="180"/>
        <w:jc w:val="both"/>
      </w:pPr>
      <w:r>
        <w:rPr>
          <w:rFonts w:ascii="Arial" w:eastAsia="宋体" w:hAnsi="Arial" w:cs="Arial"/>
          <w:color w:val="000000"/>
          <w:sz w:val="20"/>
          <w:szCs w:val="20"/>
        </w:rPr>
        <w:t xml:space="preserve">Under the Dodd-Frank Wall Street Reform and Consumer Protection Act of 2010, the SEC adopted disclosure and reporting </w:t>
      </w:r>
      <w:r>
        <w:rPr>
          <w:rFonts w:ascii="Arial" w:eastAsia="宋体" w:hAnsi="Arial" w:cs="Arial"/>
          <w:color w:val="000000"/>
          <w:sz w:val="20"/>
          <w:szCs w:val="20"/>
        </w:rPr>
        <w:t>requirements for companies that use “conflict” minerals originating from the Democratic Republic of Congo or adjoining countries. We continue to incur additional costs associated with complying with these requirements, such as costs related to developing i</w:t>
      </w:r>
      <w:r>
        <w:rPr>
          <w:rFonts w:ascii="Arial" w:eastAsia="宋体" w:hAnsi="Arial" w:cs="Arial"/>
          <w:color w:val="000000"/>
          <w:sz w:val="20"/>
          <w:szCs w:val="20"/>
        </w:rPr>
        <w:t>nternal controls for the due diligence process, determining the source of any conflict minerals used in our products, auditing the process and reporting to our customers and the SEC. In addition to the SEC regulation, the European Union, China and other ju</w:t>
      </w:r>
      <w:r>
        <w:rPr>
          <w:rFonts w:ascii="Arial" w:eastAsia="宋体" w:hAnsi="Arial" w:cs="Arial"/>
          <w:color w:val="000000"/>
          <w:sz w:val="20"/>
          <w:szCs w:val="20"/>
        </w:rPr>
        <w:t>risdictions are developing new policies focused on conflict minerals that may impact and increase the cost of our compliance program. Customers are increasingly seeking information about the source of minerals used in our supply chain beyond those addresse</w:t>
      </w:r>
      <w:r>
        <w:rPr>
          <w:rFonts w:ascii="Arial" w:eastAsia="宋体" w:hAnsi="Arial" w:cs="Arial"/>
          <w:color w:val="000000"/>
          <w:sz w:val="20"/>
          <w:szCs w:val="20"/>
        </w:rPr>
        <w:t>d in laws and regulations. Given the complexity of mineral supply chains, we may face reputational challenges if we are unable to sufficiently verify the origins of the subject minerals. Moreover, we are likely to encounter challenges to satisfy those cust</w:t>
      </w:r>
      <w:r>
        <w:rPr>
          <w:rFonts w:ascii="Arial" w:eastAsia="宋体" w:hAnsi="Arial" w:cs="Arial"/>
          <w:color w:val="000000"/>
          <w:sz w:val="20"/>
          <w:szCs w:val="20"/>
        </w:rPr>
        <w:t>omers who require that all of the components of our products be certified as “conflict free.” If we cannot satisfy these customers, they may choose a competitor’s products.</w:t>
      </w:r>
    </w:p>
    <w:p w14:paraId="59029AAB" w14:textId="77777777" w:rsidR="0084406A" w:rsidRDefault="002B18AF">
      <w:pPr>
        <w:jc w:val="center"/>
      </w:pPr>
      <w:r>
        <w:rPr>
          <w:rFonts w:ascii="Arial" w:eastAsia="宋体" w:hAnsi="Arial" w:cs="Arial"/>
          <w:color w:val="000000"/>
          <w:sz w:val="20"/>
          <w:szCs w:val="20"/>
        </w:rPr>
        <w:t>29</w:t>
      </w:r>
    </w:p>
    <w:p w14:paraId="59029AAC" w14:textId="77777777" w:rsidR="0084406A" w:rsidRDefault="002B18AF">
      <w:r>
        <w:pict w14:anchorId="5902BB11">
          <v:rect id="_x0000_i1056" style="width:415.3pt;height:1.5pt" o:hralign="center" o:hrstd="t" o:hr="t" fillcolor="#a0a0a0" stroked="f"/>
        </w:pict>
      </w:r>
    </w:p>
    <w:p w14:paraId="59029AAD" w14:textId="77777777" w:rsidR="0084406A" w:rsidRDefault="0084406A"/>
    <w:p w14:paraId="59029AAE" w14:textId="77777777" w:rsidR="0084406A" w:rsidRDefault="002B18AF">
      <w:pPr>
        <w:spacing w:before="180"/>
        <w:jc w:val="both"/>
      </w:pPr>
      <w:r>
        <w:rPr>
          <w:rFonts w:ascii="Arial" w:eastAsia="宋体" w:hAnsi="Arial" w:cs="Arial"/>
          <w:color w:val="000000"/>
          <w:sz w:val="20"/>
          <w:szCs w:val="20"/>
        </w:rPr>
        <w:t>Customers, governments and authorities are increasingly focused on the risk o</w:t>
      </w:r>
      <w:r>
        <w:rPr>
          <w:rFonts w:ascii="Arial" w:eastAsia="宋体" w:hAnsi="Arial" w:cs="Arial"/>
          <w:color w:val="000000"/>
          <w:sz w:val="20"/>
          <w:szCs w:val="20"/>
        </w:rPr>
        <w:t>f forced labor in supply chains that may increase the cost of our compliance program. Germany’s federal procurement office, in collaboration with the Bitkom trade association, issued new supply chain labor requirements. In addition, the United Kingdom, Aus</w:t>
      </w:r>
      <w:r>
        <w:rPr>
          <w:rFonts w:ascii="Arial" w:eastAsia="宋体" w:hAnsi="Arial" w:cs="Arial"/>
          <w:color w:val="000000"/>
          <w:sz w:val="20"/>
          <w:szCs w:val="20"/>
        </w:rPr>
        <w:t>tralia and the State of California have previously issued laws that require us to disclose our policy and practices for identifying and eliminating forced labor and human trafficking in our supply chain. Several customers have also issued expectations to e</w:t>
      </w:r>
      <w:r>
        <w:rPr>
          <w:rFonts w:ascii="Arial" w:eastAsia="宋体" w:hAnsi="Arial" w:cs="Arial"/>
          <w:color w:val="000000"/>
          <w:sz w:val="20"/>
          <w:szCs w:val="20"/>
        </w:rPr>
        <w:t>liminate these practices that may impact us. While we have a Human Rights Policy and management systems to identify and avoid these practices in our supply chain, we cannot guarantee that our suppliers will always be in conformance to these laws and expect</w:t>
      </w:r>
      <w:r>
        <w:rPr>
          <w:rFonts w:ascii="Arial" w:eastAsia="宋体" w:hAnsi="Arial" w:cs="Arial"/>
          <w:color w:val="000000"/>
          <w:sz w:val="20"/>
          <w:szCs w:val="20"/>
        </w:rPr>
        <w:t>ations. We may face enforcement liability and reputational challenges if we are unable to sufficiently meet these expectations. Moreover, we are likely to encounter challenges with customers if we cannot satisfy their forced and trafficked labor polices an</w:t>
      </w:r>
      <w:r>
        <w:rPr>
          <w:rFonts w:ascii="Arial" w:eastAsia="宋体" w:hAnsi="Arial" w:cs="Arial"/>
          <w:color w:val="000000"/>
          <w:sz w:val="20"/>
          <w:szCs w:val="20"/>
        </w:rPr>
        <w:t>d they may choose a competitor’s product.</w:t>
      </w:r>
    </w:p>
    <w:p w14:paraId="59029AAF" w14:textId="77777777" w:rsidR="0084406A" w:rsidRDefault="002B18AF">
      <w:pPr>
        <w:spacing w:before="180"/>
        <w:jc w:val="both"/>
      </w:pPr>
      <w:r>
        <w:rPr>
          <w:rFonts w:ascii="Arial" w:eastAsia="宋体" w:hAnsi="Arial" w:cs="Arial"/>
          <w:b/>
          <w:bCs/>
          <w:color w:val="000000"/>
          <w:sz w:val="20"/>
          <w:szCs w:val="20"/>
        </w:rPr>
        <w:t>Xilinx Merger and Acquisition Risks</w:t>
      </w:r>
    </w:p>
    <w:p w14:paraId="59029AB0" w14:textId="77777777" w:rsidR="0084406A" w:rsidRDefault="002B18AF">
      <w:pPr>
        <w:spacing w:before="180"/>
        <w:jc w:val="both"/>
      </w:pPr>
      <w:r>
        <w:rPr>
          <w:rFonts w:ascii="Arial" w:eastAsia="宋体" w:hAnsi="Arial" w:cs="Arial"/>
          <w:b/>
          <w:bCs/>
          <w:i/>
          <w:iCs/>
          <w:color w:val="000000"/>
          <w:sz w:val="20"/>
          <w:szCs w:val="20"/>
        </w:rPr>
        <w:t>Acquisitions, joint ventures and/or investments, including our previously announced acquisition of Xilinx, and the failure to integrate acquired businesses, could disrupt our bus</w:t>
      </w:r>
      <w:r>
        <w:rPr>
          <w:rFonts w:ascii="Arial" w:eastAsia="宋体" w:hAnsi="Arial" w:cs="Arial"/>
          <w:b/>
          <w:bCs/>
          <w:i/>
          <w:iCs/>
          <w:color w:val="000000"/>
          <w:sz w:val="20"/>
          <w:szCs w:val="20"/>
        </w:rPr>
        <w:t>iness and/or dilute or adversely affect the price of our common stock.</w:t>
      </w:r>
    </w:p>
    <w:p w14:paraId="59029AB1" w14:textId="77777777" w:rsidR="0084406A" w:rsidRDefault="002B18AF">
      <w:pPr>
        <w:spacing w:before="180"/>
        <w:jc w:val="both"/>
      </w:pPr>
      <w:r>
        <w:rPr>
          <w:rFonts w:ascii="Arial" w:eastAsia="宋体" w:hAnsi="Arial" w:cs="Arial"/>
          <w:color w:val="000000"/>
          <w:sz w:val="20"/>
          <w:szCs w:val="20"/>
        </w:rPr>
        <w:t xml:space="preserve">Our success will depend, in part, on our ability to expand our product offerings and grow our business in response to changing technologies, customer demands and competitive pressures. </w:t>
      </w:r>
      <w:r>
        <w:rPr>
          <w:rFonts w:ascii="Arial" w:eastAsia="宋体" w:hAnsi="Arial" w:cs="Arial"/>
          <w:color w:val="000000"/>
          <w:sz w:val="20"/>
          <w:szCs w:val="20"/>
        </w:rPr>
        <w:t>In some circumstances, we may pursue growth through the acquisition of complementary businesses, solutions or technologies or through joint ventures or investments rather than through internal development. The identification of suitable acquisition or join</w:t>
      </w:r>
      <w:r>
        <w:rPr>
          <w:rFonts w:ascii="Arial" w:eastAsia="宋体" w:hAnsi="Arial" w:cs="Arial"/>
          <w:color w:val="000000"/>
          <w:sz w:val="20"/>
          <w:szCs w:val="20"/>
        </w:rPr>
        <w:t>t venture candidates can be difficult, time-consuming and costly, and we may not be able to successfully complete identified acquisitions or joint ventures.</w:t>
      </w:r>
    </w:p>
    <w:p w14:paraId="59029AB2" w14:textId="77777777" w:rsidR="0084406A" w:rsidRDefault="002B18AF">
      <w:pPr>
        <w:spacing w:before="180"/>
        <w:jc w:val="both"/>
      </w:pPr>
      <w:r>
        <w:rPr>
          <w:rFonts w:ascii="Arial" w:eastAsia="宋体" w:hAnsi="Arial" w:cs="Arial"/>
          <w:color w:val="000000"/>
          <w:sz w:val="20"/>
          <w:szCs w:val="20"/>
        </w:rPr>
        <w:t xml:space="preserve">For example, on October 26, 2020, we, along with a direct wholly-owned subsidiary of ours, entered </w:t>
      </w:r>
      <w:r>
        <w:rPr>
          <w:rFonts w:ascii="Arial" w:eastAsia="宋体" w:hAnsi="Arial" w:cs="Arial"/>
          <w:color w:val="000000"/>
          <w:sz w:val="20"/>
          <w:szCs w:val="20"/>
        </w:rPr>
        <w:t>into an Agreement and Plan of Merger (the Merger Agreement) with Xilinx, Inc. (Xilinx), whereby we agreed to acquire Xilinx (the Merger). We entered into the Merger Agreement with the belief that the Merger will result in certain benefits, including certai</w:t>
      </w:r>
      <w:r>
        <w:rPr>
          <w:rFonts w:ascii="Arial" w:eastAsia="宋体" w:hAnsi="Arial" w:cs="Arial"/>
          <w:color w:val="000000"/>
          <w:sz w:val="20"/>
          <w:szCs w:val="20"/>
        </w:rPr>
        <w:t>n operational synergies and cost efficiencies, and drive product innovations. Achieving these anticipated benefits will depend on successfully combining our and Xilinx’s businesses together. It is not certain that Xilinx’s business can be successfully inte</w:t>
      </w:r>
      <w:r>
        <w:rPr>
          <w:rFonts w:ascii="Arial" w:eastAsia="宋体" w:hAnsi="Arial" w:cs="Arial"/>
          <w:color w:val="000000"/>
          <w:sz w:val="20"/>
          <w:szCs w:val="20"/>
        </w:rPr>
        <w:t>grated with our business in a timely manner or at all, or that any of the anticipated benefits will be realized for a variety of reasons, including, but not limited to: failure to obtain applicable regulatory approval in a timely manner or otherwise; failu</w:t>
      </w:r>
      <w:r>
        <w:rPr>
          <w:rFonts w:ascii="Arial" w:eastAsia="宋体" w:hAnsi="Arial" w:cs="Arial"/>
          <w:color w:val="000000"/>
          <w:sz w:val="20"/>
          <w:szCs w:val="20"/>
        </w:rPr>
        <w:t>re to satisfy other closing conditions to the Merger; our inability to integrate or benefit from Xilinx’s acquired technologies or services in a profitable manner; diversion of capital and other resources, including management’s attention from our existing</w:t>
      </w:r>
      <w:r>
        <w:rPr>
          <w:rFonts w:ascii="Arial" w:eastAsia="宋体" w:hAnsi="Arial" w:cs="Arial"/>
          <w:color w:val="000000"/>
          <w:sz w:val="20"/>
          <w:szCs w:val="20"/>
        </w:rPr>
        <w:t xml:space="preserve"> business; unanticipated costs or liabilities associated with the Merger; failure to leverage the increased scale of the combined businesses quickly and effectively; coordinating and integrating in countries in which we have not previously operated; the po</w:t>
      </w:r>
      <w:r>
        <w:rPr>
          <w:rFonts w:ascii="Arial" w:eastAsia="宋体" w:hAnsi="Arial" w:cs="Arial"/>
          <w:color w:val="000000"/>
          <w:sz w:val="20"/>
          <w:szCs w:val="20"/>
        </w:rPr>
        <w:t>tential impact of the Merger on our relationships with employees, vendors, suppliers and customers; the impairment of relationships with, or the loss of, Xilinx’s employees, vendors, suppliers and customers; adverse changes in general economic conditions i</w:t>
      </w:r>
      <w:r>
        <w:rPr>
          <w:rFonts w:ascii="Arial" w:eastAsia="宋体" w:hAnsi="Arial" w:cs="Arial"/>
          <w:color w:val="000000"/>
          <w:sz w:val="20"/>
          <w:szCs w:val="20"/>
        </w:rPr>
        <w:t>n regions in which we and Xilinx operate; potential litigation associated with the Merger; difficulties in the assimilation of employees and culture; difficulties in managing the expanded operations of a larger and more complex company; challenges in attra</w:t>
      </w:r>
      <w:r>
        <w:rPr>
          <w:rFonts w:ascii="Arial" w:eastAsia="宋体" w:hAnsi="Arial" w:cs="Arial"/>
          <w:color w:val="000000"/>
          <w:sz w:val="20"/>
          <w:szCs w:val="20"/>
        </w:rPr>
        <w:t>cting and retaining key personnel; and difficulties with integrating and upgrading our and Xilinx’s financial reporting systems. Many of these factors will be outside of our control and any one of them could result in increased costs, decreases in expected</w:t>
      </w:r>
      <w:r>
        <w:rPr>
          <w:rFonts w:ascii="Arial" w:eastAsia="宋体" w:hAnsi="Arial" w:cs="Arial"/>
          <w:color w:val="000000"/>
          <w:sz w:val="20"/>
          <w:szCs w:val="20"/>
        </w:rPr>
        <w:t xml:space="preserve"> revenues and diversion of management’s time and attention, which could materially impact the combined company. In addition, even if the operations of the businesses are integrated successfully, the full benefits of the Merger may not be realized within th</w:t>
      </w:r>
      <w:r>
        <w:rPr>
          <w:rFonts w:ascii="Arial" w:eastAsia="宋体" w:hAnsi="Arial" w:cs="Arial"/>
          <w:color w:val="000000"/>
          <w:sz w:val="20"/>
          <w:szCs w:val="20"/>
        </w:rPr>
        <w:t>e anticipated time frame or at all. All of these factors could decrease or delay the expected accretive effect of the Merger and negatively impact the combined company. If we cannot successfully integrate our and Xilinx’s businesses and operations, or if t</w:t>
      </w:r>
      <w:r>
        <w:rPr>
          <w:rFonts w:ascii="Arial" w:eastAsia="宋体" w:hAnsi="Arial" w:cs="Arial"/>
          <w:color w:val="000000"/>
          <w:sz w:val="20"/>
          <w:szCs w:val="20"/>
        </w:rPr>
        <w:t>here are delays in combining the businesses, it could negatively impact our ability to develop or sell new products and impair our ability to grow our business, which in turn could adversely affect our financial condition and operating results.</w:t>
      </w:r>
    </w:p>
    <w:p w14:paraId="59029AB3" w14:textId="77777777" w:rsidR="0084406A" w:rsidRDefault="002B18AF">
      <w:pPr>
        <w:jc w:val="center"/>
      </w:pPr>
      <w:r>
        <w:rPr>
          <w:rFonts w:ascii="Arial" w:eastAsia="宋体" w:hAnsi="Arial" w:cs="Arial"/>
          <w:color w:val="000000"/>
          <w:sz w:val="20"/>
          <w:szCs w:val="20"/>
        </w:rPr>
        <w:t>30</w:t>
      </w:r>
    </w:p>
    <w:p w14:paraId="59029AB4" w14:textId="77777777" w:rsidR="0084406A" w:rsidRDefault="002B18AF">
      <w:r>
        <w:pict w14:anchorId="5902BB12">
          <v:rect id="_x0000_i1057" style="width:415.3pt;height:1.5pt" o:hralign="center" o:hrstd="t" o:hr="t" fillcolor="#a0a0a0" stroked="f"/>
        </w:pict>
      </w:r>
    </w:p>
    <w:p w14:paraId="59029AB5" w14:textId="77777777" w:rsidR="0084406A" w:rsidRDefault="0084406A"/>
    <w:p w14:paraId="59029AB6" w14:textId="77777777" w:rsidR="0084406A" w:rsidRDefault="002B18AF">
      <w:pPr>
        <w:spacing w:before="180"/>
        <w:jc w:val="both"/>
      </w:pPr>
      <w:r>
        <w:rPr>
          <w:rFonts w:ascii="Arial" w:eastAsia="宋体" w:hAnsi="Arial" w:cs="Arial"/>
          <w:color w:val="000000"/>
          <w:sz w:val="20"/>
          <w:szCs w:val="20"/>
        </w:rPr>
        <w:t>Acquisitions and joint ventures may also involve the entry into geographic or business markets in which we have little or no prior experience. Consequently, we may not achieve anticipated benefits of acquisitions or joint ventures, which could harm our ope</w:t>
      </w:r>
      <w:r>
        <w:rPr>
          <w:rFonts w:ascii="Arial" w:eastAsia="宋体" w:hAnsi="Arial" w:cs="Arial"/>
          <w:color w:val="000000"/>
          <w:sz w:val="20"/>
          <w:szCs w:val="20"/>
        </w:rPr>
        <w:t xml:space="preserve">rating results. In addition, to complete an acquisition (and as contemplated in the Merger), we may issue equity securities, which would dilute our stockholders’ ownership and could adversely affect the price of our common stock, and/or incur debt, assume </w:t>
      </w:r>
      <w:r>
        <w:rPr>
          <w:rFonts w:ascii="Arial" w:eastAsia="宋体" w:hAnsi="Arial" w:cs="Arial"/>
          <w:color w:val="000000"/>
          <w:sz w:val="20"/>
          <w:szCs w:val="20"/>
        </w:rPr>
        <w:t>contingent liabilities or have amortization expenses and write-downs of acquired assets, which could adversely affect our results of operations. Moreover, if such acquisitions or joint ventures require us to seek additional debt or equity financing, we may</w:t>
      </w:r>
      <w:r>
        <w:rPr>
          <w:rFonts w:ascii="Arial" w:eastAsia="宋体" w:hAnsi="Arial" w:cs="Arial"/>
          <w:color w:val="000000"/>
          <w:sz w:val="20"/>
          <w:szCs w:val="20"/>
        </w:rPr>
        <w:t xml:space="preserve"> not be able to obtain such financing on terms favorable to us or at all. Even if we successfully complete an acquisition or joint venture, we may not be able to assimilate and integrate effectively or efficiently the acquired business, technologies, solut</w:t>
      </w:r>
      <w:r>
        <w:rPr>
          <w:rFonts w:ascii="Arial" w:eastAsia="宋体" w:hAnsi="Arial" w:cs="Arial"/>
          <w:color w:val="000000"/>
          <w:sz w:val="20"/>
          <w:szCs w:val="20"/>
        </w:rPr>
        <w:t>ions, assets, personnel or operations, particularly if key personnel of the acquired company decide not to work for us.</w:t>
      </w:r>
    </w:p>
    <w:p w14:paraId="59029AB7" w14:textId="77777777" w:rsidR="0084406A" w:rsidRDefault="002B18AF">
      <w:pPr>
        <w:spacing w:before="180"/>
        <w:jc w:val="both"/>
      </w:pPr>
      <w:r>
        <w:rPr>
          <w:rFonts w:ascii="Arial" w:eastAsia="宋体" w:hAnsi="Arial" w:cs="Arial"/>
          <w:color w:val="000000"/>
          <w:sz w:val="20"/>
          <w:szCs w:val="20"/>
        </w:rPr>
        <w:t>Acquisitions and joint ventures may also reduce our cash available for operations and other uses, which could harm our business. Also, a</w:t>
      </w:r>
      <w:r>
        <w:rPr>
          <w:rFonts w:ascii="Arial" w:eastAsia="宋体" w:hAnsi="Arial" w:cs="Arial"/>
          <w:color w:val="000000"/>
          <w:sz w:val="20"/>
          <w:szCs w:val="20"/>
        </w:rPr>
        <w:t>ny failure on our part to effectively evaluate and execute new business initiatives could adversely affect our business. We may not adequately assess the risks of new business initiatives and subsequent events may arise that alter the risks that were initi</w:t>
      </w:r>
      <w:r>
        <w:rPr>
          <w:rFonts w:ascii="Arial" w:eastAsia="宋体" w:hAnsi="Arial" w:cs="Arial"/>
          <w:color w:val="000000"/>
          <w:sz w:val="20"/>
          <w:szCs w:val="20"/>
        </w:rPr>
        <w:t>ally considered. Furthermore, we may not achieve the objectives and expectations with respect to future operations, products and services. The majority of our ATMP services are provided by the ATMP JVs, and there is no guarantee that the JVs will be able t</w:t>
      </w:r>
      <w:r>
        <w:rPr>
          <w:rFonts w:ascii="Arial" w:eastAsia="宋体" w:hAnsi="Arial" w:cs="Arial"/>
          <w:color w:val="000000"/>
          <w:sz w:val="20"/>
          <w:szCs w:val="20"/>
        </w:rPr>
        <w:t>o fulfill our long-term ATMP requirements. If we are unable to meet customer demand due to fluctuating or late supply from the ATMP JVs, it could result in lost sales and have a material adverse effect on our business.</w:t>
      </w:r>
    </w:p>
    <w:p w14:paraId="59029AB8" w14:textId="77777777" w:rsidR="0084406A" w:rsidRDefault="002B18AF">
      <w:pPr>
        <w:spacing w:before="180"/>
        <w:jc w:val="both"/>
      </w:pPr>
      <w:r>
        <w:rPr>
          <w:rFonts w:ascii="Arial" w:eastAsia="宋体" w:hAnsi="Arial" w:cs="Arial"/>
          <w:color w:val="000000"/>
          <w:sz w:val="20"/>
          <w:szCs w:val="20"/>
        </w:rPr>
        <w:t>In addition, we may not realize the a</w:t>
      </w:r>
      <w:r>
        <w:rPr>
          <w:rFonts w:ascii="Arial" w:eastAsia="宋体" w:hAnsi="Arial" w:cs="Arial"/>
          <w:color w:val="000000"/>
          <w:sz w:val="20"/>
          <w:szCs w:val="20"/>
        </w:rPr>
        <w:t>nticipated benefits from our business initiatives. For example, we may not realize the expected benefits from the THATIC JV’s expected future performance, including the receipt of any future milestone payments and any royalties from certain licensed intell</w:t>
      </w:r>
      <w:r>
        <w:rPr>
          <w:rFonts w:ascii="Arial" w:eastAsia="宋体" w:hAnsi="Arial" w:cs="Arial"/>
          <w:color w:val="000000"/>
          <w:sz w:val="20"/>
          <w:szCs w:val="20"/>
        </w:rPr>
        <w:t>ectual property. In June 2019, the BIS added certain Chinese entities to the Entity List, including THATIC and the THATIC JV. We are complying with U.S. law pertaining to the Entity List designation.</w:t>
      </w:r>
    </w:p>
    <w:p w14:paraId="59029AB9" w14:textId="77777777" w:rsidR="0084406A" w:rsidRDefault="002B18AF">
      <w:pPr>
        <w:spacing w:before="180"/>
        <w:jc w:val="both"/>
      </w:pPr>
      <w:r>
        <w:rPr>
          <w:rFonts w:ascii="Arial" w:eastAsia="宋体" w:hAnsi="Arial" w:cs="Arial"/>
          <w:b/>
          <w:bCs/>
          <w:i/>
          <w:iCs/>
          <w:color w:val="000000"/>
          <w:sz w:val="20"/>
          <w:szCs w:val="20"/>
        </w:rPr>
        <w:t xml:space="preserve">Our ability to complete the Xilinx Merger is subject to </w:t>
      </w:r>
      <w:r>
        <w:rPr>
          <w:rFonts w:ascii="Arial" w:eastAsia="宋体" w:hAnsi="Arial" w:cs="Arial"/>
          <w:b/>
          <w:bCs/>
          <w:i/>
          <w:iCs/>
          <w:color w:val="000000"/>
          <w:sz w:val="20"/>
          <w:szCs w:val="20"/>
        </w:rPr>
        <w:t>closing conditions, including the receipt of consents and approvals from governmental authorities, which may impose conditions that could adversely affect us or cause the Xilinx Merger not to be completed.</w:t>
      </w:r>
    </w:p>
    <w:p w14:paraId="59029ABA" w14:textId="77777777" w:rsidR="0084406A" w:rsidRDefault="002B18AF">
      <w:pPr>
        <w:spacing w:before="180"/>
        <w:jc w:val="both"/>
      </w:pPr>
      <w:r>
        <w:rPr>
          <w:rFonts w:ascii="Arial" w:eastAsia="宋体" w:hAnsi="Arial" w:cs="Arial"/>
          <w:color w:val="000000"/>
          <w:sz w:val="20"/>
          <w:szCs w:val="20"/>
        </w:rPr>
        <w:t>The Merger is subject to a number of closing condi</w:t>
      </w:r>
      <w:r>
        <w:rPr>
          <w:rFonts w:ascii="Arial" w:eastAsia="宋体" w:hAnsi="Arial" w:cs="Arial"/>
          <w:color w:val="000000"/>
          <w:sz w:val="20"/>
          <w:szCs w:val="20"/>
        </w:rPr>
        <w:t>tions as specified in the Merger Agreement. These include, among others, the receipt of approvals under certain competition laws and the absence of governmental restraints or prohibitions preventing the consummation of the Merger. No assurance can be given</w:t>
      </w:r>
      <w:r>
        <w:rPr>
          <w:rFonts w:ascii="Arial" w:eastAsia="宋体" w:hAnsi="Arial" w:cs="Arial"/>
          <w:color w:val="000000"/>
          <w:sz w:val="20"/>
          <w:szCs w:val="20"/>
        </w:rPr>
        <w:t xml:space="preserve"> that the required consents and approvals will be obtained or that the closing conditions will be satisfied in a timely manner or at all. Also, if a settlement or other resolution is not reached in any legal proceedings that may be instituted against us, o</w:t>
      </w:r>
      <w:r>
        <w:rPr>
          <w:rFonts w:ascii="Arial" w:eastAsia="宋体" w:hAnsi="Arial" w:cs="Arial"/>
          <w:color w:val="000000"/>
          <w:sz w:val="20"/>
          <w:szCs w:val="20"/>
        </w:rPr>
        <w:t>ur directors, Xilinx or its directors relating to the transactions contemplated by the Merger Agreement, and the plaintiffs in such proceedings secure injunctive or other relief prohibiting, delaying or otherwise adversely affecting our and/or Xilinx’s abi</w:t>
      </w:r>
      <w:r>
        <w:rPr>
          <w:rFonts w:ascii="Arial" w:eastAsia="宋体" w:hAnsi="Arial" w:cs="Arial"/>
          <w:color w:val="000000"/>
          <w:sz w:val="20"/>
          <w:szCs w:val="20"/>
        </w:rPr>
        <w:t>lity to complete the Merger on the terms contemplated by the Merger Agreement, then such injunctive or other relief may prevent the Merger from becoming effective in a timely manner, or at all. Any delay in completing the Merger could cause the combined co</w:t>
      </w:r>
      <w:r>
        <w:rPr>
          <w:rFonts w:ascii="Arial" w:eastAsia="宋体" w:hAnsi="Arial" w:cs="Arial"/>
          <w:color w:val="000000"/>
          <w:sz w:val="20"/>
          <w:szCs w:val="20"/>
        </w:rPr>
        <w:t>mpany not to realize, or to be delayed in realizing, some or all of the benefits that we expect to achieve. We cannot provide any assurances that these conditions will not result in the abandonment or delay of the Merger. The occurrence of any of these eve</w:t>
      </w:r>
      <w:r>
        <w:rPr>
          <w:rFonts w:ascii="Arial" w:eastAsia="宋体" w:hAnsi="Arial" w:cs="Arial"/>
          <w:color w:val="000000"/>
          <w:sz w:val="20"/>
          <w:szCs w:val="20"/>
        </w:rPr>
        <w:t>nts could have a material adverse effect on our results of operations and the trading price of our common stock. Additionally, under the Merger Agreement, Xilinx will be required to pay a termination fee to us equal to $1 billion if the Merger Agreement is</w:t>
      </w:r>
      <w:r>
        <w:rPr>
          <w:rFonts w:ascii="Arial" w:eastAsia="宋体" w:hAnsi="Arial" w:cs="Arial"/>
          <w:color w:val="000000"/>
          <w:sz w:val="20"/>
          <w:szCs w:val="20"/>
        </w:rPr>
        <w:t xml:space="preserve"> terminated in certain circumstances, including if the Merger Agreement is terminated because Xilinx’s board of directors has changed its recommendation. We will be required to pay a termination fee to Xilinx equal to $1.5 billion if the Merger Agreement i</w:t>
      </w:r>
      <w:r>
        <w:rPr>
          <w:rFonts w:ascii="Arial" w:eastAsia="宋体" w:hAnsi="Arial" w:cs="Arial"/>
          <w:color w:val="000000"/>
          <w:sz w:val="20"/>
          <w:szCs w:val="20"/>
        </w:rPr>
        <w:t xml:space="preserve">s terminated in certain circumstances, including if the Merger Agreement is terminated because our board of directors has changed its recommendation. We will be required to pay a termination fee equal to $1 billion if the Merger Agreement is terminated in </w:t>
      </w:r>
      <w:r>
        <w:rPr>
          <w:rFonts w:ascii="Arial" w:eastAsia="宋体" w:hAnsi="Arial" w:cs="Arial"/>
          <w:color w:val="000000"/>
          <w:sz w:val="20"/>
          <w:szCs w:val="20"/>
        </w:rPr>
        <w:t>certain circumstances related to the failure to obtain required regulatory approvals by October 26, 2021 (subject to automatic extension first to January 26, 2022 and then to April 26, 2022, in each case, to the extent the regulatory closing conditions rem</w:t>
      </w:r>
      <w:r>
        <w:rPr>
          <w:rFonts w:ascii="Arial" w:eastAsia="宋体" w:hAnsi="Arial" w:cs="Arial"/>
          <w:color w:val="000000"/>
          <w:sz w:val="20"/>
          <w:szCs w:val="20"/>
        </w:rPr>
        <w:t>ain outstanding).</w:t>
      </w:r>
    </w:p>
    <w:p w14:paraId="59029ABB" w14:textId="77777777" w:rsidR="0084406A" w:rsidRDefault="002B18AF">
      <w:pPr>
        <w:jc w:val="center"/>
      </w:pPr>
      <w:r>
        <w:rPr>
          <w:rFonts w:ascii="Arial" w:eastAsia="宋体" w:hAnsi="Arial" w:cs="Arial"/>
          <w:color w:val="000000"/>
          <w:sz w:val="20"/>
          <w:szCs w:val="20"/>
        </w:rPr>
        <w:t>31</w:t>
      </w:r>
    </w:p>
    <w:p w14:paraId="59029ABC" w14:textId="77777777" w:rsidR="0084406A" w:rsidRDefault="002B18AF">
      <w:r>
        <w:pict w14:anchorId="5902BB13">
          <v:rect id="_x0000_i1058" style="width:415.3pt;height:1.5pt" o:hralign="center" o:hrstd="t" o:hr="t" fillcolor="#a0a0a0" stroked="f"/>
        </w:pict>
      </w:r>
    </w:p>
    <w:p w14:paraId="59029ABD" w14:textId="77777777" w:rsidR="0084406A" w:rsidRDefault="0084406A"/>
    <w:p w14:paraId="59029ABE" w14:textId="77777777" w:rsidR="0084406A" w:rsidRDefault="002B18AF">
      <w:pPr>
        <w:spacing w:before="180"/>
        <w:jc w:val="both"/>
      </w:pPr>
      <w:r>
        <w:rPr>
          <w:rFonts w:ascii="Arial" w:eastAsia="宋体" w:hAnsi="Arial" w:cs="Arial"/>
          <w:b/>
          <w:bCs/>
          <w:i/>
          <w:iCs/>
          <w:color w:val="000000"/>
          <w:sz w:val="20"/>
          <w:szCs w:val="20"/>
        </w:rPr>
        <w:t>Whether or not it is completed, the announcement and pendency of the Xilinx Merger could cause disruptions in our business, which could have an adverse effect on our business and financial results</w:t>
      </w:r>
      <w:r>
        <w:rPr>
          <w:rFonts w:ascii="sans-serif" w:eastAsia="宋体" w:hAnsi="sans-serif" w:cs="sans-serif"/>
          <w:b/>
          <w:bCs/>
          <w:color w:val="000000"/>
        </w:rPr>
        <w:t>.</w:t>
      </w:r>
    </w:p>
    <w:p w14:paraId="59029ABF" w14:textId="77777777" w:rsidR="0084406A" w:rsidRDefault="002B18AF">
      <w:pPr>
        <w:spacing w:before="180"/>
        <w:jc w:val="both"/>
      </w:pPr>
      <w:r>
        <w:rPr>
          <w:rFonts w:ascii="Arial" w:eastAsia="宋体" w:hAnsi="Arial" w:cs="Arial"/>
          <w:color w:val="000000"/>
          <w:sz w:val="20"/>
          <w:szCs w:val="20"/>
        </w:rPr>
        <w:t xml:space="preserve">Whether or not it is </w:t>
      </w:r>
      <w:r>
        <w:rPr>
          <w:rFonts w:ascii="Arial" w:eastAsia="宋体" w:hAnsi="Arial" w:cs="Arial"/>
          <w:color w:val="000000"/>
          <w:sz w:val="20"/>
          <w:szCs w:val="20"/>
        </w:rPr>
        <w:t>completed, the announcement and pendency of the Merger could cause disruptions in our business: our and Xilinx’s current and prospective employees may experience uncertainty about their future roles with the combined company, which might adversely affect t</w:t>
      </w:r>
      <w:r>
        <w:rPr>
          <w:rFonts w:ascii="Arial" w:eastAsia="宋体" w:hAnsi="Arial" w:cs="Arial"/>
          <w:color w:val="000000"/>
          <w:sz w:val="20"/>
          <w:szCs w:val="20"/>
        </w:rPr>
        <w:t xml:space="preserve">he ability to retain key employees; uncertainty regarding the completion of the Merger may cause customers, suppliers, distributors, vendors, strategic partners or others to delay or defer entering into contracts, make other decisions or seek to change or </w:t>
      </w:r>
      <w:r>
        <w:rPr>
          <w:rFonts w:ascii="Arial" w:eastAsia="宋体" w:hAnsi="Arial" w:cs="Arial"/>
          <w:color w:val="000000"/>
          <w:sz w:val="20"/>
          <w:szCs w:val="20"/>
        </w:rPr>
        <w:t>cancel existing business relationships; and the attention of management may be directed toward the completion of the Merger. If the Merger is not completed, we will have incurred significant costs, including the potential payment of termination fees and th</w:t>
      </w:r>
      <w:r>
        <w:rPr>
          <w:rFonts w:ascii="Arial" w:eastAsia="宋体" w:hAnsi="Arial" w:cs="Arial"/>
          <w:color w:val="000000"/>
          <w:sz w:val="20"/>
          <w:szCs w:val="20"/>
        </w:rPr>
        <w:t>e diversion of management resources, for which we will have received little or no benefit.</w:t>
      </w:r>
    </w:p>
    <w:p w14:paraId="59029AC0" w14:textId="77777777" w:rsidR="0084406A" w:rsidRDefault="002B18AF">
      <w:pPr>
        <w:spacing w:before="180"/>
        <w:jc w:val="both"/>
      </w:pPr>
      <w:r>
        <w:rPr>
          <w:rFonts w:ascii="Arial" w:eastAsia="宋体" w:hAnsi="Arial" w:cs="Arial"/>
          <w:b/>
          <w:bCs/>
          <w:i/>
          <w:iCs/>
          <w:color w:val="000000"/>
          <w:sz w:val="20"/>
          <w:szCs w:val="20"/>
        </w:rPr>
        <w:t>Any impairment of the combined company’s tangible, definite-lived intangible or indefinite-lived intangible assets, including goodwill, may adversely impact the comb</w:t>
      </w:r>
      <w:r>
        <w:rPr>
          <w:rFonts w:ascii="Arial" w:eastAsia="宋体" w:hAnsi="Arial" w:cs="Arial"/>
          <w:b/>
          <w:bCs/>
          <w:i/>
          <w:iCs/>
          <w:color w:val="000000"/>
          <w:sz w:val="20"/>
          <w:szCs w:val="20"/>
        </w:rPr>
        <w:t>ined company’s financial position and results of operations.</w:t>
      </w:r>
    </w:p>
    <w:p w14:paraId="59029AC1" w14:textId="77777777" w:rsidR="0084406A" w:rsidRDefault="002B18AF">
      <w:pPr>
        <w:spacing w:before="180"/>
        <w:jc w:val="both"/>
      </w:pPr>
      <w:r>
        <w:rPr>
          <w:rFonts w:ascii="Arial" w:eastAsia="宋体" w:hAnsi="Arial" w:cs="Arial"/>
          <w:color w:val="000000"/>
          <w:sz w:val="20"/>
          <w:szCs w:val="20"/>
        </w:rPr>
        <w:t>The Merger will be accounted for using the acquisition method of accounting under the provisions of ASC 805, Business Combinations, with AMD representing the accounting acquirer under this guidan</w:t>
      </w:r>
      <w:r>
        <w:rPr>
          <w:rFonts w:ascii="Arial" w:eastAsia="宋体" w:hAnsi="Arial" w:cs="Arial"/>
          <w:color w:val="000000"/>
          <w:sz w:val="20"/>
          <w:szCs w:val="20"/>
        </w:rPr>
        <w:t>ce. We will record assets acquired, including identifiable intangible assets, and liabilities assumed from Xilinx at their respective fair values at the date of completion of the Merger. Any excess of the purchase price over the net fair value of such asse</w:t>
      </w:r>
      <w:r>
        <w:rPr>
          <w:rFonts w:ascii="Arial" w:eastAsia="宋体" w:hAnsi="Arial" w:cs="Arial"/>
          <w:color w:val="000000"/>
          <w:sz w:val="20"/>
          <w:szCs w:val="20"/>
        </w:rPr>
        <w:t xml:space="preserve">ts and liabilities will be recorded as goodwill. In connection with the Merger, the combined company is expected to record significant goodwill and other intangible assets on its consolidated balance sheet. </w:t>
      </w:r>
    </w:p>
    <w:p w14:paraId="59029AC2" w14:textId="77777777" w:rsidR="0084406A" w:rsidRDefault="002B18AF">
      <w:pPr>
        <w:spacing w:before="180"/>
        <w:jc w:val="both"/>
      </w:pPr>
      <w:r>
        <w:rPr>
          <w:rFonts w:ascii="Arial" w:eastAsia="宋体" w:hAnsi="Arial" w:cs="Arial"/>
          <w:color w:val="000000"/>
          <w:sz w:val="20"/>
          <w:szCs w:val="20"/>
        </w:rPr>
        <w:t>Indefinite-lived intangible assets, including go</w:t>
      </w:r>
      <w:r>
        <w:rPr>
          <w:rFonts w:ascii="Arial" w:eastAsia="宋体" w:hAnsi="Arial" w:cs="Arial"/>
          <w:color w:val="000000"/>
          <w:sz w:val="20"/>
          <w:szCs w:val="20"/>
        </w:rPr>
        <w:t>odwill, will be tested for impairment at least annually, and all tangible and intangible assets including goodwill will be tested for impairment when certain indicators are present. If, in the future, the combined company determines that tangible or intang</w:t>
      </w:r>
      <w:r>
        <w:rPr>
          <w:rFonts w:ascii="Arial" w:eastAsia="宋体" w:hAnsi="Arial" w:cs="Arial"/>
          <w:color w:val="000000"/>
          <w:sz w:val="20"/>
          <w:szCs w:val="20"/>
        </w:rPr>
        <w:t>ible assets, including goodwill, are impaired, the combined company would record an impairment charge at that time. Impairment testing of goodwill and intangible assets requires significant use of judgment and assumptions, particularly as it relates to the</w:t>
      </w:r>
      <w:r>
        <w:rPr>
          <w:rFonts w:ascii="Arial" w:eastAsia="宋体" w:hAnsi="Arial" w:cs="Arial"/>
          <w:color w:val="000000"/>
          <w:sz w:val="20"/>
          <w:szCs w:val="20"/>
        </w:rPr>
        <w:t xml:space="preserve"> determination of fair value. A decrease in the long-term economic outlook and future cash flows of the combined company’s business could significantly impact asset values and potentially result in the impairment of intangible assets, including goodwill, w</w:t>
      </w:r>
      <w:r>
        <w:rPr>
          <w:rFonts w:ascii="Arial" w:eastAsia="宋体" w:hAnsi="Arial" w:cs="Arial"/>
          <w:color w:val="000000"/>
          <w:sz w:val="20"/>
          <w:szCs w:val="20"/>
        </w:rPr>
        <w:t>hich may have a material adverse impact on the combined company’s financial position and results of operations.</w:t>
      </w:r>
    </w:p>
    <w:p w14:paraId="59029AC3" w14:textId="77777777" w:rsidR="0084406A" w:rsidRDefault="002B18AF">
      <w:pPr>
        <w:spacing w:before="180"/>
        <w:jc w:val="both"/>
      </w:pPr>
      <w:r>
        <w:rPr>
          <w:rFonts w:ascii="Arial" w:eastAsia="宋体" w:hAnsi="Arial" w:cs="Arial"/>
          <w:b/>
          <w:bCs/>
          <w:color w:val="000000"/>
          <w:sz w:val="20"/>
          <w:szCs w:val="20"/>
        </w:rPr>
        <w:t>Liquidity and Capital Resources Risks</w:t>
      </w:r>
      <w:r>
        <w:rPr>
          <w:rFonts w:ascii="sans-serif" w:eastAsia="宋体" w:hAnsi="sans-serif" w:cs="sans-serif"/>
          <w:b/>
          <w:bCs/>
          <w:color w:val="000000"/>
          <w:sz w:val="22"/>
          <w:szCs w:val="22"/>
        </w:rPr>
        <w:t xml:space="preserve"> </w:t>
      </w:r>
    </w:p>
    <w:p w14:paraId="59029AC4" w14:textId="77777777" w:rsidR="0084406A" w:rsidRDefault="002B18AF">
      <w:pPr>
        <w:spacing w:before="180"/>
        <w:jc w:val="both"/>
      </w:pPr>
      <w:r>
        <w:rPr>
          <w:rFonts w:ascii="Arial" w:eastAsia="宋体" w:hAnsi="Arial" w:cs="Arial"/>
          <w:b/>
          <w:bCs/>
          <w:i/>
          <w:iCs/>
          <w:color w:val="000000"/>
          <w:sz w:val="20"/>
          <w:szCs w:val="20"/>
        </w:rPr>
        <w:t>The agreements governing our notes and our Revolving Credit Facility impose restrictions on us that may a</w:t>
      </w:r>
      <w:r>
        <w:rPr>
          <w:rFonts w:ascii="Arial" w:eastAsia="宋体" w:hAnsi="Arial" w:cs="Arial"/>
          <w:b/>
          <w:bCs/>
          <w:i/>
          <w:iCs/>
          <w:color w:val="000000"/>
          <w:sz w:val="20"/>
          <w:szCs w:val="20"/>
        </w:rPr>
        <w:t>dversely affect our ability to operate our business.</w:t>
      </w:r>
    </w:p>
    <w:p w14:paraId="59029AC5" w14:textId="77777777" w:rsidR="0084406A" w:rsidRDefault="002B18AF">
      <w:pPr>
        <w:spacing w:before="180"/>
        <w:jc w:val="both"/>
      </w:pPr>
      <w:r>
        <w:rPr>
          <w:rFonts w:ascii="Arial" w:eastAsia="宋体" w:hAnsi="Arial" w:cs="Arial"/>
          <w:color w:val="000000"/>
          <w:sz w:val="20"/>
          <w:szCs w:val="20"/>
        </w:rPr>
        <w:t>The indenture governing our 7.50% Senior Notes due August 2022 (7.50% Notes) contains various covenants which limit our ability to, among other things make certain investments, including investments in o</w:t>
      </w:r>
      <w:r>
        <w:rPr>
          <w:rFonts w:ascii="Arial" w:eastAsia="宋体" w:hAnsi="Arial" w:cs="Arial"/>
          <w:color w:val="000000"/>
          <w:sz w:val="20"/>
          <w:szCs w:val="20"/>
        </w:rPr>
        <w:t xml:space="preserve">ur unrestricted subsidiaries, and consolidate or merge or sell our assets as an entirety or substantially as an entirety. </w:t>
      </w:r>
    </w:p>
    <w:p w14:paraId="59029AC6" w14:textId="77777777" w:rsidR="0084406A" w:rsidRDefault="002B18AF">
      <w:pPr>
        <w:spacing w:before="180"/>
        <w:jc w:val="both"/>
      </w:pPr>
      <w:r>
        <w:rPr>
          <w:rFonts w:ascii="Arial" w:eastAsia="宋体" w:hAnsi="Arial" w:cs="Arial"/>
          <w:color w:val="000000"/>
          <w:sz w:val="20"/>
          <w:szCs w:val="20"/>
        </w:rPr>
        <w:t>In addition, the Revolving Credit Facility’s credit agreement (Credit Agreement) restricts our ability to make cash payments on the n</w:t>
      </w:r>
      <w:r>
        <w:rPr>
          <w:rFonts w:ascii="Arial" w:eastAsia="宋体" w:hAnsi="Arial" w:cs="Arial"/>
          <w:color w:val="000000"/>
          <w:sz w:val="20"/>
          <w:szCs w:val="20"/>
        </w:rPr>
        <w:t>otes to the extent that (i) on the date of such payment, an event of default exists under the Credit Agreement or would result therefrom or (ii) if we would have, on a pro forma basis after giving effect to such payment, a consolidated total leverage ratio</w:t>
      </w:r>
      <w:r>
        <w:rPr>
          <w:rFonts w:ascii="Arial" w:eastAsia="宋体" w:hAnsi="Arial" w:cs="Arial"/>
          <w:color w:val="000000"/>
          <w:sz w:val="20"/>
          <w:szCs w:val="20"/>
        </w:rPr>
        <w:t xml:space="preserve"> that exceeds 3.50x. Any of our future debt agreements may contain similar restrictions. If under certain circumstances we fail to make a cash payment on a series of notes when required by the applicable indenture, it would constitute an event of default u</w:t>
      </w:r>
      <w:r>
        <w:rPr>
          <w:rFonts w:ascii="Arial" w:eastAsia="宋体" w:hAnsi="Arial" w:cs="Arial"/>
          <w:color w:val="000000"/>
          <w:sz w:val="20"/>
          <w:szCs w:val="20"/>
        </w:rPr>
        <w:t>nder such indenture, which, in turn, could constitute an event of default under the agreements governing our other indebtedness.</w:t>
      </w:r>
    </w:p>
    <w:p w14:paraId="59029AC7" w14:textId="77777777" w:rsidR="0084406A" w:rsidRDefault="002B18AF">
      <w:pPr>
        <w:spacing w:before="180"/>
        <w:jc w:val="both"/>
      </w:pPr>
      <w:r>
        <w:rPr>
          <w:rFonts w:ascii="Arial" w:eastAsia="宋体" w:hAnsi="Arial" w:cs="Arial"/>
          <w:color w:val="000000"/>
          <w:sz w:val="20"/>
          <w:szCs w:val="20"/>
        </w:rPr>
        <w:t xml:space="preserve">Our Revolving Credit Facility also contains various covenants which limit our ability to, among other things, incur additional </w:t>
      </w:r>
      <w:r>
        <w:rPr>
          <w:rFonts w:ascii="Arial" w:eastAsia="宋体" w:hAnsi="Arial" w:cs="Arial"/>
          <w:color w:val="000000"/>
          <w:sz w:val="20"/>
          <w:szCs w:val="20"/>
        </w:rPr>
        <w:t>indebtedness and liens, make certain investments, merge or consolidate with other entities, make certain dispositions, create any encumbrance on the ability of a subsidiary to make any upstream payments, make payments with respect to subordinated debt or c</w:t>
      </w:r>
      <w:r>
        <w:rPr>
          <w:rFonts w:ascii="Arial" w:eastAsia="宋体" w:hAnsi="Arial" w:cs="Arial"/>
          <w:color w:val="000000"/>
          <w:sz w:val="20"/>
          <w:szCs w:val="20"/>
        </w:rPr>
        <w:t>ertain borrowed money prior to its due date and enter into any non-arm’s-length transaction with an affiliate (in each case, except for certain customary exceptions).</w:t>
      </w:r>
    </w:p>
    <w:p w14:paraId="59029AC8" w14:textId="77777777" w:rsidR="0084406A" w:rsidRDefault="002B18AF">
      <w:pPr>
        <w:jc w:val="center"/>
      </w:pPr>
      <w:r>
        <w:rPr>
          <w:rFonts w:ascii="Arial" w:eastAsia="宋体" w:hAnsi="Arial" w:cs="Arial"/>
          <w:color w:val="000000"/>
          <w:sz w:val="20"/>
          <w:szCs w:val="20"/>
        </w:rPr>
        <w:t>32</w:t>
      </w:r>
    </w:p>
    <w:p w14:paraId="59029AC9" w14:textId="77777777" w:rsidR="0084406A" w:rsidRDefault="002B18AF">
      <w:r>
        <w:pict w14:anchorId="5902BB14">
          <v:rect id="_x0000_i1059" style="width:415.3pt;height:1.5pt" o:hralign="center" o:hrstd="t" o:hr="t" fillcolor="#a0a0a0" stroked="f"/>
        </w:pict>
      </w:r>
    </w:p>
    <w:p w14:paraId="59029ACA" w14:textId="77777777" w:rsidR="0084406A" w:rsidRDefault="0084406A"/>
    <w:p w14:paraId="59029ACB" w14:textId="77777777" w:rsidR="0084406A" w:rsidRDefault="002B18AF">
      <w:pPr>
        <w:spacing w:before="180"/>
        <w:jc w:val="both"/>
      </w:pPr>
      <w:r>
        <w:rPr>
          <w:rFonts w:ascii="Arial" w:eastAsia="宋体" w:hAnsi="Arial" w:cs="Arial"/>
          <w:color w:val="000000"/>
          <w:sz w:val="20"/>
          <w:szCs w:val="20"/>
        </w:rPr>
        <w:t>The agreements governing our notes and our Revolving Credit Facility contain cross-</w:t>
      </w:r>
      <w:r>
        <w:rPr>
          <w:rFonts w:ascii="Arial" w:eastAsia="宋体" w:hAnsi="Arial" w:cs="Arial"/>
          <w:color w:val="000000"/>
          <w:sz w:val="20"/>
          <w:szCs w:val="20"/>
        </w:rPr>
        <w:t>default provisions whereby a default under certain agreements with respect to other indebtedness would result in cross defaults under the indentures or the Revolving Credit Facility. For example, the occurrence of a default with respect to any indebtedness</w:t>
      </w:r>
      <w:r>
        <w:rPr>
          <w:rFonts w:ascii="Arial" w:eastAsia="宋体" w:hAnsi="Arial" w:cs="Arial"/>
          <w:color w:val="000000"/>
          <w:sz w:val="20"/>
          <w:szCs w:val="20"/>
        </w:rPr>
        <w:t xml:space="preserve"> or any failure to repay indebtedness when due in an amount in excess of (i) $50 million would cause a cross default under the indentures (to the extent such default would result in the acceleration of such indebtedness) governing our 7.50% Notes and 2.125</w:t>
      </w:r>
      <w:r>
        <w:rPr>
          <w:rFonts w:ascii="Arial" w:eastAsia="宋体" w:hAnsi="Arial" w:cs="Arial"/>
          <w:color w:val="000000"/>
          <w:sz w:val="20"/>
          <w:szCs w:val="20"/>
        </w:rPr>
        <w:t>% Convertible Senior Notes due 2026 (2.125% Notes), and (ii) $100 million would cause a cross default under the Revolving Credit Facility. The occurrence of a default under any of these borrowing arrangements would permit the applicable note holders or the</w:t>
      </w:r>
      <w:r>
        <w:rPr>
          <w:rFonts w:ascii="Arial" w:eastAsia="宋体" w:hAnsi="Arial" w:cs="Arial"/>
          <w:color w:val="000000"/>
          <w:sz w:val="20"/>
          <w:szCs w:val="20"/>
        </w:rPr>
        <w:t xml:space="preserve"> lenders under our Revolving Credit Facility to declare all amounts outstanding under the indentures or the Revolving Credit Facility to be immediately due and payable. If the note holders or the trustee under the indentures governing our 7.50% Notes or 2.</w:t>
      </w:r>
      <w:r>
        <w:rPr>
          <w:rFonts w:ascii="Arial" w:eastAsia="宋体" w:hAnsi="Arial" w:cs="Arial"/>
          <w:color w:val="000000"/>
          <w:sz w:val="20"/>
          <w:szCs w:val="20"/>
        </w:rPr>
        <w:t>125% Notes or the lenders under our Revolving Credit Facility accelerate the repayment of borrowings, we cannot assure you that we will have sufficient assets to repay those borrowings.</w:t>
      </w:r>
    </w:p>
    <w:p w14:paraId="59029ACC" w14:textId="77777777" w:rsidR="0084406A" w:rsidRDefault="002B18AF">
      <w:pPr>
        <w:spacing w:before="180"/>
        <w:jc w:val="both"/>
      </w:pPr>
      <w:r>
        <w:rPr>
          <w:rFonts w:ascii="Arial" w:eastAsia="宋体" w:hAnsi="Arial" w:cs="Arial"/>
          <w:b/>
          <w:bCs/>
          <w:i/>
          <w:iCs/>
          <w:color w:val="000000"/>
          <w:sz w:val="20"/>
          <w:szCs w:val="20"/>
        </w:rPr>
        <w:t>Our indebtedness could adversely affect our financial position and pre</w:t>
      </w:r>
      <w:r>
        <w:rPr>
          <w:rFonts w:ascii="Arial" w:eastAsia="宋体" w:hAnsi="Arial" w:cs="Arial"/>
          <w:b/>
          <w:bCs/>
          <w:i/>
          <w:iCs/>
          <w:color w:val="000000"/>
          <w:sz w:val="20"/>
          <w:szCs w:val="20"/>
        </w:rPr>
        <w:t>vent us from implementing our strategy or fulfilling our contractual obligations.</w:t>
      </w:r>
    </w:p>
    <w:p w14:paraId="59029ACD" w14:textId="77777777" w:rsidR="0084406A" w:rsidRDefault="002B18AF">
      <w:pPr>
        <w:spacing w:before="180"/>
        <w:jc w:val="both"/>
      </w:pPr>
      <w:r>
        <w:rPr>
          <w:rFonts w:ascii="Arial" w:eastAsia="宋体" w:hAnsi="Arial" w:cs="Arial"/>
          <w:color w:val="000000"/>
          <w:sz w:val="20"/>
          <w:szCs w:val="20"/>
        </w:rPr>
        <w:t>Our total debt principal amount outstanding as of December 25, 2021 was $313 million. Our indebtedness may make it difficult for us to satisfy our financial obligations, incl</w:t>
      </w:r>
      <w:r>
        <w:rPr>
          <w:rFonts w:ascii="Arial" w:eastAsia="宋体" w:hAnsi="Arial" w:cs="Arial"/>
          <w:color w:val="000000"/>
          <w:sz w:val="20"/>
          <w:szCs w:val="20"/>
        </w:rPr>
        <w:t>uding making scheduled principal and interest payments; limit our ability to borrow additional funds for working capital, capital expenditures, acquisitions and general corporate and other purposes; limit our ability to use our cash flow or obtain addition</w:t>
      </w:r>
      <w:r>
        <w:rPr>
          <w:rFonts w:ascii="Arial" w:eastAsia="宋体" w:hAnsi="Arial" w:cs="Arial"/>
          <w:color w:val="000000"/>
          <w:sz w:val="20"/>
          <w:szCs w:val="20"/>
        </w:rPr>
        <w:t xml:space="preserve">al financing for future working capital, capital expenditures, acquisitions or other general corporate purposes; require us to use a substantial portion of our cash flow from operations to make debt service payments; place us at a competitive disadvantage </w:t>
      </w:r>
      <w:r>
        <w:rPr>
          <w:rFonts w:ascii="Arial" w:eastAsia="宋体" w:hAnsi="Arial" w:cs="Arial"/>
          <w:color w:val="000000"/>
          <w:sz w:val="20"/>
          <w:szCs w:val="20"/>
        </w:rPr>
        <w:t xml:space="preserve">compared to our competitors with relatively less debt; and increase our vulnerability to the impact of adverse economic and industry conditions. </w:t>
      </w:r>
    </w:p>
    <w:p w14:paraId="59029ACE" w14:textId="77777777" w:rsidR="0084406A" w:rsidRDefault="002B18AF">
      <w:pPr>
        <w:spacing w:before="180"/>
        <w:jc w:val="both"/>
      </w:pPr>
      <w:r>
        <w:rPr>
          <w:rFonts w:ascii="Arial" w:eastAsia="宋体" w:hAnsi="Arial" w:cs="Arial"/>
          <w:b/>
          <w:bCs/>
          <w:i/>
          <w:iCs/>
          <w:color w:val="000000"/>
          <w:sz w:val="20"/>
          <w:szCs w:val="20"/>
        </w:rPr>
        <w:t>We may not be able to generate sufficient cash to meet our working capital requirements. Also, if we cannot ge</w:t>
      </w:r>
      <w:r>
        <w:rPr>
          <w:rFonts w:ascii="Arial" w:eastAsia="宋体" w:hAnsi="Arial" w:cs="Arial"/>
          <w:b/>
          <w:bCs/>
          <w:i/>
          <w:iCs/>
          <w:color w:val="000000"/>
          <w:sz w:val="20"/>
          <w:szCs w:val="20"/>
        </w:rPr>
        <w:t>nerate sufficient revenue and operating cash flow, we may face a cash shortfall and be unable to make all of our planned investments in research and development or other strategic investments.</w:t>
      </w:r>
    </w:p>
    <w:p w14:paraId="59029ACF" w14:textId="77777777" w:rsidR="0084406A" w:rsidRDefault="002B18AF">
      <w:pPr>
        <w:spacing w:before="180"/>
        <w:jc w:val="both"/>
      </w:pPr>
      <w:r>
        <w:rPr>
          <w:rFonts w:ascii="Arial" w:eastAsia="宋体" w:hAnsi="Arial" w:cs="Arial"/>
          <w:color w:val="000000"/>
          <w:sz w:val="20"/>
          <w:szCs w:val="20"/>
        </w:rPr>
        <w:t>Our ability to generate sufficient cash to meet our working cap</w:t>
      </w:r>
      <w:r>
        <w:rPr>
          <w:rFonts w:ascii="Arial" w:eastAsia="宋体" w:hAnsi="Arial" w:cs="Arial"/>
          <w:color w:val="000000"/>
          <w:sz w:val="20"/>
          <w:szCs w:val="20"/>
        </w:rPr>
        <w:t>ital requirements will depend on our financial and operating performance, which may fluctuate significantly from quarter to quarter, and is subject to prevailing economic, financial and business conditions along with other factors, many of which are beyond</w:t>
      </w:r>
      <w:r>
        <w:rPr>
          <w:rFonts w:ascii="Arial" w:eastAsia="宋体" w:hAnsi="Arial" w:cs="Arial"/>
          <w:color w:val="000000"/>
          <w:sz w:val="20"/>
          <w:szCs w:val="20"/>
        </w:rPr>
        <w:t xml:space="preserve"> our control. We cannot assure you that we will be able to generate cash flow in amounts sufficient to enable us to meet our working capital requirements. If we are not able to generate sufficient cash flow from operations, we may be required to sell asset</w:t>
      </w:r>
      <w:r>
        <w:rPr>
          <w:rFonts w:ascii="Arial" w:eastAsia="宋体" w:hAnsi="Arial" w:cs="Arial"/>
          <w:color w:val="000000"/>
          <w:sz w:val="20"/>
          <w:szCs w:val="20"/>
        </w:rPr>
        <w:t xml:space="preserve">s or equity, reduce expenditures, refinance all or a portion of our existing debt or obtain additional financing. In addition, our ability to fund research and development expenditures depends on generating sufficient revenue and cash flow from operations </w:t>
      </w:r>
      <w:r>
        <w:rPr>
          <w:rFonts w:ascii="Arial" w:eastAsia="宋体" w:hAnsi="Arial" w:cs="Arial"/>
          <w:color w:val="000000"/>
          <w:sz w:val="20"/>
          <w:szCs w:val="20"/>
        </w:rPr>
        <w:t>and the availability of external financing, if necessary. Our research and development expenditures, together with ongoing operating expenses, will be a substantial drain on our cash flow and may decrease our cash balances. If new competitors, technologica</w:t>
      </w:r>
      <w:r>
        <w:rPr>
          <w:rFonts w:ascii="Arial" w:eastAsia="宋体" w:hAnsi="Arial" w:cs="Arial"/>
          <w:color w:val="000000"/>
          <w:sz w:val="20"/>
          <w:szCs w:val="20"/>
        </w:rPr>
        <w:t>l advances by existing competitors, or other competitive factors require us to invest significantly greater resources than anticipated in our research and development efforts, our operating expenses would increase. If we are required to invest significantl</w:t>
      </w:r>
      <w:r>
        <w:rPr>
          <w:rFonts w:ascii="Arial" w:eastAsia="宋体" w:hAnsi="Arial" w:cs="Arial"/>
          <w:color w:val="000000"/>
          <w:sz w:val="20"/>
          <w:szCs w:val="20"/>
        </w:rPr>
        <w:t>y greater resources than anticipated in research and development efforts without an increase in revenue, our operating results could decline.</w:t>
      </w:r>
    </w:p>
    <w:p w14:paraId="59029AD0" w14:textId="77777777" w:rsidR="0084406A" w:rsidRDefault="002B18AF">
      <w:pPr>
        <w:spacing w:before="180"/>
        <w:jc w:val="both"/>
      </w:pPr>
      <w:r>
        <w:rPr>
          <w:rFonts w:ascii="Arial" w:eastAsia="宋体" w:hAnsi="Arial" w:cs="Arial"/>
          <w:color w:val="000000"/>
          <w:sz w:val="20"/>
          <w:szCs w:val="20"/>
        </w:rPr>
        <w:t>Our inability to generate sufficient cash from operations may require us to abandon projects or curtail planned in</w:t>
      </w:r>
      <w:r>
        <w:rPr>
          <w:rFonts w:ascii="Arial" w:eastAsia="宋体" w:hAnsi="Arial" w:cs="Arial"/>
          <w:color w:val="000000"/>
          <w:sz w:val="20"/>
          <w:szCs w:val="20"/>
        </w:rPr>
        <w:t>vestments in research and development or other strategic initiatives. If we curtail planned investments in research and development or abandon projects, our products may fail to remain competitive and our business would be materially adversely affected.</w:t>
      </w:r>
    </w:p>
    <w:p w14:paraId="59029AD1" w14:textId="77777777" w:rsidR="0084406A" w:rsidRDefault="002B18AF">
      <w:pPr>
        <w:spacing w:before="180"/>
        <w:jc w:val="both"/>
      </w:pPr>
      <w:r>
        <w:rPr>
          <w:rFonts w:ascii="Arial" w:eastAsia="宋体" w:hAnsi="Arial" w:cs="Arial"/>
          <w:b/>
          <w:bCs/>
          <w:color w:val="000000"/>
          <w:sz w:val="20"/>
          <w:szCs w:val="20"/>
        </w:rPr>
        <w:t>Ge</w:t>
      </w:r>
      <w:r>
        <w:rPr>
          <w:rFonts w:ascii="Arial" w:eastAsia="宋体" w:hAnsi="Arial" w:cs="Arial"/>
          <w:b/>
          <w:bCs/>
          <w:color w:val="000000"/>
          <w:sz w:val="20"/>
          <w:szCs w:val="20"/>
        </w:rPr>
        <w:t>neral Risks</w:t>
      </w:r>
    </w:p>
    <w:p w14:paraId="59029AD2" w14:textId="77777777" w:rsidR="0084406A" w:rsidRDefault="002B18AF">
      <w:pPr>
        <w:spacing w:before="180"/>
        <w:jc w:val="both"/>
      </w:pPr>
      <w:r>
        <w:rPr>
          <w:rFonts w:ascii="Arial" w:eastAsia="宋体" w:hAnsi="Arial" w:cs="Arial"/>
          <w:b/>
          <w:bCs/>
          <w:i/>
          <w:iCs/>
          <w:color w:val="000000"/>
          <w:sz w:val="20"/>
          <w:szCs w:val="20"/>
        </w:rPr>
        <w:t>Our worldwide operations are subject to political, legal and economic risks and natural disasters, which could have a material adverse effect on us.</w:t>
      </w:r>
    </w:p>
    <w:p w14:paraId="59029AD3" w14:textId="77777777" w:rsidR="0084406A" w:rsidRDefault="002B18AF">
      <w:pPr>
        <w:spacing w:before="180"/>
        <w:jc w:val="both"/>
      </w:pPr>
      <w:r>
        <w:rPr>
          <w:rFonts w:ascii="Arial" w:eastAsia="宋体" w:hAnsi="Arial" w:cs="Arial"/>
          <w:color w:val="000000"/>
          <w:sz w:val="20"/>
          <w:szCs w:val="20"/>
        </w:rPr>
        <w:t xml:space="preserve">We maintain operations around the world, including in the United States, Canada, Europe, </w:t>
      </w:r>
      <w:r>
        <w:rPr>
          <w:rFonts w:ascii="Arial" w:eastAsia="宋体" w:hAnsi="Arial" w:cs="Arial"/>
          <w:color w:val="000000"/>
          <w:sz w:val="20"/>
          <w:szCs w:val="20"/>
        </w:rPr>
        <w:t>Australia, Latin America and Asia. We rely on third-party wafer foundries in the United States, Europe and Asia. Nearly all product assembly and final testing of our products is performed at manufacturing facilities, operated by third-party manufacturing f</w:t>
      </w:r>
      <w:r>
        <w:rPr>
          <w:rFonts w:ascii="Arial" w:eastAsia="宋体" w:hAnsi="Arial" w:cs="Arial"/>
          <w:color w:val="000000"/>
          <w:sz w:val="20"/>
          <w:szCs w:val="20"/>
        </w:rPr>
        <w:t>acilities, in China, Malaysia and Taiwan. We also have international sales operations. International sales, as a percent of net revenue, were 72% for the year ended December 25, 2021. We expect that international sales will continue to be a significant por</w:t>
      </w:r>
      <w:r>
        <w:rPr>
          <w:rFonts w:ascii="Arial" w:eastAsia="宋体" w:hAnsi="Arial" w:cs="Arial"/>
          <w:color w:val="000000"/>
          <w:sz w:val="20"/>
          <w:szCs w:val="20"/>
        </w:rPr>
        <w:t>tion of total sales in the foreseeable future.</w:t>
      </w:r>
    </w:p>
    <w:p w14:paraId="59029AD4" w14:textId="77777777" w:rsidR="0084406A" w:rsidRDefault="002B18AF">
      <w:pPr>
        <w:jc w:val="center"/>
      </w:pPr>
      <w:r>
        <w:rPr>
          <w:rFonts w:ascii="Arial" w:eastAsia="宋体" w:hAnsi="Arial" w:cs="Arial"/>
          <w:color w:val="000000"/>
          <w:sz w:val="20"/>
          <w:szCs w:val="20"/>
        </w:rPr>
        <w:t>33</w:t>
      </w:r>
    </w:p>
    <w:p w14:paraId="59029AD5" w14:textId="77777777" w:rsidR="0084406A" w:rsidRDefault="002B18AF">
      <w:r>
        <w:pict w14:anchorId="5902BB15">
          <v:rect id="_x0000_i1060" style="width:415.3pt;height:1.5pt" o:hralign="center" o:hrstd="t" o:hr="t" fillcolor="#a0a0a0" stroked="f"/>
        </w:pict>
      </w:r>
    </w:p>
    <w:p w14:paraId="59029AD6" w14:textId="77777777" w:rsidR="0084406A" w:rsidRDefault="0084406A"/>
    <w:p w14:paraId="59029AD7" w14:textId="77777777" w:rsidR="0084406A" w:rsidRDefault="002B18AF">
      <w:pPr>
        <w:spacing w:before="18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specific country’s or region’s political or economic c</w:t>
      </w:r>
      <w:r>
        <w:rPr>
          <w:rFonts w:ascii="Arial" w:eastAsia="宋体" w:hAnsi="Arial" w:cs="Arial"/>
          <w:color w:val="000000"/>
          <w:sz w:val="20"/>
          <w:szCs w:val="20"/>
        </w:rPr>
        <w:t>onditions; changes in tax laws, trade protection measures and import or export licensing requirements; difficulties in protecting our intellectual property; difficulties in managing staffing and exposure to different employment practices and labor laws; ch</w:t>
      </w:r>
      <w:r>
        <w:rPr>
          <w:rFonts w:ascii="Arial" w:eastAsia="宋体" w:hAnsi="Arial" w:cs="Arial"/>
          <w:color w:val="000000"/>
          <w:sz w:val="20"/>
          <w:szCs w:val="20"/>
        </w:rPr>
        <w:t>anges in foreign currency exchange rates; restrictions on transfers of funds and other assets of our subsidiaries between jurisdictions; changes in freight and interest rates; inflation; disruption in air transportation between the United States and our ov</w:t>
      </w:r>
      <w:r>
        <w:rPr>
          <w:rFonts w:ascii="Arial" w:eastAsia="宋体" w:hAnsi="Arial" w:cs="Arial"/>
          <w:color w:val="000000"/>
          <w:sz w:val="20"/>
          <w:szCs w:val="20"/>
        </w:rPr>
        <w:t>erseas facilities; loss or modification of exemptions for taxes and tariffs; and compliance with United States laws and regulations related to international operations, including export control and economic sanctions laws and regulations and the Foreign Co</w:t>
      </w:r>
      <w:r>
        <w:rPr>
          <w:rFonts w:ascii="Arial" w:eastAsia="宋体" w:hAnsi="Arial" w:cs="Arial"/>
          <w:color w:val="000000"/>
          <w:sz w:val="20"/>
          <w:szCs w:val="20"/>
        </w:rPr>
        <w:t xml:space="preserve">rrupt Practices Act. </w:t>
      </w:r>
    </w:p>
    <w:p w14:paraId="59029AD8" w14:textId="77777777" w:rsidR="0084406A" w:rsidRDefault="002B18AF">
      <w:pPr>
        <w:spacing w:before="180"/>
        <w:jc w:val="both"/>
      </w:pPr>
      <w:r>
        <w:rPr>
          <w:rFonts w:ascii="Arial" w:eastAsia="宋体" w:hAnsi="Arial" w:cs="Arial"/>
          <w:color w:val="000000"/>
          <w:sz w:val="20"/>
          <w:szCs w:val="20"/>
        </w:rPr>
        <w:t xml:space="preserve">In addition, our worldwide operations (or those of our business partners) could be subject to natural disasters and climate change such as earthquakes, tsunamis, flooding, typhoons, droughts, fires, extreme heat and volcanic </w:t>
      </w:r>
      <w:r>
        <w:rPr>
          <w:rFonts w:ascii="Arial" w:eastAsia="宋体" w:hAnsi="Arial" w:cs="Arial"/>
          <w:color w:val="000000"/>
          <w:sz w:val="20"/>
          <w:szCs w:val="20"/>
        </w:rPr>
        <w:t>eruptions that disrupt our operations, or those of our manufacturers, vendors or customers. For example, our Santa Clara operations are located near major earthquake fault lines in California. Also, we have operations and employees in regions that have exp</w:t>
      </w:r>
      <w:r>
        <w:rPr>
          <w:rFonts w:ascii="Arial" w:eastAsia="宋体" w:hAnsi="Arial" w:cs="Arial"/>
          <w:color w:val="000000"/>
          <w:sz w:val="20"/>
          <w:szCs w:val="20"/>
        </w:rPr>
        <w:t>erienced prolonged heat waves and freezing in Texas and wildfires in California. Extreme weather events can also disrupt the ability of our suppliers to deliver expected manufacturing parts and/or services for periods of time. There may be conflict or unce</w:t>
      </w:r>
      <w:r>
        <w:rPr>
          <w:rFonts w:ascii="Arial" w:eastAsia="宋体" w:hAnsi="Arial" w:cs="Arial"/>
          <w:color w:val="000000"/>
          <w:sz w:val="20"/>
          <w:szCs w:val="20"/>
        </w:rPr>
        <w:t>rtainty in the countries in which we operate, including public health issues (for example, an outbreak of a contagious disease such as COVID-19, avian influenza, measles or Ebola), safety issues, natural disasters, fire, disruptions of service from utiliti</w:t>
      </w:r>
      <w:r>
        <w:rPr>
          <w:rFonts w:ascii="Arial" w:eastAsia="宋体" w:hAnsi="Arial" w:cs="Arial"/>
          <w:color w:val="000000"/>
          <w:sz w:val="20"/>
          <w:szCs w:val="20"/>
        </w:rPr>
        <w:t>es, nuclear power plant accidents or general economic or political factors. For example, governments worldwide have implemented, and continue to implement, measures to slow down the outbreak of COVID-19. We have experienced, and will continue to experience</w:t>
      </w:r>
      <w:r>
        <w:rPr>
          <w:rFonts w:ascii="Arial" w:eastAsia="宋体" w:hAnsi="Arial" w:cs="Arial"/>
          <w:color w:val="000000"/>
          <w:sz w:val="20"/>
          <w:szCs w:val="20"/>
        </w:rPr>
        <w:t>, disruptions to our business as these measures have, and will continue to have, an effect on our business operations and practices. In addition, many governments have enacted laws around personally identifiable information, such as the European Union’s ge</w:t>
      </w:r>
      <w:r>
        <w:rPr>
          <w:rFonts w:ascii="Arial" w:eastAsia="宋体" w:hAnsi="Arial" w:cs="Arial"/>
          <w:color w:val="000000"/>
          <w:sz w:val="20"/>
          <w:szCs w:val="20"/>
        </w:rPr>
        <w:t>neral Data Protection Regulation and the California Consumer Privacy Act, and the failure to comply could result in sanctions or other actions by the governments. The European Union’s General Data Protection Regulation imposes significant requirements on h</w:t>
      </w:r>
      <w:r>
        <w:rPr>
          <w:rFonts w:ascii="Arial" w:eastAsia="宋体" w:hAnsi="Arial" w:cs="Arial"/>
          <w:color w:val="000000"/>
          <w:sz w:val="20"/>
          <w:szCs w:val="20"/>
        </w:rPr>
        <w:t xml:space="preserve">ow we collect, process and transfer personal data, as well as significant fines for non-compliance. Any of the above risks, should they occur, could result in an increase in the cost of components, production delays, general business interruptions, delays </w:t>
      </w:r>
      <w:r>
        <w:rPr>
          <w:rFonts w:ascii="Arial" w:eastAsia="宋体" w:hAnsi="Arial" w:cs="Arial"/>
          <w:color w:val="000000"/>
          <w:sz w:val="20"/>
          <w:szCs w:val="20"/>
        </w:rPr>
        <w:t>from difficulties in obtaining export licenses for certain technology, tariffs and other barriers and restrictions, longer payment cycles, increased taxes, restrictions on the repatriation of funds and the burdens of complying with a variety of foreign law</w:t>
      </w:r>
      <w:r>
        <w:rPr>
          <w:rFonts w:ascii="Arial" w:eastAsia="宋体" w:hAnsi="Arial" w:cs="Arial"/>
          <w:color w:val="000000"/>
          <w:sz w:val="20"/>
          <w:szCs w:val="20"/>
        </w:rPr>
        <w:t>s, any of which could ultimately have a material adverse effect on our business.</w:t>
      </w:r>
    </w:p>
    <w:p w14:paraId="59029AD9" w14:textId="77777777" w:rsidR="0084406A" w:rsidRDefault="002B18AF">
      <w:pPr>
        <w:spacing w:before="180"/>
        <w:jc w:val="both"/>
      </w:pPr>
      <w:r>
        <w:rPr>
          <w:rFonts w:ascii="Arial" w:eastAsia="宋体" w:hAnsi="Arial" w:cs="Arial"/>
          <w:b/>
          <w:bCs/>
          <w:i/>
          <w:iCs/>
          <w:color w:val="000000"/>
          <w:sz w:val="20"/>
          <w:szCs w:val="20"/>
        </w:rPr>
        <w:t>We may incur future impairments of goodwill and technology license purchases.</w:t>
      </w:r>
    </w:p>
    <w:p w14:paraId="59029ADA" w14:textId="77777777" w:rsidR="0084406A" w:rsidRDefault="002B18AF">
      <w:pPr>
        <w:spacing w:before="180"/>
        <w:jc w:val="both"/>
      </w:pPr>
      <w:r>
        <w:rPr>
          <w:rFonts w:ascii="Arial" w:eastAsia="宋体" w:hAnsi="Arial" w:cs="Arial"/>
          <w:color w:val="000000"/>
          <w:sz w:val="20"/>
          <w:szCs w:val="20"/>
        </w:rPr>
        <w:t>We perform our annual goodwill impairment analysis as of the first day of the fourth quarter of e</w:t>
      </w:r>
      <w:r>
        <w:rPr>
          <w:rFonts w:ascii="Arial" w:eastAsia="宋体" w:hAnsi="Arial" w:cs="Arial"/>
          <w:color w:val="000000"/>
          <w:sz w:val="20"/>
          <w:szCs w:val="20"/>
        </w:rPr>
        <w:t>ach year. Subsequent to our annual goodwill impairment analysis, we monitor for any events or changes in circumstances, such as significant adverse changes in business climate or operating results, changes in management’s business strategy, an inability to</w:t>
      </w:r>
      <w:r>
        <w:rPr>
          <w:rFonts w:ascii="Arial" w:eastAsia="宋体" w:hAnsi="Arial" w:cs="Arial"/>
          <w:color w:val="000000"/>
          <w:sz w:val="20"/>
          <w:szCs w:val="20"/>
        </w:rPr>
        <w:t xml:space="preserve"> successfully introduce new products in the marketplace, an inability to successfully achieve internal forecasts or significant declines in our stock price, which may represent an indicator of impairment. The occurrence of any of these events may require u</w:t>
      </w:r>
      <w:r>
        <w:rPr>
          <w:rFonts w:ascii="Arial" w:eastAsia="宋体" w:hAnsi="Arial" w:cs="Arial"/>
          <w:color w:val="000000"/>
          <w:sz w:val="20"/>
          <w:szCs w:val="20"/>
        </w:rPr>
        <w:t>s to record future goodwill impairment charges.</w:t>
      </w:r>
    </w:p>
    <w:p w14:paraId="59029ADB" w14:textId="77777777" w:rsidR="0084406A" w:rsidRDefault="002B18AF">
      <w:pPr>
        <w:spacing w:before="180"/>
        <w:jc w:val="both"/>
      </w:pPr>
      <w:r>
        <w:rPr>
          <w:rFonts w:ascii="Arial" w:eastAsia="宋体" w:hAnsi="Arial" w:cs="Arial"/>
          <w:color w:val="000000"/>
          <w:sz w:val="20"/>
          <w:szCs w:val="20"/>
        </w:rPr>
        <w:t xml:space="preserve">We license certain third-party technologies and tools for the design and production of our products. We report the value of those licenses as other non-current assets on the balance sheet and we periodically </w:t>
      </w:r>
      <w:r>
        <w:rPr>
          <w:rFonts w:ascii="Arial" w:eastAsia="宋体" w:hAnsi="Arial" w:cs="Arial"/>
          <w:color w:val="000000"/>
          <w:sz w:val="20"/>
          <w:szCs w:val="20"/>
        </w:rPr>
        <w:t>evaluate the carrying value of those licenses based on their future economic benefit to us. Factors such as the life of the assets, changes in competing technologies, and changes to the business strategy may represent an indicator of impairment. The occurr</w:t>
      </w:r>
      <w:r>
        <w:rPr>
          <w:rFonts w:ascii="Arial" w:eastAsia="宋体" w:hAnsi="Arial" w:cs="Arial"/>
          <w:color w:val="000000"/>
          <w:sz w:val="20"/>
          <w:szCs w:val="20"/>
        </w:rPr>
        <w:t>ence of any of these events may require us to record future technology license impairment charges.</w:t>
      </w:r>
    </w:p>
    <w:p w14:paraId="59029ADC" w14:textId="77777777" w:rsidR="0084406A" w:rsidRDefault="002B18AF">
      <w:pPr>
        <w:jc w:val="center"/>
      </w:pPr>
      <w:r>
        <w:rPr>
          <w:rFonts w:ascii="Arial" w:eastAsia="宋体" w:hAnsi="Arial" w:cs="Arial"/>
          <w:color w:val="000000"/>
          <w:sz w:val="20"/>
          <w:szCs w:val="20"/>
        </w:rPr>
        <w:t>34</w:t>
      </w:r>
    </w:p>
    <w:p w14:paraId="59029ADD" w14:textId="77777777" w:rsidR="0084406A" w:rsidRDefault="002B18AF">
      <w:r>
        <w:pict w14:anchorId="5902BB16">
          <v:rect id="_x0000_i1061" style="width:415.3pt;height:1.5pt" o:hralign="center" o:hrstd="t" o:hr="t" fillcolor="#a0a0a0" stroked="f"/>
        </w:pict>
      </w:r>
    </w:p>
    <w:p w14:paraId="59029ADE" w14:textId="77777777" w:rsidR="0084406A" w:rsidRDefault="0084406A"/>
    <w:p w14:paraId="59029ADF" w14:textId="77777777" w:rsidR="0084406A" w:rsidRDefault="002B18AF">
      <w:pPr>
        <w:spacing w:before="180"/>
        <w:jc w:val="both"/>
      </w:pPr>
      <w:r>
        <w:rPr>
          <w:rFonts w:ascii="Arial" w:eastAsia="宋体" w:hAnsi="Arial" w:cs="Arial"/>
          <w:b/>
          <w:bCs/>
          <w:i/>
          <w:iCs/>
          <w:color w:val="000000"/>
          <w:sz w:val="20"/>
          <w:szCs w:val="20"/>
        </w:rPr>
        <w:t>Our inability to continue to attract and retain qualified personnel may hinder our business.</w:t>
      </w:r>
    </w:p>
    <w:p w14:paraId="59029AE0" w14:textId="77777777" w:rsidR="0084406A" w:rsidRDefault="002B18AF">
      <w:pPr>
        <w:spacing w:before="180"/>
        <w:jc w:val="both"/>
      </w:pPr>
      <w:r>
        <w:rPr>
          <w:rFonts w:ascii="Arial" w:eastAsia="宋体" w:hAnsi="Arial" w:cs="Arial"/>
          <w:color w:val="000000"/>
          <w:sz w:val="20"/>
          <w:szCs w:val="20"/>
        </w:rPr>
        <w:t>Much of our future success depends upon the continued serv</w:t>
      </w:r>
      <w:r>
        <w:rPr>
          <w:rFonts w:ascii="Arial" w:eastAsia="宋体" w:hAnsi="Arial" w:cs="Arial"/>
          <w:color w:val="000000"/>
          <w:sz w:val="20"/>
          <w:szCs w:val="20"/>
        </w:rPr>
        <w:t>ice of numerous qualified engineering, marketing, sales and executive employees. Competition for highly skilled executives and employees in the technology industry is intense and our competitors have targeted individuals in our organization that have desir</w:t>
      </w:r>
      <w:r>
        <w:rPr>
          <w:rFonts w:ascii="Arial" w:eastAsia="宋体" w:hAnsi="Arial" w:cs="Arial"/>
          <w:color w:val="000000"/>
          <w:sz w:val="20"/>
          <w:szCs w:val="20"/>
        </w:rPr>
        <w:t>ed skills and experience. If we are not able to continue to attract, train and retain our leadership team and our qualified employees necessary for our business, the progress of our product development programs could be hindered, and we could be materially</w:t>
      </w:r>
      <w:r>
        <w:rPr>
          <w:rFonts w:ascii="Arial" w:eastAsia="宋体" w:hAnsi="Arial" w:cs="Arial"/>
          <w:color w:val="000000"/>
          <w:sz w:val="20"/>
          <w:szCs w:val="20"/>
        </w:rPr>
        <w:t xml:space="preserve"> adversely affected. To help attract, retain and motivate our executives and qualified employees, we use share-based incentive awards such as employee stock options and non-vested share units (restricted stock units). If the value of such stock awards does</w:t>
      </w:r>
      <w:r>
        <w:rPr>
          <w:rFonts w:ascii="Arial" w:eastAsia="宋体" w:hAnsi="Arial" w:cs="Arial"/>
          <w:color w:val="000000"/>
          <w:sz w:val="20"/>
          <w:szCs w:val="20"/>
        </w:rPr>
        <w:t xml:space="preserve"> not appreciate as measured by the performance of the price of our common stock, or if our share-based compensation otherwise ceases to be viewed as a valuable benefit, our ability to attract, retain and motivate our executives and employees could be weake</w:t>
      </w:r>
      <w:r>
        <w:rPr>
          <w:rFonts w:ascii="Arial" w:eastAsia="宋体" w:hAnsi="Arial" w:cs="Arial"/>
          <w:color w:val="000000"/>
          <w:sz w:val="20"/>
          <w:szCs w:val="20"/>
        </w:rPr>
        <w:t>ned, which could harm our results of operations. Also, if the value of our stock awards increases substantially, this could potentially create great personal wealth for our executives and employees and affect our ability to retain our personnel. In additio</w:t>
      </w:r>
      <w:r>
        <w:rPr>
          <w:rFonts w:ascii="Arial" w:eastAsia="宋体" w:hAnsi="Arial" w:cs="Arial"/>
          <w:color w:val="000000"/>
          <w:sz w:val="20"/>
          <w:szCs w:val="20"/>
        </w:rPr>
        <w:t>n, any future restructuring plans may adversely impact our ability to attract and retain key employees.</w:t>
      </w:r>
    </w:p>
    <w:p w14:paraId="59029AE1" w14:textId="77777777" w:rsidR="0084406A" w:rsidRDefault="002B18AF">
      <w:pPr>
        <w:spacing w:before="180"/>
        <w:jc w:val="both"/>
      </w:pPr>
      <w:r>
        <w:rPr>
          <w:rFonts w:ascii="Arial" w:eastAsia="宋体" w:hAnsi="Arial" w:cs="Arial"/>
          <w:b/>
          <w:bCs/>
          <w:i/>
          <w:iCs/>
          <w:color w:val="000000"/>
          <w:sz w:val="20"/>
          <w:szCs w:val="20"/>
        </w:rPr>
        <w:t>Our stock price is subject to volatility.</w:t>
      </w:r>
    </w:p>
    <w:p w14:paraId="59029AE2" w14:textId="77777777" w:rsidR="0084406A" w:rsidRDefault="002B18AF">
      <w:pPr>
        <w:spacing w:before="180"/>
        <w:jc w:val="both"/>
      </w:pPr>
      <w:r>
        <w:rPr>
          <w:rFonts w:ascii="Arial" w:eastAsia="宋体" w:hAnsi="Arial" w:cs="Arial"/>
          <w:color w:val="000000"/>
          <w:sz w:val="20"/>
          <w:szCs w:val="20"/>
        </w:rPr>
        <w:t>Our stock price has experienced price and volume fluctuations and could be subject to wide fluctuations in the</w:t>
      </w:r>
      <w:r>
        <w:rPr>
          <w:rFonts w:ascii="Arial" w:eastAsia="宋体" w:hAnsi="Arial" w:cs="Arial"/>
          <w:color w:val="000000"/>
          <w:sz w:val="20"/>
          <w:szCs w:val="20"/>
        </w:rPr>
        <w:t xml:space="preserve"> future. The trading price of our stock may fluctuate widely due to various factors including actual or anticipated fluctuations in our financial conditions and operating results, changes in financial estimates by us or financial estimates and ratings by s</w:t>
      </w:r>
      <w:r>
        <w:rPr>
          <w:rFonts w:ascii="Arial" w:eastAsia="宋体" w:hAnsi="Arial" w:cs="Arial"/>
          <w:color w:val="000000"/>
          <w:sz w:val="20"/>
          <w:szCs w:val="20"/>
        </w:rPr>
        <w:t>ecurities analysts, changes in our capital structure, including issuance of additional debt or equity to the public, interest rate changes, inflation, news regarding our products or products of our competitors, and broad market and industry fluctuations. S</w:t>
      </w:r>
      <w:r>
        <w:rPr>
          <w:rFonts w:ascii="Arial" w:eastAsia="宋体" w:hAnsi="Arial" w:cs="Arial"/>
          <w:color w:val="000000"/>
          <w:sz w:val="20"/>
          <w:szCs w:val="20"/>
        </w:rPr>
        <w:t>tock price fluctuations could impact the value of our equity compensation, which could affect our ability to recruit and retain employees. In addition, volatility in our stock price could adversely affect our business and financing opportunities.</w:t>
      </w:r>
    </w:p>
    <w:p w14:paraId="59029AE3" w14:textId="77777777" w:rsidR="0084406A" w:rsidRDefault="002B18AF">
      <w:pPr>
        <w:spacing w:before="180"/>
        <w:jc w:val="both"/>
      </w:pPr>
      <w:r>
        <w:rPr>
          <w:rFonts w:ascii="Arial" w:eastAsia="宋体" w:hAnsi="Arial" w:cs="Arial"/>
          <w:color w:val="000000"/>
          <w:sz w:val="20"/>
          <w:szCs w:val="20"/>
        </w:rPr>
        <w:t>In May 20</w:t>
      </w:r>
      <w:r>
        <w:rPr>
          <w:rFonts w:ascii="Arial" w:eastAsia="宋体" w:hAnsi="Arial" w:cs="Arial"/>
          <w:color w:val="000000"/>
          <w:sz w:val="20"/>
          <w:szCs w:val="20"/>
        </w:rPr>
        <w:t>21, we announced that our Board of Directors approved a new stock repurchase program to purchase up to $4 billion of our outstanding common stock in the open market. This repurchase program does not obligate us to acquire any common stock, has no terminati</w:t>
      </w:r>
      <w:r>
        <w:rPr>
          <w:rFonts w:ascii="Arial" w:eastAsia="宋体" w:hAnsi="Arial" w:cs="Arial"/>
          <w:color w:val="000000"/>
          <w:sz w:val="20"/>
          <w:szCs w:val="20"/>
        </w:rPr>
        <w:t xml:space="preserve">on date and may be suspended or discontinued at any time. Our stock repurchases could affect the trading price of our stock, the volatility of our stock price, reduce our cash reserves, and may be suspended or discontinued at any time, which may result in </w:t>
      </w:r>
      <w:r>
        <w:rPr>
          <w:rFonts w:ascii="Arial" w:eastAsia="宋体" w:hAnsi="Arial" w:cs="Arial"/>
          <w:color w:val="000000"/>
          <w:sz w:val="20"/>
          <w:szCs w:val="20"/>
        </w:rPr>
        <w:t>a decrease in our stock price.</w:t>
      </w:r>
    </w:p>
    <w:p w14:paraId="59029AE4" w14:textId="77777777" w:rsidR="0084406A" w:rsidRDefault="002B18AF">
      <w:pPr>
        <w:spacing w:before="180"/>
        <w:jc w:val="both"/>
      </w:pPr>
      <w:r>
        <w:rPr>
          <w:rFonts w:ascii="Arial" w:eastAsia="宋体" w:hAnsi="Arial" w:cs="Arial"/>
          <w:b/>
          <w:bCs/>
          <w:i/>
          <w:iCs/>
          <w:color w:val="000000"/>
          <w:sz w:val="20"/>
          <w:szCs w:val="20"/>
        </w:rPr>
        <w:t>Worldwide political conditions may adversely affect demand for our products.</w:t>
      </w:r>
    </w:p>
    <w:p w14:paraId="59029AE5" w14:textId="77777777" w:rsidR="0084406A" w:rsidRDefault="002B18AF">
      <w:pPr>
        <w:spacing w:before="180"/>
        <w:jc w:val="both"/>
      </w:pPr>
      <w:r>
        <w:rPr>
          <w:rFonts w:ascii="Arial" w:eastAsia="宋体" w:hAnsi="Arial" w:cs="Arial"/>
          <w:color w:val="000000"/>
          <w:sz w:val="20"/>
          <w:szCs w:val="20"/>
        </w:rPr>
        <w:t xml:space="preserve">Worldwide political conditions may create uncertainties that could adversely affect our business. The United States has been and may continue to be </w:t>
      </w:r>
      <w:r>
        <w:rPr>
          <w:rFonts w:ascii="Arial" w:eastAsia="宋体" w:hAnsi="Arial" w:cs="Arial"/>
          <w:color w:val="000000"/>
          <w:sz w:val="20"/>
          <w:szCs w:val="20"/>
        </w:rPr>
        <w:t>involved in armed conflicts that could have a further impact on our sales and our supply chain. The consequences of armed conflict, political instability or civil or military unrest are unpredictable, and we may not be able to foresee events that could hav</w:t>
      </w:r>
      <w:r>
        <w:rPr>
          <w:rFonts w:ascii="Arial" w:eastAsia="宋体" w:hAnsi="Arial" w:cs="Arial"/>
          <w:color w:val="000000"/>
          <w:sz w:val="20"/>
          <w:szCs w:val="20"/>
        </w:rPr>
        <w:t>e a material adverse effect on us. Terrorist attacks or other hostile acts may negatively affect our operations, or adversely affect demand for our products, and such attacks or related armed conflicts may impact our physical facilities or those of our sup</w:t>
      </w:r>
      <w:r>
        <w:rPr>
          <w:rFonts w:ascii="Arial" w:eastAsia="宋体" w:hAnsi="Arial" w:cs="Arial"/>
          <w:color w:val="000000"/>
          <w:sz w:val="20"/>
          <w:szCs w:val="20"/>
        </w:rPr>
        <w:t>pliers or customers. Furthermore, these attacks or hostile acts may make travel and the transportation of our products more difficult and more expensive, which could materially adversely affect us. Any of these events could cause consumer spending to decre</w:t>
      </w:r>
      <w:r>
        <w:rPr>
          <w:rFonts w:ascii="Arial" w:eastAsia="宋体" w:hAnsi="Arial" w:cs="Arial"/>
          <w:color w:val="000000"/>
          <w:sz w:val="20"/>
          <w:szCs w:val="20"/>
        </w:rPr>
        <w:t>ase or result in increased volatility in the United States economy and worldwide financial markets.</w:t>
      </w:r>
    </w:p>
    <w:p w14:paraId="59029AE6" w14:textId="77777777" w:rsidR="0084406A" w:rsidRDefault="002B18AF">
      <w:pPr>
        <w:spacing w:before="280"/>
        <w:ind w:hanging="1440"/>
      </w:pPr>
      <w:r>
        <w:rPr>
          <w:rFonts w:ascii="Arial" w:eastAsia="宋体" w:hAnsi="Arial" w:cs="Arial"/>
          <w:b/>
          <w:bCs/>
          <w:color w:val="000000"/>
          <w:sz w:val="20"/>
          <w:szCs w:val="20"/>
        </w:rPr>
        <w:t>ITEM 1B. UNRESOLVED STAFF COMMENTS</w:t>
      </w:r>
    </w:p>
    <w:p w14:paraId="59029AE7" w14:textId="77777777" w:rsidR="0084406A" w:rsidRDefault="002B18AF">
      <w:pPr>
        <w:spacing w:before="180"/>
      </w:pPr>
      <w:r>
        <w:rPr>
          <w:rFonts w:ascii="Arial" w:eastAsia="宋体" w:hAnsi="Arial" w:cs="Arial"/>
          <w:color w:val="000000"/>
          <w:sz w:val="20"/>
          <w:szCs w:val="20"/>
        </w:rPr>
        <w:t>None.</w:t>
      </w:r>
    </w:p>
    <w:p w14:paraId="59029AE8" w14:textId="77777777" w:rsidR="0084406A" w:rsidRDefault="002B18AF">
      <w:pPr>
        <w:spacing w:before="280"/>
        <w:ind w:hanging="1440"/>
      </w:pPr>
      <w:r>
        <w:rPr>
          <w:rFonts w:ascii="Arial" w:eastAsia="宋体" w:hAnsi="Arial" w:cs="Arial"/>
          <w:b/>
          <w:bCs/>
          <w:color w:val="000000"/>
          <w:sz w:val="20"/>
          <w:szCs w:val="20"/>
        </w:rPr>
        <w:t>ITEM 2. PROPERTIES</w:t>
      </w:r>
    </w:p>
    <w:p w14:paraId="59029AE9" w14:textId="77777777" w:rsidR="0084406A" w:rsidRDefault="002B18AF">
      <w:pPr>
        <w:spacing w:before="180"/>
        <w:jc w:val="both"/>
      </w:pPr>
      <w:r>
        <w:rPr>
          <w:rFonts w:ascii="Arial" w:eastAsia="宋体" w:hAnsi="Arial" w:cs="Arial"/>
          <w:color w:val="000000"/>
          <w:sz w:val="20"/>
          <w:szCs w:val="20"/>
        </w:rPr>
        <w:t>As of December 25, 2021, we leased approximately 2.7 million square feet of space for research a</w:t>
      </w:r>
      <w:r>
        <w:rPr>
          <w:rFonts w:ascii="Arial" w:eastAsia="宋体" w:hAnsi="Arial" w:cs="Arial"/>
          <w:color w:val="000000"/>
          <w:sz w:val="20"/>
          <w:szCs w:val="20"/>
        </w:rPr>
        <w:t>nd development, engineering, administrative and warehouse use throughout the world. Our headquarters is located in Santa Clara, California, and we have significant operations in Austin, Texas; Shanghai, China; Markham, Ontario, Canada; and Bangalore and Hy</w:t>
      </w:r>
      <w:r>
        <w:rPr>
          <w:rFonts w:ascii="Arial" w:eastAsia="宋体" w:hAnsi="Arial" w:cs="Arial"/>
          <w:color w:val="000000"/>
          <w:sz w:val="20"/>
          <w:szCs w:val="20"/>
        </w:rPr>
        <w:t xml:space="preserve">derabad, India. We also have a number of regional sales offices located in commercial centers near customers, principally in the United States, Europe, Asia and Latin America. </w:t>
      </w:r>
    </w:p>
    <w:p w14:paraId="59029AEA" w14:textId="77777777" w:rsidR="0084406A" w:rsidRDefault="002B18AF">
      <w:pPr>
        <w:spacing w:before="180"/>
        <w:jc w:val="both"/>
      </w:pPr>
      <w:r>
        <w:rPr>
          <w:rFonts w:ascii="Arial" w:eastAsia="宋体" w:hAnsi="Arial" w:cs="Arial"/>
          <w:color w:val="000000"/>
          <w:sz w:val="20"/>
          <w:szCs w:val="20"/>
        </w:rPr>
        <w:t xml:space="preserve">We currently do not anticipate difficulty in either retaining occupancy of any </w:t>
      </w:r>
      <w:r>
        <w:rPr>
          <w:rFonts w:ascii="Arial" w:eastAsia="宋体" w:hAnsi="Arial" w:cs="Arial"/>
          <w:color w:val="000000"/>
          <w:sz w:val="20"/>
          <w:szCs w:val="20"/>
        </w:rPr>
        <w:t>of our facilities through lease renewals prior to expiration or through month-to-month occupancy or replacing them with equivalent facilities. We believe that our existing facilities are suitable and adequate for our present purposes and that the productiv</w:t>
      </w:r>
      <w:r>
        <w:rPr>
          <w:rFonts w:ascii="Arial" w:eastAsia="宋体" w:hAnsi="Arial" w:cs="Arial"/>
          <w:color w:val="000000"/>
          <w:sz w:val="20"/>
          <w:szCs w:val="20"/>
        </w:rPr>
        <w:t xml:space="preserve">e capacity of such facilities is substantially being utilized or we have plans to utilize such capacity. </w:t>
      </w:r>
    </w:p>
    <w:p w14:paraId="59029AEB" w14:textId="77777777" w:rsidR="0084406A" w:rsidRDefault="002B18AF">
      <w:pPr>
        <w:jc w:val="center"/>
      </w:pPr>
      <w:r>
        <w:rPr>
          <w:rFonts w:ascii="Arial" w:eastAsia="宋体" w:hAnsi="Arial" w:cs="Arial"/>
          <w:color w:val="000000"/>
          <w:sz w:val="20"/>
          <w:szCs w:val="20"/>
        </w:rPr>
        <w:t>35</w:t>
      </w:r>
    </w:p>
    <w:p w14:paraId="59029AEC" w14:textId="77777777" w:rsidR="0084406A" w:rsidRDefault="002B18AF">
      <w:r>
        <w:pict w14:anchorId="5902BB17">
          <v:rect id="_x0000_i1062" style="width:415.3pt;height:1.5pt" o:hralign="center" o:hrstd="t" o:hr="t" fillcolor="#a0a0a0" stroked="f"/>
        </w:pict>
      </w:r>
    </w:p>
    <w:p w14:paraId="59029AED" w14:textId="77777777" w:rsidR="0084406A" w:rsidRDefault="0084406A"/>
    <w:p w14:paraId="59029AEE" w14:textId="77777777" w:rsidR="0084406A" w:rsidRDefault="002B18AF">
      <w:pPr>
        <w:spacing w:before="280"/>
        <w:ind w:hanging="1440"/>
      </w:pPr>
      <w:r>
        <w:rPr>
          <w:rFonts w:ascii="Arial" w:eastAsia="宋体" w:hAnsi="Arial" w:cs="Arial"/>
          <w:b/>
          <w:bCs/>
          <w:color w:val="000000"/>
          <w:sz w:val="20"/>
          <w:szCs w:val="20"/>
        </w:rPr>
        <w:t>ITEM 3. LEGAL PROCEEDINGS</w:t>
      </w:r>
    </w:p>
    <w:p w14:paraId="59029AEF" w14:textId="77777777" w:rsidR="0084406A" w:rsidRDefault="002B18AF">
      <w:pPr>
        <w:spacing w:before="180"/>
        <w:jc w:val="both"/>
      </w:pPr>
      <w:r>
        <w:rPr>
          <w:rFonts w:ascii="Arial" w:eastAsia="宋体" w:hAnsi="Arial" w:cs="Arial"/>
          <w:color w:val="000000"/>
          <w:sz w:val="20"/>
          <w:szCs w:val="20"/>
        </w:rPr>
        <w:t xml:space="preserve">For a discussion of our legal proceedings, refer to Note 17 </w:t>
      </w:r>
      <w:r>
        <w:rPr>
          <w:rFonts w:ascii="Arial" w:eastAsia="宋体" w:hAnsi="Arial" w:cs="Arial"/>
          <w:b/>
          <w:bCs/>
          <w:color w:val="000000"/>
          <w:sz w:val="20"/>
          <w:szCs w:val="20"/>
        </w:rPr>
        <w:t>–</w:t>
      </w:r>
      <w:r>
        <w:rPr>
          <w:rFonts w:ascii="Arial" w:eastAsia="宋体" w:hAnsi="Arial" w:cs="Arial"/>
          <w:color w:val="000000"/>
          <w:sz w:val="20"/>
          <w:szCs w:val="20"/>
        </w:rPr>
        <w:t xml:space="preserve"> Contingencies of the Notes to Consolidated Financial Statements (Part II, Item 8 of this Form 10-K).</w:t>
      </w:r>
    </w:p>
    <w:p w14:paraId="59029AF0" w14:textId="77777777" w:rsidR="0084406A" w:rsidRDefault="002B18AF">
      <w:pPr>
        <w:spacing w:before="280"/>
      </w:pPr>
      <w:r>
        <w:rPr>
          <w:rFonts w:ascii="Arial" w:eastAsia="宋体" w:hAnsi="Arial" w:cs="Arial"/>
          <w:b/>
          <w:bCs/>
          <w:color w:val="000000"/>
          <w:sz w:val="20"/>
          <w:szCs w:val="20"/>
        </w:rPr>
        <w:t>ITEM 4. MINE SAFETY DISCLOSURES</w:t>
      </w:r>
    </w:p>
    <w:p w14:paraId="59029AF1" w14:textId="77777777" w:rsidR="0084406A" w:rsidRDefault="002B18AF">
      <w:pPr>
        <w:spacing w:before="180"/>
      </w:pPr>
      <w:r>
        <w:rPr>
          <w:rFonts w:ascii="Arial" w:eastAsia="宋体" w:hAnsi="Arial" w:cs="Arial"/>
          <w:color w:val="000000"/>
          <w:sz w:val="20"/>
          <w:szCs w:val="20"/>
        </w:rPr>
        <w:t>Not Applicable.</w:t>
      </w:r>
    </w:p>
    <w:p w14:paraId="59029AF2" w14:textId="77777777" w:rsidR="0084406A" w:rsidRDefault="002B18AF">
      <w:pPr>
        <w:jc w:val="center"/>
      </w:pPr>
      <w:r>
        <w:rPr>
          <w:rFonts w:ascii="Arial" w:eastAsia="宋体" w:hAnsi="Arial" w:cs="Arial"/>
          <w:color w:val="000000"/>
          <w:sz w:val="20"/>
          <w:szCs w:val="20"/>
        </w:rPr>
        <w:t>36</w:t>
      </w:r>
    </w:p>
    <w:p w14:paraId="59029AF3" w14:textId="77777777" w:rsidR="0084406A" w:rsidRDefault="002B18AF">
      <w:r>
        <w:pict w14:anchorId="5902BB18">
          <v:rect id="_x0000_i1063" style="width:415.3pt;height:1.5pt" o:hralign="center" o:hrstd="t" o:hr="t" fillcolor="#a0a0a0" stroked="f"/>
        </w:pict>
      </w:r>
    </w:p>
    <w:p w14:paraId="59029AF4" w14:textId="77777777" w:rsidR="0084406A" w:rsidRDefault="0084406A"/>
    <w:p w14:paraId="59029AF5" w14:textId="77777777" w:rsidR="0084406A" w:rsidRDefault="002B18AF">
      <w:pPr>
        <w:jc w:val="center"/>
      </w:pPr>
      <w:r>
        <w:rPr>
          <w:rFonts w:ascii="Arial" w:eastAsia="宋体" w:hAnsi="Arial" w:cs="Arial"/>
          <w:b/>
          <w:bCs/>
          <w:color w:val="000000"/>
          <w:sz w:val="20"/>
          <w:szCs w:val="20"/>
        </w:rPr>
        <w:t>PART II</w:t>
      </w:r>
    </w:p>
    <w:p w14:paraId="59029AF6" w14:textId="77777777" w:rsidR="0084406A" w:rsidRDefault="002B18AF">
      <w:pPr>
        <w:spacing w:before="180"/>
        <w:ind w:hanging="1260"/>
        <w:jc w:val="both"/>
      </w:pPr>
      <w:r>
        <w:rPr>
          <w:rFonts w:ascii="Arial" w:eastAsia="宋体" w:hAnsi="Arial" w:cs="Arial"/>
          <w:b/>
          <w:bCs/>
          <w:color w:val="000000"/>
          <w:sz w:val="20"/>
          <w:szCs w:val="20"/>
        </w:rPr>
        <w:t>ITEM 5. MARKET FOR REGISTRANT’S</w:t>
      </w:r>
      <w:r>
        <w:rPr>
          <w:rFonts w:ascii="Arial" w:eastAsia="宋体" w:hAnsi="Arial" w:cs="Arial"/>
          <w:b/>
          <w:bCs/>
          <w:color w:val="000000"/>
          <w:sz w:val="20"/>
          <w:szCs w:val="20"/>
        </w:rPr>
        <w:t xml:space="preserve"> COMMON EQUITY, RELATED STOCKHOLDER MATTERS AND ISSUER PURCHASES OF EQUITY SECURITIES</w:t>
      </w:r>
    </w:p>
    <w:p w14:paraId="59029AF7" w14:textId="77777777" w:rsidR="0084406A" w:rsidRDefault="002B18AF">
      <w:pPr>
        <w:spacing w:before="180"/>
        <w:jc w:val="both"/>
      </w:pPr>
      <w:r>
        <w:rPr>
          <w:rFonts w:ascii="Arial" w:eastAsia="宋体" w:hAnsi="Arial" w:cs="Arial"/>
          <w:color w:val="000000"/>
          <w:sz w:val="20"/>
          <w:szCs w:val="20"/>
        </w:rPr>
        <w:t>Our common stock is listed on The NASDAQ Global Select Market (NASDAQ) under the symbol “AMD”. On January 28, 2022, there were 4,492 registered holders of our common stoc</w:t>
      </w:r>
      <w:r>
        <w:rPr>
          <w:rFonts w:ascii="Arial" w:eastAsia="宋体" w:hAnsi="Arial" w:cs="Arial"/>
          <w:color w:val="000000"/>
          <w:sz w:val="20"/>
          <w:szCs w:val="20"/>
        </w:rPr>
        <w:t>k, and the closing price of our common stock was $105.24</w:t>
      </w:r>
      <w:r>
        <w:rPr>
          <w:rFonts w:ascii="Arial" w:eastAsia="宋体" w:hAnsi="Arial" w:cs="Arial"/>
          <w:color w:val="FFFF00"/>
          <w:sz w:val="20"/>
          <w:szCs w:val="20"/>
        </w:rPr>
        <w:t xml:space="preserve"> </w:t>
      </w:r>
      <w:r>
        <w:rPr>
          <w:rFonts w:ascii="Arial" w:eastAsia="宋体" w:hAnsi="Arial" w:cs="Arial"/>
          <w:color w:val="000000"/>
          <w:sz w:val="20"/>
          <w:szCs w:val="20"/>
        </w:rPr>
        <w:t>per share as reported on NASDAQ.</w:t>
      </w:r>
    </w:p>
    <w:p w14:paraId="59029AF8" w14:textId="77777777" w:rsidR="0084406A" w:rsidRDefault="002B18AF">
      <w:pPr>
        <w:spacing w:before="180"/>
      </w:pPr>
      <w:r>
        <w:rPr>
          <w:rFonts w:ascii="Arial" w:eastAsia="宋体" w:hAnsi="Arial" w:cs="Arial"/>
          <w:b/>
          <w:bCs/>
          <w:color w:val="000000"/>
          <w:sz w:val="20"/>
          <w:szCs w:val="20"/>
        </w:rPr>
        <w:t>Issuer Purchases of Equity Securities</w:t>
      </w:r>
    </w:p>
    <w:p w14:paraId="59029AF9" w14:textId="77777777" w:rsidR="0084406A" w:rsidRDefault="002B18AF">
      <w:pPr>
        <w:spacing w:before="180"/>
        <w:jc w:val="both"/>
      </w:pPr>
      <w:r>
        <w:rPr>
          <w:rFonts w:ascii="Arial" w:eastAsia="宋体" w:hAnsi="Arial" w:cs="Arial"/>
          <w:color w:val="000000"/>
          <w:sz w:val="20"/>
          <w:szCs w:val="20"/>
        </w:rPr>
        <w:t xml:space="preserve">In May 2021, we announced that our Board of Directors approved a new stock repurchase program to purchase up to $4 </w:t>
      </w:r>
      <w:r>
        <w:rPr>
          <w:rFonts w:ascii="Arial" w:eastAsia="宋体" w:hAnsi="Arial" w:cs="Arial"/>
          <w:color w:val="000000"/>
          <w:sz w:val="20"/>
          <w:szCs w:val="20"/>
        </w:rPr>
        <w:t>billion of our outstanding common stock in the open market. We expect to fund repurchases through cash generated from operations which have been strengthened by our strong operational results. Our stock repurchase program does not obligate us to acquire an</w:t>
      </w:r>
      <w:r>
        <w:rPr>
          <w:rFonts w:ascii="Arial" w:eastAsia="宋体" w:hAnsi="Arial" w:cs="Arial"/>
          <w:color w:val="000000"/>
          <w:sz w:val="20"/>
          <w:szCs w:val="20"/>
        </w:rPr>
        <w:t>y common stock, has no termination date and may be suspended or discontinued at any time.</w:t>
      </w:r>
    </w:p>
    <w:p w14:paraId="59029AFA" w14:textId="77777777" w:rsidR="0084406A" w:rsidRDefault="002B18AF">
      <w:pPr>
        <w:spacing w:before="180"/>
        <w:jc w:val="both"/>
      </w:pPr>
      <w:r>
        <w:rPr>
          <w:rFonts w:ascii="Arial" w:eastAsia="宋体" w:hAnsi="Arial" w:cs="Arial"/>
          <w:color w:val="000000"/>
          <w:sz w:val="20"/>
          <w:szCs w:val="20"/>
        </w:rPr>
        <w:t>The following table provides information relating to our repurchase of common stock for the year ended December 25, 2021:</w:t>
      </w:r>
    </w:p>
    <w:tbl>
      <w:tblPr>
        <w:tblW w:w="4963" w:type="pct"/>
        <w:tblCellMar>
          <w:top w:w="15" w:type="dxa"/>
          <w:left w:w="15" w:type="dxa"/>
          <w:bottom w:w="15" w:type="dxa"/>
          <w:right w:w="15" w:type="dxa"/>
        </w:tblCellMar>
        <w:tblLook w:val="04A0" w:firstRow="1" w:lastRow="0" w:firstColumn="1" w:lastColumn="0" w:noHBand="0" w:noVBand="1"/>
      </w:tblPr>
      <w:tblGrid>
        <w:gridCol w:w="46"/>
        <w:gridCol w:w="3529"/>
        <w:gridCol w:w="36"/>
        <w:gridCol w:w="81"/>
        <w:gridCol w:w="997"/>
        <w:gridCol w:w="36"/>
        <w:gridCol w:w="36"/>
        <w:gridCol w:w="36"/>
        <w:gridCol w:w="36"/>
        <w:gridCol w:w="132"/>
        <w:gridCol w:w="900"/>
        <w:gridCol w:w="36"/>
        <w:gridCol w:w="36"/>
        <w:gridCol w:w="36"/>
        <w:gridCol w:w="36"/>
        <w:gridCol w:w="81"/>
        <w:gridCol w:w="997"/>
        <w:gridCol w:w="36"/>
        <w:gridCol w:w="36"/>
        <w:gridCol w:w="36"/>
        <w:gridCol w:w="36"/>
        <w:gridCol w:w="133"/>
        <w:gridCol w:w="874"/>
        <w:gridCol w:w="36"/>
      </w:tblGrid>
      <w:tr w:rsidR="0084406A" w14:paraId="59029B13" w14:textId="77777777">
        <w:tc>
          <w:tcPr>
            <w:tcW w:w="50" w:type="pct"/>
            <w:shd w:val="clear" w:color="auto" w:fill="auto"/>
            <w:vAlign w:val="bottom"/>
          </w:tcPr>
          <w:p w14:paraId="59029AFB" w14:textId="77777777" w:rsidR="0084406A" w:rsidRDefault="0084406A">
            <w:pPr>
              <w:rPr>
                <w:rFonts w:ascii="宋体"/>
              </w:rPr>
            </w:pPr>
          </w:p>
        </w:tc>
        <w:tc>
          <w:tcPr>
            <w:tcW w:w="2154" w:type="pct"/>
            <w:shd w:val="clear" w:color="auto" w:fill="auto"/>
            <w:vAlign w:val="bottom"/>
          </w:tcPr>
          <w:p w14:paraId="59029AFC" w14:textId="77777777" w:rsidR="0084406A" w:rsidRDefault="0084406A">
            <w:pPr>
              <w:rPr>
                <w:rFonts w:ascii="宋体"/>
              </w:rPr>
            </w:pPr>
          </w:p>
        </w:tc>
        <w:tc>
          <w:tcPr>
            <w:tcW w:w="5" w:type="pct"/>
            <w:shd w:val="clear" w:color="auto" w:fill="auto"/>
            <w:vAlign w:val="bottom"/>
          </w:tcPr>
          <w:p w14:paraId="59029AFD" w14:textId="77777777" w:rsidR="0084406A" w:rsidRDefault="0084406A">
            <w:pPr>
              <w:rPr>
                <w:rFonts w:ascii="宋体"/>
              </w:rPr>
            </w:pPr>
          </w:p>
        </w:tc>
        <w:tc>
          <w:tcPr>
            <w:tcW w:w="50" w:type="pct"/>
            <w:shd w:val="clear" w:color="auto" w:fill="auto"/>
            <w:vAlign w:val="bottom"/>
          </w:tcPr>
          <w:p w14:paraId="59029AFE" w14:textId="77777777" w:rsidR="0084406A" w:rsidRDefault="0084406A">
            <w:pPr>
              <w:rPr>
                <w:rFonts w:ascii="宋体"/>
              </w:rPr>
            </w:pPr>
          </w:p>
        </w:tc>
        <w:tc>
          <w:tcPr>
            <w:tcW w:w="615" w:type="pct"/>
            <w:shd w:val="clear" w:color="auto" w:fill="auto"/>
            <w:vAlign w:val="bottom"/>
          </w:tcPr>
          <w:p w14:paraId="59029AFF" w14:textId="77777777" w:rsidR="0084406A" w:rsidRDefault="0084406A">
            <w:pPr>
              <w:rPr>
                <w:rFonts w:ascii="宋体"/>
              </w:rPr>
            </w:pPr>
          </w:p>
        </w:tc>
        <w:tc>
          <w:tcPr>
            <w:tcW w:w="5" w:type="pct"/>
            <w:shd w:val="clear" w:color="auto" w:fill="auto"/>
            <w:vAlign w:val="bottom"/>
          </w:tcPr>
          <w:p w14:paraId="59029B00" w14:textId="77777777" w:rsidR="0084406A" w:rsidRDefault="0084406A">
            <w:pPr>
              <w:rPr>
                <w:rFonts w:ascii="宋体"/>
              </w:rPr>
            </w:pPr>
          </w:p>
        </w:tc>
        <w:tc>
          <w:tcPr>
            <w:tcW w:w="5" w:type="pct"/>
            <w:shd w:val="clear" w:color="auto" w:fill="auto"/>
            <w:vAlign w:val="bottom"/>
          </w:tcPr>
          <w:p w14:paraId="59029B01" w14:textId="77777777" w:rsidR="0084406A" w:rsidRDefault="0084406A">
            <w:pPr>
              <w:rPr>
                <w:rFonts w:ascii="宋体"/>
              </w:rPr>
            </w:pPr>
          </w:p>
        </w:tc>
        <w:tc>
          <w:tcPr>
            <w:tcW w:w="26" w:type="pct"/>
            <w:shd w:val="clear" w:color="auto" w:fill="auto"/>
            <w:vAlign w:val="bottom"/>
          </w:tcPr>
          <w:p w14:paraId="59029B02" w14:textId="77777777" w:rsidR="0084406A" w:rsidRDefault="0084406A">
            <w:pPr>
              <w:rPr>
                <w:rFonts w:ascii="宋体"/>
              </w:rPr>
            </w:pPr>
          </w:p>
        </w:tc>
        <w:tc>
          <w:tcPr>
            <w:tcW w:w="5" w:type="pct"/>
            <w:shd w:val="clear" w:color="auto" w:fill="auto"/>
            <w:vAlign w:val="bottom"/>
          </w:tcPr>
          <w:p w14:paraId="59029B03" w14:textId="77777777" w:rsidR="0084406A" w:rsidRDefault="0084406A">
            <w:pPr>
              <w:rPr>
                <w:rFonts w:ascii="宋体"/>
              </w:rPr>
            </w:pPr>
          </w:p>
        </w:tc>
        <w:tc>
          <w:tcPr>
            <w:tcW w:w="50" w:type="pct"/>
            <w:shd w:val="clear" w:color="auto" w:fill="auto"/>
            <w:vAlign w:val="bottom"/>
          </w:tcPr>
          <w:p w14:paraId="59029B04" w14:textId="77777777" w:rsidR="0084406A" w:rsidRDefault="0084406A">
            <w:pPr>
              <w:rPr>
                <w:rFonts w:ascii="宋体"/>
              </w:rPr>
            </w:pPr>
          </w:p>
        </w:tc>
        <w:tc>
          <w:tcPr>
            <w:tcW w:w="615" w:type="pct"/>
            <w:shd w:val="clear" w:color="auto" w:fill="auto"/>
            <w:vAlign w:val="bottom"/>
          </w:tcPr>
          <w:p w14:paraId="59029B05" w14:textId="77777777" w:rsidR="0084406A" w:rsidRDefault="0084406A">
            <w:pPr>
              <w:rPr>
                <w:rFonts w:ascii="宋体"/>
              </w:rPr>
            </w:pPr>
          </w:p>
        </w:tc>
        <w:tc>
          <w:tcPr>
            <w:tcW w:w="5" w:type="pct"/>
            <w:shd w:val="clear" w:color="auto" w:fill="auto"/>
            <w:vAlign w:val="bottom"/>
          </w:tcPr>
          <w:p w14:paraId="59029B06" w14:textId="77777777" w:rsidR="0084406A" w:rsidRDefault="0084406A">
            <w:pPr>
              <w:rPr>
                <w:rFonts w:ascii="宋体"/>
              </w:rPr>
            </w:pPr>
          </w:p>
        </w:tc>
        <w:tc>
          <w:tcPr>
            <w:tcW w:w="5" w:type="pct"/>
            <w:shd w:val="clear" w:color="auto" w:fill="auto"/>
            <w:vAlign w:val="bottom"/>
          </w:tcPr>
          <w:p w14:paraId="59029B07" w14:textId="77777777" w:rsidR="0084406A" w:rsidRDefault="0084406A">
            <w:pPr>
              <w:rPr>
                <w:rFonts w:ascii="宋体"/>
              </w:rPr>
            </w:pPr>
          </w:p>
        </w:tc>
        <w:tc>
          <w:tcPr>
            <w:tcW w:w="26" w:type="pct"/>
            <w:shd w:val="clear" w:color="auto" w:fill="auto"/>
            <w:vAlign w:val="bottom"/>
          </w:tcPr>
          <w:p w14:paraId="59029B08" w14:textId="77777777" w:rsidR="0084406A" w:rsidRDefault="0084406A">
            <w:pPr>
              <w:rPr>
                <w:rFonts w:ascii="宋体"/>
              </w:rPr>
            </w:pPr>
          </w:p>
        </w:tc>
        <w:tc>
          <w:tcPr>
            <w:tcW w:w="5" w:type="pct"/>
            <w:shd w:val="clear" w:color="auto" w:fill="auto"/>
            <w:vAlign w:val="bottom"/>
          </w:tcPr>
          <w:p w14:paraId="59029B09" w14:textId="77777777" w:rsidR="0084406A" w:rsidRDefault="0084406A">
            <w:pPr>
              <w:rPr>
                <w:rFonts w:ascii="宋体"/>
              </w:rPr>
            </w:pPr>
          </w:p>
        </w:tc>
        <w:tc>
          <w:tcPr>
            <w:tcW w:w="50" w:type="pct"/>
            <w:shd w:val="clear" w:color="auto" w:fill="auto"/>
            <w:vAlign w:val="bottom"/>
          </w:tcPr>
          <w:p w14:paraId="59029B0A" w14:textId="77777777" w:rsidR="0084406A" w:rsidRDefault="0084406A">
            <w:pPr>
              <w:rPr>
                <w:rFonts w:ascii="宋体"/>
              </w:rPr>
            </w:pPr>
          </w:p>
        </w:tc>
        <w:tc>
          <w:tcPr>
            <w:tcW w:w="615" w:type="pct"/>
            <w:shd w:val="clear" w:color="auto" w:fill="auto"/>
            <w:vAlign w:val="bottom"/>
          </w:tcPr>
          <w:p w14:paraId="59029B0B" w14:textId="77777777" w:rsidR="0084406A" w:rsidRDefault="0084406A">
            <w:pPr>
              <w:rPr>
                <w:rFonts w:ascii="宋体"/>
              </w:rPr>
            </w:pPr>
          </w:p>
        </w:tc>
        <w:tc>
          <w:tcPr>
            <w:tcW w:w="5" w:type="pct"/>
            <w:shd w:val="clear" w:color="auto" w:fill="auto"/>
            <w:vAlign w:val="bottom"/>
          </w:tcPr>
          <w:p w14:paraId="59029B0C" w14:textId="77777777" w:rsidR="0084406A" w:rsidRDefault="0084406A">
            <w:pPr>
              <w:rPr>
                <w:rFonts w:ascii="宋体"/>
              </w:rPr>
            </w:pPr>
          </w:p>
        </w:tc>
        <w:tc>
          <w:tcPr>
            <w:tcW w:w="5" w:type="pct"/>
            <w:shd w:val="clear" w:color="auto" w:fill="auto"/>
            <w:vAlign w:val="bottom"/>
          </w:tcPr>
          <w:p w14:paraId="59029B0D" w14:textId="77777777" w:rsidR="0084406A" w:rsidRDefault="0084406A">
            <w:pPr>
              <w:rPr>
                <w:rFonts w:ascii="宋体"/>
              </w:rPr>
            </w:pPr>
          </w:p>
        </w:tc>
        <w:tc>
          <w:tcPr>
            <w:tcW w:w="26" w:type="pct"/>
            <w:shd w:val="clear" w:color="auto" w:fill="auto"/>
            <w:vAlign w:val="bottom"/>
          </w:tcPr>
          <w:p w14:paraId="59029B0E" w14:textId="77777777" w:rsidR="0084406A" w:rsidRDefault="0084406A">
            <w:pPr>
              <w:rPr>
                <w:rFonts w:ascii="宋体"/>
              </w:rPr>
            </w:pPr>
          </w:p>
        </w:tc>
        <w:tc>
          <w:tcPr>
            <w:tcW w:w="5" w:type="pct"/>
            <w:shd w:val="clear" w:color="auto" w:fill="auto"/>
            <w:vAlign w:val="bottom"/>
          </w:tcPr>
          <w:p w14:paraId="59029B0F" w14:textId="77777777" w:rsidR="0084406A" w:rsidRDefault="0084406A">
            <w:pPr>
              <w:rPr>
                <w:rFonts w:ascii="宋体"/>
              </w:rPr>
            </w:pPr>
          </w:p>
        </w:tc>
        <w:tc>
          <w:tcPr>
            <w:tcW w:w="50" w:type="pct"/>
            <w:shd w:val="clear" w:color="auto" w:fill="auto"/>
            <w:vAlign w:val="bottom"/>
          </w:tcPr>
          <w:p w14:paraId="59029B10" w14:textId="77777777" w:rsidR="0084406A" w:rsidRDefault="0084406A">
            <w:pPr>
              <w:rPr>
                <w:rFonts w:ascii="宋体"/>
              </w:rPr>
            </w:pPr>
          </w:p>
        </w:tc>
        <w:tc>
          <w:tcPr>
            <w:tcW w:w="615" w:type="pct"/>
            <w:shd w:val="clear" w:color="auto" w:fill="auto"/>
            <w:vAlign w:val="bottom"/>
          </w:tcPr>
          <w:p w14:paraId="59029B11" w14:textId="77777777" w:rsidR="0084406A" w:rsidRDefault="0084406A">
            <w:pPr>
              <w:rPr>
                <w:rFonts w:ascii="宋体"/>
              </w:rPr>
            </w:pPr>
          </w:p>
        </w:tc>
        <w:tc>
          <w:tcPr>
            <w:tcW w:w="5" w:type="pct"/>
            <w:shd w:val="clear" w:color="auto" w:fill="auto"/>
            <w:vAlign w:val="bottom"/>
          </w:tcPr>
          <w:p w14:paraId="59029B12" w14:textId="77777777" w:rsidR="0084406A" w:rsidRDefault="0084406A">
            <w:pPr>
              <w:rPr>
                <w:rFonts w:ascii="宋体"/>
              </w:rPr>
            </w:pPr>
          </w:p>
        </w:tc>
      </w:tr>
      <w:tr w:rsidR="0084406A" w14:paraId="59029B1C" w14:textId="77777777">
        <w:tc>
          <w:tcPr>
            <w:tcW w:w="0" w:type="auto"/>
            <w:gridSpan w:val="3"/>
            <w:shd w:val="clear" w:color="auto" w:fill="auto"/>
            <w:tcMar>
              <w:top w:w="0" w:type="dxa"/>
              <w:left w:w="20" w:type="dxa"/>
              <w:bottom w:w="0" w:type="dxa"/>
              <w:right w:w="20" w:type="dxa"/>
            </w:tcMar>
            <w:vAlign w:val="bottom"/>
          </w:tcPr>
          <w:p w14:paraId="59029B1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9B15" w14:textId="77777777" w:rsidR="0084406A" w:rsidRDefault="002B18AF">
            <w:pPr>
              <w:jc w:val="center"/>
              <w:textAlignment w:val="bottom"/>
            </w:pPr>
            <w:r>
              <w:rPr>
                <w:rFonts w:ascii="Arial" w:eastAsia="宋体" w:hAnsi="Arial" w:cs="Arial"/>
                <w:b/>
                <w:bCs/>
                <w:color w:val="000000"/>
                <w:sz w:val="16"/>
                <w:szCs w:val="16"/>
              </w:rPr>
              <w:t>Total Number of Shares Repurchased</w:t>
            </w:r>
          </w:p>
        </w:tc>
        <w:tc>
          <w:tcPr>
            <w:tcW w:w="0" w:type="auto"/>
            <w:gridSpan w:val="3"/>
            <w:shd w:val="clear" w:color="auto" w:fill="auto"/>
            <w:tcMar>
              <w:top w:w="0" w:type="dxa"/>
              <w:left w:w="20" w:type="dxa"/>
              <w:bottom w:w="0" w:type="dxa"/>
              <w:right w:w="20" w:type="dxa"/>
            </w:tcMar>
            <w:vAlign w:val="bottom"/>
          </w:tcPr>
          <w:p w14:paraId="59029B16"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B17" w14:textId="77777777" w:rsidR="0084406A" w:rsidRDefault="002B18AF">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59029B18"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B19" w14:textId="77777777" w:rsidR="0084406A" w:rsidRDefault="002B18AF">
            <w:pPr>
              <w:jc w:val="center"/>
              <w:textAlignment w:val="bottom"/>
            </w:pPr>
            <w:r>
              <w:rPr>
                <w:rFonts w:ascii="Arial" w:eastAsia="宋体" w:hAnsi="Arial" w:cs="Arial"/>
                <w:b/>
                <w:bCs/>
                <w:color w:val="000000"/>
                <w:sz w:val="16"/>
                <w:szCs w:val="16"/>
              </w:rPr>
              <w:t>Total Number of Shares Repurchased as Part of Publicly Announced Program</w:t>
            </w:r>
          </w:p>
        </w:tc>
        <w:tc>
          <w:tcPr>
            <w:tcW w:w="0" w:type="auto"/>
            <w:gridSpan w:val="3"/>
            <w:shd w:val="clear" w:color="auto" w:fill="auto"/>
            <w:tcMar>
              <w:top w:w="0" w:type="dxa"/>
              <w:left w:w="20" w:type="dxa"/>
              <w:bottom w:w="0" w:type="dxa"/>
              <w:right w:w="20" w:type="dxa"/>
            </w:tcMar>
            <w:vAlign w:val="bottom"/>
          </w:tcPr>
          <w:p w14:paraId="59029B1A"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B1B" w14:textId="77777777" w:rsidR="0084406A" w:rsidRDefault="002B18AF">
            <w:pPr>
              <w:jc w:val="center"/>
              <w:textAlignment w:val="bottom"/>
            </w:pPr>
            <w:r>
              <w:rPr>
                <w:rFonts w:ascii="Arial" w:eastAsia="宋体" w:hAnsi="Arial" w:cs="Arial"/>
                <w:b/>
                <w:bCs/>
                <w:color w:val="000000"/>
                <w:sz w:val="16"/>
                <w:szCs w:val="16"/>
              </w:rPr>
              <w:t>Maximum Dollar Value of Shares That May Yet be Purchased Under the Program</w:t>
            </w:r>
          </w:p>
        </w:tc>
      </w:tr>
      <w:tr w:rsidR="0084406A" w14:paraId="59029B1F" w14:textId="77777777">
        <w:tc>
          <w:tcPr>
            <w:tcW w:w="0" w:type="auto"/>
            <w:gridSpan w:val="3"/>
            <w:shd w:val="clear" w:color="auto" w:fill="auto"/>
            <w:tcMar>
              <w:top w:w="0" w:type="dxa"/>
              <w:left w:w="20" w:type="dxa"/>
              <w:bottom w:w="0" w:type="dxa"/>
              <w:right w:w="20" w:type="dxa"/>
            </w:tcMar>
            <w:vAlign w:val="bottom"/>
          </w:tcPr>
          <w:p w14:paraId="59029B1D" w14:textId="77777777" w:rsidR="0084406A" w:rsidRDefault="0084406A">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9029B1E" w14:textId="77777777" w:rsidR="0084406A" w:rsidRDefault="002B18AF">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 except per share data)</w:t>
            </w:r>
          </w:p>
        </w:tc>
      </w:tr>
      <w:tr w:rsidR="0084406A" w14:paraId="59029B28" w14:textId="77777777">
        <w:tc>
          <w:tcPr>
            <w:tcW w:w="0" w:type="auto"/>
            <w:gridSpan w:val="3"/>
            <w:shd w:val="clear" w:color="auto" w:fill="CCEEFF"/>
            <w:tcMar>
              <w:top w:w="40" w:type="dxa"/>
              <w:left w:w="20" w:type="dxa"/>
              <w:bottom w:w="40" w:type="dxa"/>
              <w:right w:w="20" w:type="dxa"/>
            </w:tcMar>
            <w:vAlign w:val="bottom"/>
          </w:tcPr>
          <w:p w14:paraId="59029B20" w14:textId="77777777" w:rsidR="0084406A" w:rsidRDefault="002B18AF">
            <w:pPr>
              <w:textAlignment w:val="bottom"/>
            </w:pPr>
            <w:r>
              <w:rPr>
                <w:rFonts w:ascii="Arial" w:eastAsia="宋体" w:hAnsi="Arial" w:cs="Arial"/>
                <w:color w:val="000000"/>
                <w:sz w:val="20"/>
                <w:szCs w:val="20"/>
              </w:rPr>
              <w:t>Repurchases during each fiscal quarter of 2021:</w:t>
            </w:r>
          </w:p>
        </w:tc>
        <w:tc>
          <w:tcPr>
            <w:tcW w:w="0" w:type="auto"/>
            <w:gridSpan w:val="3"/>
            <w:shd w:val="clear" w:color="auto" w:fill="CCEEFF"/>
            <w:tcMar>
              <w:top w:w="0" w:type="dxa"/>
              <w:left w:w="20" w:type="dxa"/>
              <w:bottom w:w="0" w:type="dxa"/>
              <w:right w:w="20" w:type="dxa"/>
            </w:tcMar>
            <w:vAlign w:val="bottom"/>
          </w:tcPr>
          <w:p w14:paraId="59029B2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27" w14:textId="77777777" w:rsidR="0084406A" w:rsidRDefault="0084406A">
            <w:pPr>
              <w:rPr>
                <w:rFonts w:ascii="宋体"/>
              </w:rPr>
            </w:pPr>
          </w:p>
        </w:tc>
      </w:tr>
      <w:tr w:rsidR="0084406A" w14:paraId="59029B37" w14:textId="77777777">
        <w:tc>
          <w:tcPr>
            <w:tcW w:w="0" w:type="auto"/>
            <w:gridSpan w:val="3"/>
            <w:shd w:val="clear" w:color="auto" w:fill="FFFFFF"/>
            <w:tcMar>
              <w:top w:w="40" w:type="dxa"/>
              <w:left w:w="20" w:type="dxa"/>
              <w:bottom w:w="40" w:type="dxa"/>
              <w:right w:w="20" w:type="dxa"/>
            </w:tcMar>
            <w:vAlign w:val="bottom"/>
          </w:tcPr>
          <w:p w14:paraId="59029B29" w14:textId="77777777" w:rsidR="0084406A" w:rsidRDefault="002B18AF">
            <w:pPr>
              <w:textAlignment w:val="bottom"/>
            </w:pPr>
            <w:r>
              <w:rPr>
                <w:rFonts w:ascii="Arial" w:eastAsia="宋体" w:hAnsi="Arial" w:cs="Arial"/>
                <w:color w:val="000000"/>
                <w:sz w:val="20"/>
                <w:szCs w:val="20"/>
              </w:rPr>
              <w:t>March 28, 2021 - June 26, 2021</w:t>
            </w:r>
          </w:p>
        </w:tc>
        <w:tc>
          <w:tcPr>
            <w:tcW w:w="0" w:type="auto"/>
            <w:gridSpan w:val="2"/>
            <w:shd w:val="clear" w:color="auto" w:fill="FFFFFF"/>
            <w:tcMar>
              <w:top w:w="40" w:type="dxa"/>
              <w:left w:w="20" w:type="dxa"/>
              <w:bottom w:w="40" w:type="dxa"/>
              <w:right w:w="0" w:type="dxa"/>
            </w:tcMar>
            <w:vAlign w:val="bottom"/>
          </w:tcPr>
          <w:p w14:paraId="59029B2A" w14:textId="77777777" w:rsidR="0084406A" w:rsidRDefault="002B18AF">
            <w:pPr>
              <w:jc w:val="right"/>
              <w:textAlignment w:val="bottom"/>
            </w:pPr>
            <w:r>
              <w:rPr>
                <w:rFonts w:ascii="Arial" w:eastAsia="宋体" w:hAnsi="Arial" w:cs="Arial"/>
                <w:color w:val="000000"/>
                <w:sz w:val="20"/>
                <w:szCs w:val="20"/>
              </w:rPr>
              <w:t>3,234,896 </w:t>
            </w:r>
          </w:p>
        </w:tc>
        <w:tc>
          <w:tcPr>
            <w:tcW w:w="0" w:type="auto"/>
            <w:shd w:val="clear" w:color="auto" w:fill="FFFFFF"/>
            <w:tcMar>
              <w:top w:w="40" w:type="dxa"/>
              <w:left w:w="0" w:type="dxa"/>
              <w:bottom w:w="40" w:type="dxa"/>
              <w:right w:w="20" w:type="dxa"/>
            </w:tcMar>
            <w:vAlign w:val="bottom"/>
          </w:tcPr>
          <w:p w14:paraId="59029B2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2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2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2E" w14:textId="77777777" w:rsidR="0084406A" w:rsidRDefault="002B18AF">
            <w:pPr>
              <w:jc w:val="right"/>
              <w:textAlignment w:val="bottom"/>
            </w:pPr>
            <w:r>
              <w:rPr>
                <w:rFonts w:ascii="Arial" w:eastAsia="宋体" w:hAnsi="Arial" w:cs="Arial"/>
                <w:color w:val="000000"/>
                <w:sz w:val="20"/>
                <w:szCs w:val="20"/>
              </w:rPr>
              <w:t>79.14 </w:t>
            </w:r>
          </w:p>
        </w:tc>
        <w:tc>
          <w:tcPr>
            <w:tcW w:w="0" w:type="auto"/>
            <w:shd w:val="clear" w:color="auto" w:fill="FFFFFF"/>
            <w:tcMar>
              <w:top w:w="40" w:type="dxa"/>
              <w:left w:w="0" w:type="dxa"/>
              <w:bottom w:w="40" w:type="dxa"/>
              <w:right w:w="20" w:type="dxa"/>
            </w:tcMar>
            <w:vAlign w:val="bottom"/>
          </w:tcPr>
          <w:p w14:paraId="59029B2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3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B31" w14:textId="77777777" w:rsidR="0084406A" w:rsidRDefault="002B18AF">
            <w:pPr>
              <w:jc w:val="right"/>
              <w:textAlignment w:val="bottom"/>
            </w:pPr>
            <w:r>
              <w:rPr>
                <w:rFonts w:ascii="Arial" w:eastAsia="宋体" w:hAnsi="Arial" w:cs="Arial"/>
                <w:color w:val="000000"/>
                <w:sz w:val="20"/>
                <w:szCs w:val="20"/>
              </w:rPr>
              <w:t>3,234,896 </w:t>
            </w:r>
          </w:p>
        </w:tc>
        <w:tc>
          <w:tcPr>
            <w:tcW w:w="0" w:type="auto"/>
            <w:shd w:val="clear" w:color="auto" w:fill="FFFFFF"/>
            <w:tcMar>
              <w:top w:w="40" w:type="dxa"/>
              <w:left w:w="0" w:type="dxa"/>
              <w:bottom w:w="40" w:type="dxa"/>
              <w:right w:w="20" w:type="dxa"/>
            </w:tcMar>
            <w:vAlign w:val="bottom"/>
          </w:tcPr>
          <w:p w14:paraId="59029B3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3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3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35" w14:textId="77777777" w:rsidR="0084406A" w:rsidRDefault="002B18AF">
            <w:pPr>
              <w:jc w:val="right"/>
              <w:textAlignment w:val="bottom"/>
            </w:pPr>
            <w:r>
              <w:rPr>
                <w:rFonts w:ascii="Arial" w:eastAsia="宋体" w:hAnsi="Arial" w:cs="Arial"/>
                <w:color w:val="000000"/>
                <w:sz w:val="20"/>
                <w:szCs w:val="20"/>
              </w:rPr>
              <w:t>3,744 </w:t>
            </w:r>
          </w:p>
        </w:tc>
        <w:tc>
          <w:tcPr>
            <w:tcW w:w="0" w:type="auto"/>
            <w:shd w:val="clear" w:color="auto" w:fill="FFFFFF"/>
            <w:tcMar>
              <w:top w:w="40" w:type="dxa"/>
              <w:left w:w="0" w:type="dxa"/>
              <w:bottom w:w="40" w:type="dxa"/>
              <w:right w:w="20" w:type="dxa"/>
            </w:tcMar>
            <w:vAlign w:val="bottom"/>
          </w:tcPr>
          <w:p w14:paraId="59029B36" w14:textId="77777777" w:rsidR="0084406A" w:rsidRDefault="0084406A">
            <w:pPr>
              <w:jc w:val="right"/>
              <w:rPr>
                <w:rFonts w:ascii="宋体"/>
              </w:rPr>
            </w:pPr>
          </w:p>
        </w:tc>
      </w:tr>
      <w:tr w:rsidR="0084406A" w14:paraId="59029B46" w14:textId="77777777">
        <w:tc>
          <w:tcPr>
            <w:tcW w:w="0" w:type="auto"/>
            <w:gridSpan w:val="3"/>
            <w:shd w:val="clear" w:color="auto" w:fill="CCEEFF"/>
            <w:tcMar>
              <w:top w:w="40" w:type="dxa"/>
              <w:left w:w="20" w:type="dxa"/>
              <w:bottom w:w="40" w:type="dxa"/>
              <w:right w:w="20" w:type="dxa"/>
            </w:tcMar>
            <w:vAlign w:val="bottom"/>
          </w:tcPr>
          <w:p w14:paraId="59029B38" w14:textId="77777777" w:rsidR="0084406A" w:rsidRDefault="002B18AF">
            <w:pPr>
              <w:textAlignment w:val="bottom"/>
            </w:pPr>
            <w:r>
              <w:rPr>
                <w:rFonts w:ascii="Arial" w:eastAsia="宋体" w:hAnsi="Arial" w:cs="Arial"/>
                <w:color w:val="000000"/>
                <w:sz w:val="20"/>
                <w:szCs w:val="20"/>
              </w:rPr>
              <w:t>June 27, 2021 - September 25, 2021</w:t>
            </w:r>
          </w:p>
        </w:tc>
        <w:tc>
          <w:tcPr>
            <w:tcW w:w="0" w:type="auto"/>
            <w:gridSpan w:val="2"/>
            <w:shd w:val="clear" w:color="auto" w:fill="CCEEFF"/>
            <w:tcMar>
              <w:top w:w="40" w:type="dxa"/>
              <w:left w:w="20" w:type="dxa"/>
              <w:bottom w:w="40" w:type="dxa"/>
              <w:right w:w="0" w:type="dxa"/>
            </w:tcMar>
            <w:vAlign w:val="bottom"/>
          </w:tcPr>
          <w:p w14:paraId="59029B39" w14:textId="77777777" w:rsidR="0084406A" w:rsidRDefault="002B18AF">
            <w:pPr>
              <w:jc w:val="right"/>
              <w:textAlignment w:val="bottom"/>
            </w:pPr>
            <w:r>
              <w:rPr>
                <w:rFonts w:ascii="Arial" w:eastAsia="宋体" w:hAnsi="Arial" w:cs="Arial"/>
                <w:color w:val="000000"/>
                <w:sz w:val="20"/>
                <w:szCs w:val="20"/>
              </w:rPr>
              <w:t>7,165,899 </w:t>
            </w:r>
          </w:p>
        </w:tc>
        <w:tc>
          <w:tcPr>
            <w:tcW w:w="0" w:type="auto"/>
            <w:shd w:val="clear" w:color="auto" w:fill="CCEEFF"/>
            <w:tcMar>
              <w:top w:w="40" w:type="dxa"/>
              <w:left w:w="0" w:type="dxa"/>
              <w:bottom w:w="40" w:type="dxa"/>
              <w:right w:w="20" w:type="dxa"/>
            </w:tcMar>
            <w:vAlign w:val="bottom"/>
          </w:tcPr>
          <w:p w14:paraId="59029B3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3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B3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B3D" w14:textId="77777777" w:rsidR="0084406A" w:rsidRDefault="002B18AF">
            <w:pPr>
              <w:jc w:val="right"/>
              <w:textAlignment w:val="bottom"/>
            </w:pPr>
            <w:r>
              <w:rPr>
                <w:rFonts w:ascii="Arial" w:eastAsia="宋体" w:hAnsi="Arial" w:cs="Arial"/>
                <w:color w:val="000000"/>
                <w:sz w:val="20"/>
                <w:szCs w:val="20"/>
              </w:rPr>
              <w:t>104.66 </w:t>
            </w:r>
          </w:p>
        </w:tc>
        <w:tc>
          <w:tcPr>
            <w:tcW w:w="0" w:type="auto"/>
            <w:shd w:val="clear" w:color="auto" w:fill="CCEEFF"/>
            <w:tcMar>
              <w:top w:w="40" w:type="dxa"/>
              <w:left w:w="0" w:type="dxa"/>
              <w:bottom w:w="40" w:type="dxa"/>
              <w:right w:w="20" w:type="dxa"/>
            </w:tcMar>
            <w:vAlign w:val="bottom"/>
          </w:tcPr>
          <w:p w14:paraId="59029B3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3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B40" w14:textId="77777777" w:rsidR="0084406A" w:rsidRDefault="002B18AF">
            <w:pPr>
              <w:jc w:val="right"/>
              <w:textAlignment w:val="bottom"/>
            </w:pPr>
            <w:r>
              <w:rPr>
                <w:rFonts w:ascii="Arial" w:eastAsia="宋体" w:hAnsi="Arial" w:cs="Arial"/>
                <w:color w:val="000000"/>
                <w:sz w:val="20"/>
                <w:szCs w:val="20"/>
              </w:rPr>
              <w:t>7,165,899 </w:t>
            </w:r>
          </w:p>
        </w:tc>
        <w:tc>
          <w:tcPr>
            <w:tcW w:w="0" w:type="auto"/>
            <w:shd w:val="clear" w:color="auto" w:fill="CCEEFF"/>
            <w:tcMar>
              <w:top w:w="40" w:type="dxa"/>
              <w:left w:w="0" w:type="dxa"/>
              <w:bottom w:w="40" w:type="dxa"/>
              <w:right w:w="20" w:type="dxa"/>
            </w:tcMar>
            <w:vAlign w:val="bottom"/>
          </w:tcPr>
          <w:p w14:paraId="59029B4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42"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B4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B44" w14:textId="77777777" w:rsidR="0084406A" w:rsidRDefault="002B18AF">
            <w:pPr>
              <w:jc w:val="right"/>
              <w:textAlignment w:val="bottom"/>
            </w:pPr>
            <w:r>
              <w:rPr>
                <w:rFonts w:ascii="Arial" w:eastAsia="宋体" w:hAnsi="Arial" w:cs="Arial"/>
                <w:color w:val="000000"/>
                <w:sz w:val="20"/>
                <w:szCs w:val="20"/>
              </w:rPr>
              <w:t>2,994 </w:t>
            </w:r>
          </w:p>
        </w:tc>
        <w:tc>
          <w:tcPr>
            <w:tcW w:w="0" w:type="auto"/>
            <w:shd w:val="clear" w:color="auto" w:fill="CCEEFF"/>
            <w:tcMar>
              <w:top w:w="40" w:type="dxa"/>
              <w:left w:w="0" w:type="dxa"/>
              <w:bottom w:w="40" w:type="dxa"/>
              <w:right w:w="20" w:type="dxa"/>
            </w:tcMar>
            <w:vAlign w:val="bottom"/>
          </w:tcPr>
          <w:p w14:paraId="59029B45" w14:textId="77777777" w:rsidR="0084406A" w:rsidRDefault="0084406A">
            <w:pPr>
              <w:jc w:val="right"/>
              <w:rPr>
                <w:rFonts w:ascii="宋体"/>
              </w:rPr>
            </w:pPr>
          </w:p>
        </w:tc>
      </w:tr>
      <w:tr w:rsidR="0084406A" w14:paraId="59029B55" w14:textId="77777777">
        <w:tc>
          <w:tcPr>
            <w:tcW w:w="0" w:type="auto"/>
            <w:gridSpan w:val="3"/>
            <w:shd w:val="clear" w:color="auto" w:fill="FFFFFF"/>
            <w:tcMar>
              <w:top w:w="40" w:type="dxa"/>
              <w:left w:w="20" w:type="dxa"/>
              <w:bottom w:w="40" w:type="dxa"/>
              <w:right w:w="20" w:type="dxa"/>
            </w:tcMar>
            <w:vAlign w:val="bottom"/>
          </w:tcPr>
          <w:p w14:paraId="59029B47" w14:textId="77777777" w:rsidR="0084406A" w:rsidRDefault="002B18AF">
            <w:pPr>
              <w:textAlignment w:val="bottom"/>
            </w:pPr>
            <w:r>
              <w:rPr>
                <w:rFonts w:ascii="Arial" w:eastAsia="宋体" w:hAnsi="Arial" w:cs="Arial"/>
                <w:color w:val="000000"/>
                <w:sz w:val="20"/>
                <w:szCs w:val="20"/>
              </w:rPr>
              <w:t>September 26, 2021 - December 25, 2021</w:t>
            </w:r>
          </w:p>
        </w:tc>
        <w:tc>
          <w:tcPr>
            <w:tcW w:w="0" w:type="auto"/>
            <w:gridSpan w:val="2"/>
            <w:shd w:val="clear" w:color="auto" w:fill="FFFFFF"/>
            <w:tcMar>
              <w:top w:w="40" w:type="dxa"/>
              <w:left w:w="20" w:type="dxa"/>
              <w:bottom w:w="40" w:type="dxa"/>
              <w:right w:w="0" w:type="dxa"/>
            </w:tcMar>
            <w:vAlign w:val="bottom"/>
          </w:tcPr>
          <w:p w14:paraId="59029B48" w14:textId="77777777" w:rsidR="0084406A" w:rsidRDefault="002B18AF">
            <w:pPr>
              <w:jc w:val="right"/>
              <w:textAlignment w:val="bottom"/>
            </w:pPr>
            <w:r>
              <w:rPr>
                <w:rFonts w:ascii="Arial" w:eastAsia="宋体" w:hAnsi="Arial" w:cs="Arial"/>
                <w:color w:val="000000"/>
                <w:sz w:val="20"/>
                <w:szCs w:val="20"/>
              </w:rPr>
              <w:t>6,343,862 </w:t>
            </w:r>
          </w:p>
        </w:tc>
        <w:tc>
          <w:tcPr>
            <w:tcW w:w="0" w:type="auto"/>
            <w:shd w:val="clear" w:color="auto" w:fill="FFFFFF"/>
            <w:tcMar>
              <w:top w:w="40" w:type="dxa"/>
              <w:left w:w="0" w:type="dxa"/>
              <w:bottom w:w="40" w:type="dxa"/>
              <w:right w:w="20" w:type="dxa"/>
            </w:tcMar>
            <w:vAlign w:val="bottom"/>
          </w:tcPr>
          <w:p w14:paraId="59029B4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4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4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4C" w14:textId="77777777" w:rsidR="0084406A" w:rsidRDefault="002B18AF">
            <w:pPr>
              <w:jc w:val="right"/>
              <w:textAlignment w:val="bottom"/>
            </w:pPr>
            <w:r>
              <w:rPr>
                <w:rFonts w:ascii="Arial" w:eastAsia="宋体" w:hAnsi="Arial" w:cs="Arial"/>
                <w:color w:val="000000"/>
                <w:sz w:val="20"/>
                <w:szCs w:val="20"/>
              </w:rPr>
              <w:t>119.20 </w:t>
            </w:r>
          </w:p>
        </w:tc>
        <w:tc>
          <w:tcPr>
            <w:tcW w:w="0" w:type="auto"/>
            <w:shd w:val="clear" w:color="auto" w:fill="FFFFFF"/>
            <w:tcMar>
              <w:top w:w="40" w:type="dxa"/>
              <w:left w:w="0" w:type="dxa"/>
              <w:bottom w:w="40" w:type="dxa"/>
              <w:right w:w="20" w:type="dxa"/>
            </w:tcMar>
            <w:vAlign w:val="bottom"/>
          </w:tcPr>
          <w:p w14:paraId="59029B4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4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B4F" w14:textId="77777777" w:rsidR="0084406A" w:rsidRDefault="002B18AF">
            <w:pPr>
              <w:jc w:val="right"/>
              <w:textAlignment w:val="bottom"/>
            </w:pPr>
            <w:r>
              <w:rPr>
                <w:rFonts w:ascii="Arial" w:eastAsia="宋体" w:hAnsi="Arial" w:cs="Arial"/>
                <w:color w:val="000000"/>
                <w:sz w:val="20"/>
                <w:szCs w:val="20"/>
              </w:rPr>
              <w:t>6,343,862 </w:t>
            </w:r>
          </w:p>
        </w:tc>
        <w:tc>
          <w:tcPr>
            <w:tcW w:w="0" w:type="auto"/>
            <w:shd w:val="clear" w:color="auto" w:fill="FFFFFF"/>
            <w:tcMar>
              <w:top w:w="40" w:type="dxa"/>
              <w:left w:w="0" w:type="dxa"/>
              <w:bottom w:w="40" w:type="dxa"/>
              <w:right w:w="20" w:type="dxa"/>
            </w:tcMar>
            <w:vAlign w:val="bottom"/>
          </w:tcPr>
          <w:p w14:paraId="59029B5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51"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5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53" w14:textId="77777777" w:rsidR="0084406A" w:rsidRDefault="002B18AF">
            <w:pPr>
              <w:jc w:val="right"/>
              <w:textAlignment w:val="bottom"/>
            </w:pPr>
            <w:r>
              <w:rPr>
                <w:rFonts w:ascii="Arial" w:eastAsia="宋体" w:hAnsi="Arial" w:cs="Arial"/>
                <w:color w:val="000000"/>
                <w:sz w:val="20"/>
                <w:szCs w:val="20"/>
              </w:rPr>
              <w:t>2,238 </w:t>
            </w:r>
          </w:p>
        </w:tc>
        <w:tc>
          <w:tcPr>
            <w:tcW w:w="0" w:type="auto"/>
            <w:shd w:val="clear" w:color="auto" w:fill="FFFFFF"/>
            <w:tcMar>
              <w:top w:w="40" w:type="dxa"/>
              <w:left w:w="0" w:type="dxa"/>
              <w:bottom w:w="40" w:type="dxa"/>
              <w:right w:w="20" w:type="dxa"/>
            </w:tcMar>
            <w:vAlign w:val="bottom"/>
          </w:tcPr>
          <w:p w14:paraId="59029B54" w14:textId="77777777" w:rsidR="0084406A" w:rsidRDefault="0084406A">
            <w:pPr>
              <w:jc w:val="right"/>
              <w:rPr>
                <w:rFonts w:ascii="宋体"/>
              </w:rPr>
            </w:pPr>
          </w:p>
        </w:tc>
      </w:tr>
      <w:tr w:rsidR="0084406A" w14:paraId="59029B60" w14:textId="77777777">
        <w:tc>
          <w:tcPr>
            <w:tcW w:w="0" w:type="auto"/>
            <w:gridSpan w:val="3"/>
            <w:shd w:val="clear" w:color="auto" w:fill="CCEEFF"/>
            <w:tcMar>
              <w:top w:w="0" w:type="dxa"/>
              <w:left w:w="20" w:type="dxa"/>
              <w:bottom w:w="0" w:type="dxa"/>
              <w:right w:w="20" w:type="dxa"/>
            </w:tcMar>
            <w:vAlign w:val="bottom"/>
          </w:tcPr>
          <w:p w14:paraId="59029B56"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9B57" w14:textId="77777777" w:rsidR="0084406A" w:rsidRDefault="002B18AF">
            <w:pPr>
              <w:jc w:val="right"/>
              <w:textAlignment w:val="bottom"/>
            </w:pPr>
            <w:r>
              <w:rPr>
                <w:rFonts w:ascii="Arial" w:eastAsia="宋体" w:hAnsi="Arial" w:cs="Arial"/>
                <w:color w:val="000000"/>
                <w:sz w:val="20"/>
                <w:szCs w:val="20"/>
              </w:rPr>
              <w:t>16,744,657 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9B5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5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5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5B"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9B5C" w14:textId="77777777" w:rsidR="0084406A" w:rsidRDefault="002B18AF">
            <w:pPr>
              <w:jc w:val="right"/>
              <w:textAlignment w:val="bottom"/>
            </w:pPr>
            <w:r>
              <w:rPr>
                <w:rFonts w:ascii="Arial" w:eastAsia="宋体" w:hAnsi="Arial" w:cs="Arial"/>
                <w:color w:val="000000"/>
                <w:sz w:val="20"/>
                <w:szCs w:val="20"/>
              </w:rPr>
              <w:t>16,744,657 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9B5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5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5F" w14:textId="77777777" w:rsidR="0084406A" w:rsidRDefault="0084406A">
            <w:pPr>
              <w:rPr>
                <w:rFonts w:ascii="宋体"/>
              </w:rPr>
            </w:pPr>
          </w:p>
        </w:tc>
      </w:tr>
      <w:tr w:rsidR="0084406A" w14:paraId="59029B69" w14:textId="77777777">
        <w:trPr>
          <w:trHeight w:val="280"/>
        </w:trPr>
        <w:tc>
          <w:tcPr>
            <w:tcW w:w="0" w:type="auto"/>
            <w:gridSpan w:val="3"/>
            <w:shd w:val="clear" w:color="auto" w:fill="FFFFFF"/>
            <w:tcMar>
              <w:top w:w="0" w:type="dxa"/>
              <w:left w:w="20" w:type="dxa"/>
              <w:bottom w:w="0" w:type="dxa"/>
              <w:right w:w="20" w:type="dxa"/>
            </w:tcMar>
            <w:vAlign w:val="bottom"/>
          </w:tcPr>
          <w:p w14:paraId="59029B61"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9B62"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B63"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B64"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B65"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9B6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B6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B68" w14:textId="77777777" w:rsidR="0084406A" w:rsidRDefault="0084406A">
            <w:pPr>
              <w:rPr>
                <w:rFonts w:ascii="宋体"/>
              </w:rPr>
            </w:pPr>
          </w:p>
        </w:tc>
      </w:tr>
      <w:tr w:rsidR="0084406A" w14:paraId="59029B72" w14:textId="77777777">
        <w:tc>
          <w:tcPr>
            <w:tcW w:w="0" w:type="auto"/>
            <w:gridSpan w:val="3"/>
            <w:shd w:val="clear" w:color="auto" w:fill="CCEEFF"/>
            <w:tcMar>
              <w:top w:w="40" w:type="dxa"/>
              <w:left w:w="20" w:type="dxa"/>
              <w:bottom w:w="40" w:type="dxa"/>
              <w:right w:w="20" w:type="dxa"/>
            </w:tcMar>
            <w:vAlign w:val="bottom"/>
          </w:tcPr>
          <w:p w14:paraId="59029B6A" w14:textId="77777777" w:rsidR="0084406A" w:rsidRDefault="002B18AF">
            <w:pPr>
              <w:textAlignment w:val="bottom"/>
            </w:pPr>
            <w:r>
              <w:rPr>
                <w:rFonts w:ascii="Arial" w:eastAsia="宋体" w:hAnsi="Arial" w:cs="Arial"/>
                <w:color w:val="000000"/>
                <w:sz w:val="20"/>
                <w:szCs w:val="20"/>
              </w:rPr>
              <w:t xml:space="preserve">Repurchases during last fiscal quarter of 2021: </w:t>
            </w:r>
          </w:p>
        </w:tc>
        <w:tc>
          <w:tcPr>
            <w:tcW w:w="0" w:type="auto"/>
            <w:gridSpan w:val="3"/>
            <w:shd w:val="clear" w:color="auto" w:fill="CCEEFF"/>
            <w:tcMar>
              <w:top w:w="0" w:type="dxa"/>
              <w:left w:w="20" w:type="dxa"/>
              <w:bottom w:w="0" w:type="dxa"/>
              <w:right w:w="20" w:type="dxa"/>
            </w:tcMar>
            <w:vAlign w:val="bottom"/>
          </w:tcPr>
          <w:p w14:paraId="59029B6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6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6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6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6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7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71" w14:textId="77777777" w:rsidR="0084406A" w:rsidRDefault="0084406A">
            <w:pPr>
              <w:rPr>
                <w:rFonts w:ascii="宋体"/>
              </w:rPr>
            </w:pPr>
          </w:p>
        </w:tc>
      </w:tr>
      <w:tr w:rsidR="0084406A" w14:paraId="59029B81" w14:textId="77777777">
        <w:tc>
          <w:tcPr>
            <w:tcW w:w="0" w:type="auto"/>
            <w:gridSpan w:val="3"/>
            <w:shd w:val="clear" w:color="auto" w:fill="FFFFFF"/>
            <w:tcMar>
              <w:top w:w="40" w:type="dxa"/>
              <w:left w:w="20" w:type="dxa"/>
              <w:bottom w:w="40" w:type="dxa"/>
              <w:right w:w="20" w:type="dxa"/>
            </w:tcMar>
            <w:vAlign w:val="bottom"/>
          </w:tcPr>
          <w:p w14:paraId="59029B73" w14:textId="77777777" w:rsidR="0084406A" w:rsidRDefault="002B18AF">
            <w:pPr>
              <w:textAlignment w:val="bottom"/>
            </w:pPr>
            <w:r>
              <w:rPr>
                <w:rFonts w:ascii="Arial" w:eastAsia="宋体" w:hAnsi="Arial" w:cs="Arial"/>
                <w:color w:val="000000"/>
                <w:sz w:val="20"/>
                <w:szCs w:val="20"/>
              </w:rPr>
              <w:t>September 26, 2021 - October 30, 2021</w:t>
            </w:r>
          </w:p>
        </w:tc>
        <w:tc>
          <w:tcPr>
            <w:tcW w:w="0" w:type="auto"/>
            <w:gridSpan w:val="2"/>
            <w:shd w:val="clear" w:color="auto" w:fill="FFFFFF"/>
            <w:tcMar>
              <w:top w:w="40" w:type="dxa"/>
              <w:left w:w="20" w:type="dxa"/>
              <w:bottom w:w="40" w:type="dxa"/>
              <w:right w:w="0" w:type="dxa"/>
            </w:tcMar>
            <w:vAlign w:val="bottom"/>
          </w:tcPr>
          <w:p w14:paraId="59029B74" w14:textId="77777777" w:rsidR="0084406A" w:rsidRDefault="002B18AF">
            <w:pPr>
              <w:jc w:val="right"/>
              <w:textAlignment w:val="bottom"/>
            </w:pPr>
            <w:r>
              <w:rPr>
                <w:rFonts w:ascii="Arial" w:eastAsia="宋体" w:hAnsi="Arial" w:cs="Arial"/>
                <w:color w:val="000000"/>
                <w:sz w:val="20"/>
                <w:szCs w:val="20"/>
              </w:rPr>
              <w:t>4,226,341 </w:t>
            </w:r>
          </w:p>
        </w:tc>
        <w:tc>
          <w:tcPr>
            <w:tcW w:w="0" w:type="auto"/>
            <w:shd w:val="clear" w:color="auto" w:fill="FFFFFF"/>
            <w:tcMar>
              <w:top w:w="40" w:type="dxa"/>
              <w:left w:w="0" w:type="dxa"/>
              <w:bottom w:w="40" w:type="dxa"/>
              <w:right w:w="20" w:type="dxa"/>
            </w:tcMar>
            <w:vAlign w:val="bottom"/>
          </w:tcPr>
          <w:p w14:paraId="59029B7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76"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7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78" w14:textId="77777777" w:rsidR="0084406A" w:rsidRDefault="002B18AF">
            <w:pPr>
              <w:jc w:val="right"/>
              <w:textAlignment w:val="bottom"/>
            </w:pPr>
            <w:r>
              <w:rPr>
                <w:rFonts w:ascii="Arial" w:eastAsia="宋体" w:hAnsi="Arial" w:cs="Arial"/>
                <w:color w:val="000000"/>
                <w:sz w:val="20"/>
                <w:szCs w:val="20"/>
              </w:rPr>
              <w:t>106.57 </w:t>
            </w:r>
          </w:p>
        </w:tc>
        <w:tc>
          <w:tcPr>
            <w:tcW w:w="0" w:type="auto"/>
            <w:shd w:val="clear" w:color="auto" w:fill="FFFFFF"/>
            <w:tcMar>
              <w:top w:w="40" w:type="dxa"/>
              <w:left w:w="0" w:type="dxa"/>
              <w:bottom w:w="40" w:type="dxa"/>
              <w:right w:w="20" w:type="dxa"/>
            </w:tcMar>
            <w:vAlign w:val="bottom"/>
          </w:tcPr>
          <w:p w14:paraId="59029B7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7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B7B" w14:textId="77777777" w:rsidR="0084406A" w:rsidRDefault="002B18AF">
            <w:pPr>
              <w:jc w:val="right"/>
              <w:textAlignment w:val="bottom"/>
            </w:pPr>
            <w:r>
              <w:rPr>
                <w:rFonts w:ascii="Arial" w:eastAsia="宋体" w:hAnsi="Arial" w:cs="Arial"/>
                <w:color w:val="000000"/>
                <w:sz w:val="20"/>
                <w:szCs w:val="20"/>
              </w:rPr>
              <w:t>4,226,341 </w:t>
            </w:r>
          </w:p>
        </w:tc>
        <w:tc>
          <w:tcPr>
            <w:tcW w:w="0" w:type="auto"/>
            <w:shd w:val="clear" w:color="auto" w:fill="FFFFFF"/>
            <w:tcMar>
              <w:top w:w="40" w:type="dxa"/>
              <w:left w:w="0" w:type="dxa"/>
              <w:bottom w:w="40" w:type="dxa"/>
              <w:right w:w="20" w:type="dxa"/>
            </w:tcMar>
            <w:vAlign w:val="bottom"/>
          </w:tcPr>
          <w:p w14:paraId="59029B7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7D"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7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7F" w14:textId="77777777" w:rsidR="0084406A" w:rsidRDefault="002B18AF">
            <w:pPr>
              <w:jc w:val="right"/>
              <w:textAlignment w:val="bottom"/>
            </w:pPr>
            <w:r>
              <w:rPr>
                <w:rFonts w:ascii="Arial" w:eastAsia="宋体" w:hAnsi="Arial" w:cs="Arial"/>
                <w:color w:val="000000"/>
                <w:sz w:val="20"/>
                <w:szCs w:val="20"/>
              </w:rPr>
              <w:t>2,544 </w:t>
            </w:r>
          </w:p>
        </w:tc>
        <w:tc>
          <w:tcPr>
            <w:tcW w:w="0" w:type="auto"/>
            <w:shd w:val="clear" w:color="auto" w:fill="FFFFFF"/>
            <w:tcMar>
              <w:top w:w="40" w:type="dxa"/>
              <w:left w:w="0" w:type="dxa"/>
              <w:bottom w:w="40" w:type="dxa"/>
              <w:right w:w="20" w:type="dxa"/>
            </w:tcMar>
            <w:vAlign w:val="bottom"/>
          </w:tcPr>
          <w:p w14:paraId="59029B80" w14:textId="77777777" w:rsidR="0084406A" w:rsidRDefault="0084406A">
            <w:pPr>
              <w:jc w:val="right"/>
              <w:rPr>
                <w:rFonts w:ascii="宋体"/>
              </w:rPr>
            </w:pPr>
          </w:p>
        </w:tc>
      </w:tr>
      <w:tr w:rsidR="0084406A" w14:paraId="59029B90" w14:textId="77777777">
        <w:tc>
          <w:tcPr>
            <w:tcW w:w="0" w:type="auto"/>
            <w:gridSpan w:val="3"/>
            <w:shd w:val="clear" w:color="auto" w:fill="CCEEFF"/>
            <w:tcMar>
              <w:top w:w="40" w:type="dxa"/>
              <w:left w:w="20" w:type="dxa"/>
              <w:bottom w:w="40" w:type="dxa"/>
              <w:right w:w="20" w:type="dxa"/>
            </w:tcMar>
            <w:vAlign w:val="bottom"/>
          </w:tcPr>
          <w:p w14:paraId="59029B82" w14:textId="77777777" w:rsidR="0084406A" w:rsidRDefault="002B18AF">
            <w:pPr>
              <w:textAlignment w:val="bottom"/>
            </w:pPr>
            <w:r>
              <w:rPr>
                <w:rFonts w:ascii="Arial" w:eastAsia="宋体" w:hAnsi="Arial" w:cs="Arial"/>
                <w:color w:val="000000"/>
                <w:sz w:val="20"/>
                <w:szCs w:val="20"/>
              </w:rPr>
              <w:t>October 31, 2021 - November 27, 2021</w:t>
            </w:r>
          </w:p>
        </w:tc>
        <w:tc>
          <w:tcPr>
            <w:tcW w:w="0" w:type="auto"/>
            <w:gridSpan w:val="2"/>
            <w:shd w:val="clear" w:color="auto" w:fill="CCEEFF"/>
            <w:tcMar>
              <w:top w:w="40" w:type="dxa"/>
              <w:left w:w="20" w:type="dxa"/>
              <w:bottom w:w="40" w:type="dxa"/>
              <w:right w:w="0" w:type="dxa"/>
            </w:tcMar>
            <w:vAlign w:val="bottom"/>
          </w:tcPr>
          <w:p w14:paraId="59029B83" w14:textId="77777777" w:rsidR="0084406A" w:rsidRDefault="002B18AF">
            <w:pPr>
              <w:jc w:val="right"/>
              <w:textAlignment w:val="bottom"/>
            </w:pPr>
            <w:r>
              <w:rPr>
                <w:rFonts w:ascii="Arial" w:eastAsia="宋体" w:hAnsi="Arial" w:cs="Arial"/>
                <w:color w:val="000000"/>
                <w:sz w:val="20"/>
                <w:szCs w:val="20"/>
              </w:rPr>
              <w:t>2,117,521 </w:t>
            </w:r>
          </w:p>
        </w:tc>
        <w:tc>
          <w:tcPr>
            <w:tcW w:w="0" w:type="auto"/>
            <w:shd w:val="clear" w:color="auto" w:fill="CCEEFF"/>
            <w:tcMar>
              <w:top w:w="40" w:type="dxa"/>
              <w:left w:w="0" w:type="dxa"/>
              <w:bottom w:w="40" w:type="dxa"/>
              <w:right w:w="20" w:type="dxa"/>
            </w:tcMar>
            <w:vAlign w:val="bottom"/>
          </w:tcPr>
          <w:p w14:paraId="59029B8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8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B8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B87" w14:textId="77777777" w:rsidR="0084406A" w:rsidRDefault="002B18AF">
            <w:pPr>
              <w:jc w:val="right"/>
              <w:textAlignment w:val="bottom"/>
            </w:pPr>
            <w:r>
              <w:rPr>
                <w:rFonts w:ascii="Arial" w:eastAsia="宋体" w:hAnsi="Arial" w:cs="Arial"/>
                <w:color w:val="000000"/>
                <w:sz w:val="20"/>
                <w:szCs w:val="20"/>
              </w:rPr>
              <w:t>144.40 </w:t>
            </w:r>
          </w:p>
        </w:tc>
        <w:tc>
          <w:tcPr>
            <w:tcW w:w="0" w:type="auto"/>
            <w:shd w:val="clear" w:color="auto" w:fill="CCEEFF"/>
            <w:tcMar>
              <w:top w:w="40" w:type="dxa"/>
              <w:left w:w="0" w:type="dxa"/>
              <w:bottom w:w="40" w:type="dxa"/>
              <w:right w:w="20" w:type="dxa"/>
            </w:tcMar>
            <w:vAlign w:val="bottom"/>
          </w:tcPr>
          <w:p w14:paraId="59029B8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8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B8A" w14:textId="77777777" w:rsidR="0084406A" w:rsidRDefault="002B18AF">
            <w:pPr>
              <w:jc w:val="right"/>
              <w:textAlignment w:val="bottom"/>
            </w:pPr>
            <w:r>
              <w:rPr>
                <w:rFonts w:ascii="Arial" w:eastAsia="宋体" w:hAnsi="Arial" w:cs="Arial"/>
                <w:color w:val="000000"/>
                <w:sz w:val="20"/>
                <w:szCs w:val="20"/>
              </w:rPr>
              <w:t>2,117,521 </w:t>
            </w:r>
          </w:p>
        </w:tc>
        <w:tc>
          <w:tcPr>
            <w:tcW w:w="0" w:type="auto"/>
            <w:shd w:val="clear" w:color="auto" w:fill="CCEEFF"/>
            <w:tcMar>
              <w:top w:w="40" w:type="dxa"/>
              <w:left w:w="0" w:type="dxa"/>
              <w:bottom w:w="40" w:type="dxa"/>
              <w:right w:w="20" w:type="dxa"/>
            </w:tcMar>
            <w:vAlign w:val="bottom"/>
          </w:tcPr>
          <w:p w14:paraId="59029B8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8C"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B8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B8E" w14:textId="77777777" w:rsidR="0084406A" w:rsidRDefault="002B18AF">
            <w:pPr>
              <w:jc w:val="right"/>
              <w:textAlignment w:val="bottom"/>
            </w:pPr>
            <w:r>
              <w:rPr>
                <w:rFonts w:ascii="Arial" w:eastAsia="宋体" w:hAnsi="Arial" w:cs="Arial"/>
                <w:color w:val="000000"/>
                <w:sz w:val="20"/>
                <w:szCs w:val="20"/>
              </w:rPr>
              <w:t>2,238 </w:t>
            </w:r>
          </w:p>
        </w:tc>
        <w:tc>
          <w:tcPr>
            <w:tcW w:w="0" w:type="auto"/>
            <w:shd w:val="clear" w:color="auto" w:fill="CCEEFF"/>
            <w:tcMar>
              <w:top w:w="40" w:type="dxa"/>
              <w:left w:w="0" w:type="dxa"/>
              <w:bottom w:w="40" w:type="dxa"/>
              <w:right w:w="20" w:type="dxa"/>
            </w:tcMar>
            <w:vAlign w:val="bottom"/>
          </w:tcPr>
          <w:p w14:paraId="59029B8F" w14:textId="77777777" w:rsidR="0084406A" w:rsidRDefault="0084406A">
            <w:pPr>
              <w:jc w:val="right"/>
              <w:rPr>
                <w:rFonts w:ascii="宋体"/>
              </w:rPr>
            </w:pPr>
          </w:p>
        </w:tc>
      </w:tr>
      <w:tr w:rsidR="0084406A" w14:paraId="59029B9F" w14:textId="77777777">
        <w:tc>
          <w:tcPr>
            <w:tcW w:w="0" w:type="auto"/>
            <w:gridSpan w:val="3"/>
            <w:shd w:val="clear" w:color="auto" w:fill="FFFFFF"/>
            <w:tcMar>
              <w:top w:w="40" w:type="dxa"/>
              <w:left w:w="20" w:type="dxa"/>
              <w:bottom w:w="40" w:type="dxa"/>
              <w:right w:w="20" w:type="dxa"/>
            </w:tcMar>
            <w:vAlign w:val="bottom"/>
          </w:tcPr>
          <w:p w14:paraId="59029B91" w14:textId="77777777" w:rsidR="0084406A" w:rsidRDefault="002B18AF">
            <w:pPr>
              <w:textAlignment w:val="bottom"/>
            </w:pPr>
            <w:r>
              <w:rPr>
                <w:rFonts w:ascii="Arial" w:eastAsia="宋体" w:hAnsi="Arial" w:cs="Arial"/>
                <w:color w:val="000000"/>
                <w:sz w:val="20"/>
                <w:szCs w:val="20"/>
              </w:rPr>
              <w:t>November 28, 2021 - December 25, 2021</w:t>
            </w:r>
          </w:p>
        </w:tc>
        <w:tc>
          <w:tcPr>
            <w:tcW w:w="0" w:type="auto"/>
            <w:gridSpan w:val="2"/>
            <w:shd w:val="clear" w:color="auto" w:fill="FFFFFF"/>
            <w:tcMar>
              <w:top w:w="40" w:type="dxa"/>
              <w:left w:w="20" w:type="dxa"/>
              <w:bottom w:w="40" w:type="dxa"/>
              <w:right w:w="0" w:type="dxa"/>
            </w:tcMar>
            <w:vAlign w:val="bottom"/>
          </w:tcPr>
          <w:p w14:paraId="59029B92"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B9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94"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9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96"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B9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9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B9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B9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B9B"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B9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B9D" w14:textId="77777777" w:rsidR="0084406A" w:rsidRDefault="002B18AF">
            <w:pPr>
              <w:jc w:val="right"/>
              <w:textAlignment w:val="bottom"/>
            </w:pPr>
            <w:r>
              <w:rPr>
                <w:rFonts w:ascii="Arial" w:eastAsia="宋体" w:hAnsi="Arial" w:cs="Arial"/>
                <w:color w:val="000000"/>
                <w:sz w:val="20"/>
                <w:szCs w:val="20"/>
              </w:rPr>
              <w:t>2,238 </w:t>
            </w:r>
          </w:p>
        </w:tc>
        <w:tc>
          <w:tcPr>
            <w:tcW w:w="0" w:type="auto"/>
            <w:shd w:val="clear" w:color="auto" w:fill="FFFFFF"/>
            <w:tcMar>
              <w:top w:w="40" w:type="dxa"/>
              <w:left w:w="0" w:type="dxa"/>
              <w:bottom w:w="40" w:type="dxa"/>
              <w:right w:w="20" w:type="dxa"/>
            </w:tcMar>
            <w:vAlign w:val="bottom"/>
          </w:tcPr>
          <w:p w14:paraId="59029B9E" w14:textId="77777777" w:rsidR="0084406A" w:rsidRDefault="0084406A">
            <w:pPr>
              <w:jc w:val="right"/>
              <w:rPr>
                <w:rFonts w:ascii="宋体"/>
              </w:rPr>
            </w:pPr>
          </w:p>
        </w:tc>
      </w:tr>
      <w:tr w:rsidR="0084406A" w14:paraId="59029BAA" w14:textId="77777777">
        <w:tc>
          <w:tcPr>
            <w:tcW w:w="0" w:type="auto"/>
            <w:gridSpan w:val="3"/>
            <w:shd w:val="clear" w:color="auto" w:fill="CCEEFF"/>
            <w:tcMar>
              <w:top w:w="40" w:type="dxa"/>
              <w:left w:w="20" w:type="dxa"/>
              <w:bottom w:w="40" w:type="dxa"/>
              <w:right w:w="20" w:type="dxa"/>
            </w:tcMar>
            <w:vAlign w:val="bottom"/>
          </w:tcPr>
          <w:p w14:paraId="59029BA0" w14:textId="77777777" w:rsidR="0084406A" w:rsidRDefault="002B18AF">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BA1" w14:textId="77777777" w:rsidR="0084406A" w:rsidRDefault="002B18AF">
            <w:pPr>
              <w:jc w:val="right"/>
              <w:textAlignment w:val="bottom"/>
            </w:pPr>
            <w:r>
              <w:rPr>
                <w:rFonts w:ascii="Arial" w:eastAsia="宋体" w:hAnsi="Arial" w:cs="Arial"/>
                <w:color w:val="000000"/>
                <w:sz w:val="20"/>
                <w:szCs w:val="20"/>
              </w:rPr>
              <w:t>6,343,862 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BA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A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A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A5" w14:textId="77777777" w:rsidR="0084406A" w:rsidRDefault="0084406A">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BA6" w14:textId="77777777" w:rsidR="0084406A" w:rsidRDefault="002B18AF">
            <w:pPr>
              <w:jc w:val="right"/>
              <w:textAlignment w:val="bottom"/>
            </w:pPr>
            <w:r>
              <w:rPr>
                <w:rFonts w:ascii="Arial" w:eastAsia="宋体" w:hAnsi="Arial" w:cs="Arial"/>
                <w:color w:val="000000"/>
                <w:sz w:val="20"/>
                <w:szCs w:val="20"/>
              </w:rPr>
              <w:t>6,343,862 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BA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BA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BA9" w14:textId="77777777" w:rsidR="0084406A" w:rsidRDefault="0084406A">
            <w:pPr>
              <w:rPr>
                <w:rFonts w:ascii="宋体"/>
              </w:rPr>
            </w:pPr>
          </w:p>
        </w:tc>
      </w:tr>
    </w:tbl>
    <w:p w14:paraId="59029BAB" w14:textId="77777777" w:rsidR="0084406A" w:rsidRDefault="002B18AF">
      <w:pPr>
        <w:spacing w:before="180"/>
        <w:jc w:val="both"/>
      </w:pPr>
      <w:r>
        <w:rPr>
          <w:rFonts w:ascii="Arial" w:eastAsia="宋体" w:hAnsi="Arial" w:cs="Arial"/>
          <w:b/>
          <w:bCs/>
          <w:color w:val="000000"/>
          <w:sz w:val="20"/>
          <w:szCs w:val="20"/>
        </w:rPr>
        <w:t>Equity Award Share Withholding</w:t>
      </w:r>
    </w:p>
    <w:p w14:paraId="59029BAC" w14:textId="77777777" w:rsidR="0084406A" w:rsidRDefault="002B18AF">
      <w:pPr>
        <w:spacing w:before="180"/>
        <w:jc w:val="both"/>
      </w:pPr>
      <w:r>
        <w:rPr>
          <w:rFonts w:ascii="Arial" w:eastAsia="宋体" w:hAnsi="Arial" w:cs="Arial"/>
          <w:color w:val="000000"/>
          <w:sz w:val="20"/>
          <w:szCs w:val="20"/>
        </w:rPr>
        <w:t xml:space="preserve">Shares of </w:t>
      </w:r>
      <w:r>
        <w:rPr>
          <w:rFonts w:ascii="Arial" w:eastAsia="宋体" w:hAnsi="Arial" w:cs="Arial"/>
          <w:color w:val="000000"/>
          <w:sz w:val="20"/>
          <w:szCs w:val="20"/>
        </w:rPr>
        <w:t>common stock withheld as payment of withholding taxes in connection with the vesting or exercise of equity awards are also treated as common stock repurchases. Those withheld shares of common stock are not considered common stock repurchases under an autho</w:t>
      </w:r>
      <w:r>
        <w:rPr>
          <w:rFonts w:ascii="Arial" w:eastAsia="宋体" w:hAnsi="Arial" w:cs="Arial"/>
          <w:color w:val="000000"/>
          <w:sz w:val="20"/>
          <w:szCs w:val="20"/>
        </w:rPr>
        <w:t>rized common stock repurchase plan. During fiscal year 2021, we withheld 2 million shares as payment of withholding taxes in connection with the vesting and exercise of equity awards.</w:t>
      </w:r>
    </w:p>
    <w:p w14:paraId="59029BAD" w14:textId="77777777" w:rsidR="0084406A" w:rsidRDefault="002B18AF">
      <w:pPr>
        <w:spacing w:before="180"/>
      </w:pPr>
      <w:r>
        <w:rPr>
          <w:rFonts w:ascii="Arial" w:eastAsia="宋体" w:hAnsi="Arial" w:cs="Arial"/>
          <w:color w:val="000000"/>
          <w:sz w:val="20"/>
          <w:szCs w:val="20"/>
        </w:rPr>
        <w:t>For information about our equity compensation plans, see Part III, Item </w:t>
      </w:r>
      <w:r>
        <w:rPr>
          <w:rFonts w:ascii="Arial" w:eastAsia="宋体" w:hAnsi="Arial" w:cs="Arial"/>
          <w:color w:val="000000"/>
          <w:sz w:val="20"/>
          <w:szCs w:val="20"/>
        </w:rPr>
        <w:t>11, below.</w:t>
      </w:r>
    </w:p>
    <w:p w14:paraId="59029BAE" w14:textId="77777777" w:rsidR="0084406A" w:rsidRDefault="002B18AF">
      <w:pPr>
        <w:jc w:val="center"/>
      </w:pPr>
      <w:r>
        <w:rPr>
          <w:rFonts w:ascii="Arial" w:eastAsia="宋体" w:hAnsi="Arial" w:cs="Arial"/>
          <w:color w:val="000000"/>
          <w:sz w:val="20"/>
          <w:szCs w:val="20"/>
        </w:rPr>
        <w:t>37</w:t>
      </w:r>
    </w:p>
    <w:p w14:paraId="59029BAF" w14:textId="77777777" w:rsidR="0084406A" w:rsidRDefault="002B18AF">
      <w:r>
        <w:pict w14:anchorId="5902BB19">
          <v:rect id="_x0000_i1064" style="width:415.3pt;height:1.5pt" o:hralign="center" o:hrstd="t" o:hr="t" fillcolor="#a0a0a0" stroked="f"/>
        </w:pict>
      </w:r>
    </w:p>
    <w:p w14:paraId="59029BB0" w14:textId="77777777" w:rsidR="0084406A" w:rsidRDefault="0084406A"/>
    <w:p w14:paraId="59029BB1" w14:textId="77777777" w:rsidR="0084406A" w:rsidRDefault="002B18AF">
      <w:pPr>
        <w:spacing w:before="260"/>
        <w:jc w:val="center"/>
      </w:pPr>
      <w:r>
        <w:rPr>
          <w:rFonts w:ascii="Arial" w:eastAsia="宋体" w:hAnsi="Arial" w:cs="Arial"/>
          <w:b/>
          <w:bCs/>
          <w:color w:val="000000"/>
          <w:sz w:val="20"/>
          <w:szCs w:val="20"/>
        </w:rPr>
        <w:t xml:space="preserve">Performance Graph </w:t>
      </w:r>
    </w:p>
    <w:p w14:paraId="59029BB2" w14:textId="77777777" w:rsidR="0084406A" w:rsidRDefault="002B18AF">
      <w:pPr>
        <w:spacing w:before="90"/>
        <w:jc w:val="center"/>
      </w:pPr>
      <w:r>
        <w:rPr>
          <w:rFonts w:ascii="Arial" w:eastAsia="宋体" w:hAnsi="Arial" w:cs="Arial"/>
          <w:b/>
          <w:bCs/>
          <w:color w:val="000000"/>
          <w:sz w:val="20"/>
          <w:szCs w:val="20"/>
        </w:rPr>
        <w:t xml:space="preserve">Comparison of Five-Year Cumulative Total Returns </w:t>
      </w:r>
    </w:p>
    <w:p w14:paraId="59029BB3" w14:textId="77777777" w:rsidR="0084406A" w:rsidRDefault="002B18AF">
      <w:pPr>
        <w:jc w:val="center"/>
      </w:pPr>
      <w:r>
        <w:rPr>
          <w:rFonts w:ascii="Arial" w:eastAsia="宋体" w:hAnsi="Arial" w:cs="Arial"/>
          <w:b/>
          <w:bCs/>
          <w:color w:val="000000"/>
          <w:sz w:val="20"/>
          <w:szCs w:val="20"/>
        </w:rPr>
        <w:t xml:space="preserve">Advanced Micro Devices, S&amp;P 500 Index and S&amp;P 500 Semiconductor Index </w:t>
      </w:r>
    </w:p>
    <w:p w14:paraId="59029BB4" w14:textId="77777777" w:rsidR="0084406A" w:rsidRDefault="002B18AF">
      <w:pPr>
        <w:spacing w:before="180"/>
        <w:jc w:val="both"/>
      </w:pPr>
      <w:r>
        <w:rPr>
          <w:rFonts w:ascii="Arial" w:eastAsia="宋体" w:hAnsi="Arial" w:cs="Arial"/>
          <w:color w:val="000000"/>
          <w:sz w:val="20"/>
          <w:szCs w:val="20"/>
        </w:rPr>
        <w:t>The following graph shows a five-year comparison of cumulative total return on our common stock, th</w:t>
      </w:r>
      <w:r>
        <w:rPr>
          <w:rFonts w:ascii="Arial" w:eastAsia="宋体" w:hAnsi="Arial" w:cs="Arial"/>
          <w:color w:val="000000"/>
          <w:sz w:val="20"/>
          <w:szCs w:val="20"/>
        </w:rPr>
        <w:t>e S&amp;P 500 Index and the S&amp;P 500 Semiconductor Index from December 31, 2016 through December 25, 2021. The past performance of our common stock is no indication of future performance.</w:t>
      </w:r>
    </w:p>
    <w:p w14:paraId="59029BB5" w14:textId="77777777" w:rsidR="0084406A" w:rsidRDefault="002B18AF">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/AMD/./I</w:instrText>
      </w:r>
      <w:r>
        <w:rPr>
          <w:rFonts w:ascii="宋体" w:eastAsia="宋体" w:hAnsi="宋体" w:cs="宋体"/>
        </w:rPr>
        <w:instrText xml:space="preserve">nline XBRL Viewer4_files/amd-20211225_g2.jpg"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902BB1A" wp14:editId="5902BB1B">
            <wp:extent cx="304800" cy="304800"/>
            <wp:effectExtent l="0" t="0" r="0" b="0"/>
            <wp:docPr id="49" name="图片 1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2887"/>
        <w:gridCol w:w="38"/>
        <w:gridCol w:w="70"/>
        <w:gridCol w:w="895"/>
        <w:gridCol w:w="37"/>
        <w:gridCol w:w="82"/>
        <w:gridCol w:w="751"/>
        <w:gridCol w:w="36"/>
        <w:gridCol w:w="80"/>
        <w:gridCol w:w="754"/>
        <w:gridCol w:w="36"/>
        <w:gridCol w:w="84"/>
        <w:gridCol w:w="749"/>
        <w:gridCol w:w="36"/>
        <w:gridCol w:w="82"/>
        <w:gridCol w:w="751"/>
        <w:gridCol w:w="36"/>
        <w:gridCol w:w="80"/>
        <w:gridCol w:w="754"/>
        <w:gridCol w:w="36"/>
      </w:tblGrid>
      <w:tr w:rsidR="0084406A" w14:paraId="59029BCB" w14:textId="77777777">
        <w:trPr>
          <w:jc w:val="center"/>
        </w:trPr>
        <w:tc>
          <w:tcPr>
            <w:tcW w:w="50" w:type="pct"/>
            <w:shd w:val="clear" w:color="auto" w:fill="auto"/>
            <w:vAlign w:val="bottom"/>
          </w:tcPr>
          <w:p w14:paraId="59029BB6" w14:textId="77777777" w:rsidR="0084406A" w:rsidRDefault="0084406A">
            <w:pPr>
              <w:rPr>
                <w:rFonts w:ascii="宋体"/>
              </w:rPr>
            </w:pPr>
          </w:p>
        </w:tc>
        <w:tc>
          <w:tcPr>
            <w:tcW w:w="1743" w:type="pct"/>
            <w:shd w:val="clear" w:color="auto" w:fill="auto"/>
            <w:vAlign w:val="bottom"/>
          </w:tcPr>
          <w:p w14:paraId="59029BB7" w14:textId="77777777" w:rsidR="0084406A" w:rsidRDefault="0084406A">
            <w:pPr>
              <w:rPr>
                <w:rFonts w:ascii="宋体"/>
              </w:rPr>
            </w:pPr>
          </w:p>
        </w:tc>
        <w:tc>
          <w:tcPr>
            <w:tcW w:w="5" w:type="pct"/>
            <w:shd w:val="clear" w:color="auto" w:fill="auto"/>
            <w:vAlign w:val="bottom"/>
          </w:tcPr>
          <w:p w14:paraId="59029BB8" w14:textId="77777777" w:rsidR="0084406A" w:rsidRDefault="0084406A">
            <w:pPr>
              <w:rPr>
                <w:rFonts w:ascii="宋体"/>
              </w:rPr>
            </w:pPr>
          </w:p>
        </w:tc>
        <w:tc>
          <w:tcPr>
            <w:tcW w:w="50" w:type="pct"/>
            <w:shd w:val="clear" w:color="auto" w:fill="auto"/>
            <w:vAlign w:val="bottom"/>
          </w:tcPr>
          <w:p w14:paraId="59029BB9" w14:textId="77777777" w:rsidR="0084406A" w:rsidRDefault="0084406A">
            <w:pPr>
              <w:rPr>
                <w:rFonts w:ascii="宋体"/>
              </w:rPr>
            </w:pPr>
          </w:p>
        </w:tc>
        <w:tc>
          <w:tcPr>
            <w:tcW w:w="551" w:type="pct"/>
            <w:shd w:val="clear" w:color="auto" w:fill="auto"/>
            <w:vAlign w:val="bottom"/>
          </w:tcPr>
          <w:p w14:paraId="59029BBA" w14:textId="77777777" w:rsidR="0084406A" w:rsidRDefault="0084406A">
            <w:pPr>
              <w:rPr>
                <w:rFonts w:ascii="宋体"/>
              </w:rPr>
            </w:pPr>
          </w:p>
        </w:tc>
        <w:tc>
          <w:tcPr>
            <w:tcW w:w="5" w:type="pct"/>
            <w:shd w:val="clear" w:color="auto" w:fill="auto"/>
            <w:vAlign w:val="bottom"/>
          </w:tcPr>
          <w:p w14:paraId="59029BBB" w14:textId="77777777" w:rsidR="0084406A" w:rsidRDefault="0084406A">
            <w:pPr>
              <w:rPr>
                <w:rFonts w:ascii="宋体"/>
              </w:rPr>
            </w:pPr>
          </w:p>
        </w:tc>
        <w:tc>
          <w:tcPr>
            <w:tcW w:w="50" w:type="pct"/>
            <w:shd w:val="clear" w:color="auto" w:fill="auto"/>
            <w:vAlign w:val="bottom"/>
          </w:tcPr>
          <w:p w14:paraId="59029BBC" w14:textId="77777777" w:rsidR="0084406A" w:rsidRDefault="0084406A">
            <w:pPr>
              <w:rPr>
                <w:rFonts w:ascii="宋体"/>
              </w:rPr>
            </w:pPr>
          </w:p>
        </w:tc>
        <w:tc>
          <w:tcPr>
            <w:tcW w:w="463" w:type="pct"/>
            <w:shd w:val="clear" w:color="auto" w:fill="auto"/>
            <w:vAlign w:val="bottom"/>
          </w:tcPr>
          <w:p w14:paraId="59029BBD" w14:textId="77777777" w:rsidR="0084406A" w:rsidRDefault="0084406A">
            <w:pPr>
              <w:rPr>
                <w:rFonts w:ascii="宋体"/>
              </w:rPr>
            </w:pPr>
          </w:p>
        </w:tc>
        <w:tc>
          <w:tcPr>
            <w:tcW w:w="5" w:type="pct"/>
            <w:shd w:val="clear" w:color="auto" w:fill="auto"/>
            <w:vAlign w:val="bottom"/>
          </w:tcPr>
          <w:p w14:paraId="59029BBE" w14:textId="77777777" w:rsidR="0084406A" w:rsidRDefault="0084406A">
            <w:pPr>
              <w:rPr>
                <w:rFonts w:ascii="宋体"/>
              </w:rPr>
            </w:pPr>
          </w:p>
        </w:tc>
        <w:tc>
          <w:tcPr>
            <w:tcW w:w="50" w:type="pct"/>
            <w:shd w:val="clear" w:color="auto" w:fill="auto"/>
            <w:vAlign w:val="bottom"/>
          </w:tcPr>
          <w:p w14:paraId="59029BBF" w14:textId="77777777" w:rsidR="0084406A" w:rsidRDefault="0084406A">
            <w:pPr>
              <w:rPr>
                <w:rFonts w:ascii="宋体"/>
              </w:rPr>
            </w:pPr>
          </w:p>
        </w:tc>
        <w:tc>
          <w:tcPr>
            <w:tcW w:w="471" w:type="pct"/>
            <w:shd w:val="clear" w:color="auto" w:fill="auto"/>
            <w:vAlign w:val="bottom"/>
          </w:tcPr>
          <w:p w14:paraId="59029BC0" w14:textId="77777777" w:rsidR="0084406A" w:rsidRDefault="0084406A">
            <w:pPr>
              <w:rPr>
                <w:rFonts w:ascii="宋体"/>
              </w:rPr>
            </w:pPr>
          </w:p>
        </w:tc>
        <w:tc>
          <w:tcPr>
            <w:tcW w:w="5" w:type="pct"/>
            <w:shd w:val="clear" w:color="auto" w:fill="auto"/>
            <w:vAlign w:val="bottom"/>
          </w:tcPr>
          <w:p w14:paraId="59029BC1" w14:textId="77777777" w:rsidR="0084406A" w:rsidRDefault="0084406A">
            <w:pPr>
              <w:rPr>
                <w:rFonts w:ascii="宋体"/>
              </w:rPr>
            </w:pPr>
          </w:p>
        </w:tc>
        <w:tc>
          <w:tcPr>
            <w:tcW w:w="50" w:type="pct"/>
            <w:shd w:val="clear" w:color="auto" w:fill="auto"/>
            <w:vAlign w:val="bottom"/>
          </w:tcPr>
          <w:p w14:paraId="59029BC2" w14:textId="77777777" w:rsidR="0084406A" w:rsidRDefault="0084406A">
            <w:pPr>
              <w:rPr>
                <w:rFonts w:ascii="宋体"/>
              </w:rPr>
            </w:pPr>
          </w:p>
        </w:tc>
        <w:tc>
          <w:tcPr>
            <w:tcW w:w="449" w:type="pct"/>
            <w:shd w:val="clear" w:color="auto" w:fill="auto"/>
            <w:vAlign w:val="bottom"/>
          </w:tcPr>
          <w:p w14:paraId="59029BC3" w14:textId="77777777" w:rsidR="0084406A" w:rsidRDefault="0084406A">
            <w:pPr>
              <w:rPr>
                <w:rFonts w:ascii="宋体"/>
              </w:rPr>
            </w:pPr>
          </w:p>
        </w:tc>
        <w:tc>
          <w:tcPr>
            <w:tcW w:w="5" w:type="pct"/>
            <w:shd w:val="clear" w:color="auto" w:fill="auto"/>
            <w:vAlign w:val="bottom"/>
          </w:tcPr>
          <w:p w14:paraId="59029BC4" w14:textId="77777777" w:rsidR="0084406A" w:rsidRDefault="0084406A">
            <w:pPr>
              <w:rPr>
                <w:rFonts w:ascii="宋体"/>
              </w:rPr>
            </w:pPr>
          </w:p>
        </w:tc>
        <w:tc>
          <w:tcPr>
            <w:tcW w:w="50" w:type="pct"/>
            <w:shd w:val="clear" w:color="auto" w:fill="auto"/>
            <w:vAlign w:val="bottom"/>
          </w:tcPr>
          <w:p w14:paraId="59029BC5" w14:textId="77777777" w:rsidR="0084406A" w:rsidRDefault="0084406A">
            <w:pPr>
              <w:rPr>
                <w:rFonts w:ascii="宋体"/>
              </w:rPr>
            </w:pPr>
          </w:p>
        </w:tc>
        <w:tc>
          <w:tcPr>
            <w:tcW w:w="463" w:type="pct"/>
            <w:shd w:val="clear" w:color="auto" w:fill="auto"/>
            <w:vAlign w:val="bottom"/>
          </w:tcPr>
          <w:p w14:paraId="59029BC6" w14:textId="77777777" w:rsidR="0084406A" w:rsidRDefault="0084406A">
            <w:pPr>
              <w:rPr>
                <w:rFonts w:ascii="宋体"/>
              </w:rPr>
            </w:pPr>
          </w:p>
        </w:tc>
        <w:tc>
          <w:tcPr>
            <w:tcW w:w="5" w:type="pct"/>
            <w:shd w:val="clear" w:color="auto" w:fill="auto"/>
            <w:vAlign w:val="bottom"/>
          </w:tcPr>
          <w:p w14:paraId="59029BC7" w14:textId="77777777" w:rsidR="0084406A" w:rsidRDefault="0084406A">
            <w:pPr>
              <w:rPr>
                <w:rFonts w:ascii="宋体"/>
              </w:rPr>
            </w:pPr>
          </w:p>
        </w:tc>
        <w:tc>
          <w:tcPr>
            <w:tcW w:w="50" w:type="pct"/>
            <w:shd w:val="clear" w:color="auto" w:fill="auto"/>
            <w:vAlign w:val="bottom"/>
          </w:tcPr>
          <w:p w14:paraId="59029BC8" w14:textId="77777777" w:rsidR="0084406A" w:rsidRDefault="0084406A">
            <w:pPr>
              <w:rPr>
                <w:rFonts w:ascii="宋体"/>
              </w:rPr>
            </w:pPr>
          </w:p>
        </w:tc>
        <w:tc>
          <w:tcPr>
            <w:tcW w:w="471" w:type="pct"/>
            <w:shd w:val="clear" w:color="auto" w:fill="auto"/>
            <w:vAlign w:val="bottom"/>
          </w:tcPr>
          <w:p w14:paraId="59029BC9" w14:textId="77777777" w:rsidR="0084406A" w:rsidRDefault="0084406A">
            <w:pPr>
              <w:rPr>
                <w:rFonts w:ascii="宋体"/>
              </w:rPr>
            </w:pPr>
          </w:p>
        </w:tc>
        <w:tc>
          <w:tcPr>
            <w:tcW w:w="5" w:type="pct"/>
            <w:shd w:val="clear" w:color="auto" w:fill="auto"/>
            <w:vAlign w:val="bottom"/>
          </w:tcPr>
          <w:p w14:paraId="59029BCA" w14:textId="77777777" w:rsidR="0084406A" w:rsidRDefault="0084406A">
            <w:pPr>
              <w:rPr>
                <w:rFonts w:ascii="宋体"/>
              </w:rPr>
            </w:pPr>
          </w:p>
        </w:tc>
      </w:tr>
      <w:tr w:rsidR="0084406A" w14:paraId="59029BCF" w14:textId="77777777">
        <w:trPr>
          <w:jc w:val="center"/>
        </w:trPr>
        <w:tc>
          <w:tcPr>
            <w:tcW w:w="0" w:type="auto"/>
            <w:gridSpan w:val="3"/>
            <w:shd w:val="clear" w:color="auto" w:fill="auto"/>
            <w:tcMar>
              <w:top w:w="0" w:type="dxa"/>
              <w:left w:w="20" w:type="dxa"/>
              <w:bottom w:w="0" w:type="dxa"/>
              <w:right w:w="20" w:type="dxa"/>
            </w:tcMar>
            <w:vAlign w:val="bottom"/>
          </w:tcPr>
          <w:p w14:paraId="59029BC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9BCD" w14:textId="77777777" w:rsidR="0084406A" w:rsidRDefault="002B18AF">
            <w:pPr>
              <w:jc w:val="center"/>
              <w:textAlignment w:val="bottom"/>
            </w:pPr>
            <w:r>
              <w:rPr>
                <w:rFonts w:ascii="Arial" w:eastAsia="宋体" w:hAnsi="Arial" w:cs="Arial"/>
                <w:b/>
                <w:bCs/>
                <w:color w:val="000000"/>
                <w:sz w:val="16"/>
                <w:szCs w:val="16"/>
              </w:rPr>
              <w:t>Base Period</w:t>
            </w:r>
          </w:p>
        </w:tc>
        <w:tc>
          <w:tcPr>
            <w:tcW w:w="0" w:type="auto"/>
            <w:gridSpan w:val="15"/>
            <w:shd w:val="clear" w:color="auto" w:fill="auto"/>
            <w:tcMar>
              <w:top w:w="40" w:type="dxa"/>
              <w:left w:w="20" w:type="dxa"/>
              <w:bottom w:w="40" w:type="dxa"/>
              <w:right w:w="20" w:type="dxa"/>
            </w:tcMar>
            <w:vAlign w:val="bottom"/>
          </w:tcPr>
          <w:p w14:paraId="59029BCE" w14:textId="77777777" w:rsidR="0084406A" w:rsidRDefault="002B18AF">
            <w:pPr>
              <w:jc w:val="center"/>
              <w:textAlignment w:val="bottom"/>
            </w:pPr>
            <w:r>
              <w:rPr>
                <w:rFonts w:ascii="Arial" w:eastAsia="宋体" w:hAnsi="Arial" w:cs="Arial"/>
                <w:b/>
                <w:bCs/>
                <w:color w:val="000000"/>
                <w:sz w:val="16"/>
                <w:szCs w:val="16"/>
              </w:rPr>
              <w:t>Years Ended</w:t>
            </w:r>
          </w:p>
        </w:tc>
      </w:tr>
      <w:tr w:rsidR="0084406A" w14:paraId="59029BD7" w14:textId="77777777">
        <w:trPr>
          <w:jc w:val="center"/>
        </w:trPr>
        <w:tc>
          <w:tcPr>
            <w:tcW w:w="0" w:type="auto"/>
            <w:gridSpan w:val="3"/>
            <w:shd w:val="clear" w:color="auto" w:fill="auto"/>
            <w:tcMar>
              <w:top w:w="40" w:type="dxa"/>
              <w:left w:w="20" w:type="dxa"/>
              <w:bottom w:w="40" w:type="dxa"/>
              <w:right w:w="20" w:type="dxa"/>
            </w:tcMar>
            <w:vAlign w:val="bottom"/>
          </w:tcPr>
          <w:p w14:paraId="59029BD0" w14:textId="77777777" w:rsidR="0084406A" w:rsidRDefault="002B18AF">
            <w:pPr>
              <w:textAlignment w:val="bottom"/>
            </w:pPr>
            <w:r>
              <w:rPr>
                <w:rFonts w:ascii="Arial" w:eastAsia="宋体" w:hAnsi="Arial" w:cs="Arial"/>
                <w:b/>
                <w:bCs/>
                <w:color w:val="000000"/>
                <w:sz w:val="16"/>
                <w:szCs w:val="16"/>
              </w:rPr>
              <w:t>Company / Index</w:t>
            </w:r>
          </w:p>
        </w:tc>
        <w:tc>
          <w:tcPr>
            <w:tcW w:w="0" w:type="auto"/>
            <w:gridSpan w:val="3"/>
            <w:shd w:val="clear" w:color="auto" w:fill="auto"/>
            <w:tcMar>
              <w:top w:w="40" w:type="dxa"/>
              <w:left w:w="20" w:type="dxa"/>
              <w:bottom w:w="40" w:type="dxa"/>
              <w:right w:w="20" w:type="dxa"/>
            </w:tcMar>
            <w:vAlign w:val="bottom"/>
          </w:tcPr>
          <w:p w14:paraId="59029BD1" w14:textId="77777777" w:rsidR="0084406A" w:rsidRDefault="002B18AF">
            <w:pPr>
              <w:jc w:val="center"/>
              <w:textAlignment w:val="bottom"/>
            </w:pPr>
            <w:r>
              <w:rPr>
                <w:rFonts w:ascii="Arial" w:eastAsia="宋体" w:hAnsi="Arial" w:cs="Arial"/>
                <w:b/>
                <w:bCs/>
                <w:color w:val="000000"/>
                <w:sz w:val="16"/>
                <w:szCs w:val="16"/>
              </w:rPr>
              <w:t>12/31/2016</w:t>
            </w:r>
          </w:p>
        </w:tc>
        <w:tc>
          <w:tcPr>
            <w:tcW w:w="0" w:type="auto"/>
            <w:gridSpan w:val="3"/>
            <w:shd w:val="clear" w:color="auto" w:fill="auto"/>
            <w:tcMar>
              <w:top w:w="40" w:type="dxa"/>
              <w:left w:w="20" w:type="dxa"/>
              <w:bottom w:w="40" w:type="dxa"/>
              <w:right w:w="20" w:type="dxa"/>
            </w:tcMar>
            <w:vAlign w:val="bottom"/>
          </w:tcPr>
          <w:p w14:paraId="59029BD2" w14:textId="77777777" w:rsidR="0084406A" w:rsidRDefault="002B18AF">
            <w:pPr>
              <w:jc w:val="center"/>
              <w:textAlignment w:val="bottom"/>
            </w:pPr>
            <w:r>
              <w:rPr>
                <w:rFonts w:ascii="Arial" w:eastAsia="宋体" w:hAnsi="Arial" w:cs="Arial"/>
                <w:b/>
                <w:bCs/>
                <w:color w:val="000000"/>
                <w:sz w:val="16"/>
                <w:szCs w:val="16"/>
              </w:rPr>
              <w:t>12/30/2017</w:t>
            </w:r>
          </w:p>
        </w:tc>
        <w:tc>
          <w:tcPr>
            <w:tcW w:w="0" w:type="auto"/>
            <w:gridSpan w:val="3"/>
            <w:shd w:val="clear" w:color="auto" w:fill="auto"/>
            <w:tcMar>
              <w:top w:w="40" w:type="dxa"/>
              <w:left w:w="20" w:type="dxa"/>
              <w:bottom w:w="40" w:type="dxa"/>
              <w:right w:w="20" w:type="dxa"/>
            </w:tcMar>
            <w:vAlign w:val="bottom"/>
          </w:tcPr>
          <w:p w14:paraId="59029BD3" w14:textId="77777777" w:rsidR="0084406A" w:rsidRDefault="002B18AF">
            <w:pPr>
              <w:jc w:val="center"/>
              <w:textAlignment w:val="bottom"/>
            </w:pPr>
            <w:r>
              <w:rPr>
                <w:rFonts w:ascii="Arial" w:eastAsia="宋体" w:hAnsi="Arial" w:cs="Arial"/>
                <w:b/>
                <w:bCs/>
                <w:color w:val="000000"/>
                <w:sz w:val="16"/>
                <w:szCs w:val="16"/>
              </w:rPr>
              <w:t>12/29/2018</w:t>
            </w:r>
          </w:p>
        </w:tc>
        <w:tc>
          <w:tcPr>
            <w:tcW w:w="0" w:type="auto"/>
            <w:gridSpan w:val="3"/>
            <w:shd w:val="clear" w:color="auto" w:fill="auto"/>
            <w:tcMar>
              <w:top w:w="40" w:type="dxa"/>
              <w:left w:w="20" w:type="dxa"/>
              <w:bottom w:w="40" w:type="dxa"/>
              <w:right w:w="20" w:type="dxa"/>
            </w:tcMar>
            <w:vAlign w:val="bottom"/>
          </w:tcPr>
          <w:p w14:paraId="59029BD4" w14:textId="77777777" w:rsidR="0084406A" w:rsidRDefault="002B18AF">
            <w:pPr>
              <w:jc w:val="center"/>
              <w:textAlignment w:val="bottom"/>
            </w:pPr>
            <w:r>
              <w:rPr>
                <w:rFonts w:ascii="Arial" w:eastAsia="宋体" w:hAnsi="Arial" w:cs="Arial"/>
                <w:b/>
                <w:bCs/>
                <w:color w:val="000000"/>
                <w:sz w:val="16"/>
                <w:szCs w:val="16"/>
              </w:rPr>
              <w:t>12/28/2019</w:t>
            </w:r>
          </w:p>
        </w:tc>
        <w:tc>
          <w:tcPr>
            <w:tcW w:w="0" w:type="auto"/>
            <w:gridSpan w:val="3"/>
            <w:shd w:val="clear" w:color="auto" w:fill="auto"/>
            <w:tcMar>
              <w:top w:w="40" w:type="dxa"/>
              <w:left w:w="20" w:type="dxa"/>
              <w:bottom w:w="40" w:type="dxa"/>
              <w:right w:w="20" w:type="dxa"/>
            </w:tcMar>
            <w:vAlign w:val="bottom"/>
          </w:tcPr>
          <w:p w14:paraId="59029BD5" w14:textId="77777777" w:rsidR="0084406A" w:rsidRDefault="002B18AF">
            <w:pPr>
              <w:jc w:val="center"/>
              <w:textAlignment w:val="bottom"/>
            </w:pPr>
            <w:r>
              <w:rPr>
                <w:rFonts w:ascii="Arial" w:eastAsia="宋体" w:hAnsi="Arial" w:cs="Arial"/>
                <w:b/>
                <w:bCs/>
                <w:color w:val="000000"/>
                <w:sz w:val="16"/>
                <w:szCs w:val="16"/>
              </w:rPr>
              <w:t>12/26/2020</w:t>
            </w:r>
          </w:p>
        </w:tc>
        <w:tc>
          <w:tcPr>
            <w:tcW w:w="0" w:type="auto"/>
            <w:gridSpan w:val="3"/>
            <w:shd w:val="clear" w:color="auto" w:fill="auto"/>
            <w:tcMar>
              <w:top w:w="40" w:type="dxa"/>
              <w:left w:w="20" w:type="dxa"/>
              <w:bottom w:w="40" w:type="dxa"/>
              <w:right w:w="20" w:type="dxa"/>
            </w:tcMar>
            <w:vAlign w:val="bottom"/>
          </w:tcPr>
          <w:p w14:paraId="59029BD6" w14:textId="77777777" w:rsidR="0084406A" w:rsidRDefault="002B18AF">
            <w:pPr>
              <w:jc w:val="center"/>
              <w:textAlignment w:val="bottom"/>
            </w:pPr>
            <w:r>
              <w:rPr>
                <w:rFonts w:ascii="Arial" w:eastAsia="宋体" w:hAnsi="Arial" w:cs="Arial"/>
                <w:b/>
                <w:bCs/>
                <w:color w:val="000000"/>
                <w:sz w:val="16"/>
                <w:szCs w:val="16"/>
              </w:rPr>
              <w:t>12/25/2021</w:t>
            </w:r>
          </w:p>
        </w:tc>
      </w:tr>
      <w:tr w:rsidR="0084406A" w14:paraId="59029BE4" w14:textId="77777777">
        <w:trPr>
          <w:jc w:val="center"/>
        </w:trPr>
        <w:tc>
          <w:tcPr>
            <w:tcW w:w="0" w:type="auto"/>
            <w:gridSpan w:val="3"/>
            <w:tcBorders>
              <w:top w:val="single" w:sz="18" w:space="0" w:color="000000"/>
            </w:tcBorders>
            <w:shd w:val="clear" w:color="auto" w:fill="CCEEFF"/>
            <w:tcMar>
              <w:top w:w="40" w:type="dxa"/>
              <w:left w:w="20" w:type="dxa"/>
              <w:bottom w:w="40" w:type="dxa"/>
              <w:right w:w="20" w:type="dxa"/>
            </w:tcMar>
            <w:vAlign w:val="bottom"/>
          </w:tcPr>
          <w:p w14:paraId="59029BD8" w14:textId="77777777" w:rsidR="0084406A" w:rsidRDefault="002B18AF">
            <w:pPr>
              <w:textAlignment w:val="bottom"/>
            </w:pPr>
            <w:r>
              <w:rPr>
                <w:rFonts w:ascii="Arial" w:eastAsia="宋体" w:hAnsi="Arial" w:cs="Arial"/>
                <w:b/>
                <w:bCs/>
                <w:color w:val="000000"/>
                <w:sz w:val="20"/>
                <w:szCs w:val="20"/>
              </w:rPr>
              <w:t>Advanced Micro Devices, Inc.</w:t>
            </w:r>
          </w:p>
        </w:tc>
        <w:tc>
          <w:tcPr>
            <w:tcW w:w="0" w:type="auto"/>
            <w:gridSpan w:val="3"/>
            <w:tcBorders>
              <w:top w:val="single" w:sz="18" w:space="0" w:color="000000"/>
            </w:tcBorders>
            <w:shd w:val="clear" w:color="auto" w:fill="CCEEFF"/>
            <w:tcMar>
              <w:top w:w="40" w:type="dxa"/>
              <w:left w:w="20" w:type="dxa"/>
              <w:bottom w:w="40" w:type="dxa"/>
              <w:right w:w="20" w:type="dxa"/>
            </w:tcMar>
            <w:vAlign w:val="bottom"/>
          </w:tcPr>
          <w:p w14:paraId="59029BD9" w14:textId="77777777" w:rsidR="0084406A" w:rsidRDefault="002B18AF">
            <w:pPr>
              <w:jc w:val="center"/>
              <w:textAlignment w:val="bottom"/>
            </w:pPr>
            <w:r>
              <w:rPr>
                <w:rFonts w:ascii="Arial" w:eastAsia="宋体" w:hAnsi="Arial" w:cs="Arial"/>
                <w:color w:val="000000"/>
                <w:sz w:val="20"/>
                <w:szCs w:val="20"/>
              </w:rPr>
              <w:t>100</w:t>
            </w: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59029BDA" w14:textId="77777777" w:rsidR="0084406A" w:rsidRDefault="002B18AF">
            <w:pPr>
              <w:jc w:val="right"/>
              <w:textAlignment w:val="bottom"/>
            </w:pPr>
            <w:r>
              <w:rPr>
                <w:rFonts w:ascii="Arial" w:eastAsia="宋体" w:hAnsi="Arial" w:cs="Arial"/>
                <w:color w:val="000000"/>
                <w:sz w:val="20"/>
                <w:szCs w:val="20"/>
              </w:rPr>
              <w:t>91 </w:t>
            </w:r>
          </w:p>
        </w:tc>
        <w:tc>
          <w:tcPr>
            <w:tcW w:w="0" w:type="auto"/>
            <w:tcBorders>
              <w:top w:val="single" w:sz="18" w:space="0" w:color="000000"/>
            </w:tcBorders>
            <w:shd w:val="clear" w:color="auto" w:fill="CCEEFF"/>
            <w:tcMar>
              <w:top w:w="40" w:type="dxa"/>
              <w:left w:w="0" w:type="dxa"/>
              <w:bottom w:w="40" w:type="dxa"/>
              <w:right w:w="20" w:type="dxa"/>
            </w:tcMar>
            <w:vAlign w:val="bottom"/>
          </w:tcPr>
          <w:p w14:paraId="59029BDB" w14:textId="77777777" w:rsidR="0084406A" w:rsidRDefault="0084406A">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59029BDC" w14:textId="77777777" w:rsidR="0084406A" w:rsidRDefault="002B18AF">
            <w:pPr>
              <w:jc w:val="right"/>
              <w:textAlignment w:val="bottom"/>
            </w:pPr>
            <w:r>
              <w:rPr>
                <w:rFonts w:ascii="Arial" w:eastAsia="宋体" w:hAnsi="Arial" w:cs="Arial"/>
                <w:color w:val="000000"/>
                <w:sz w:val="20"/>
                <w:szCs w:val="20"/>
              </w:rPr>
              <w:t>157 </w:t>
            </w:r>
          </w:p>
        </w:tc>
        <w:tc>
          <w:tcPr>
            <w:tcW w:w="0" w:type="auto"/>
            <w:tcBorders>
              <w:top w:val="single" w:sz="18" w:space="0" w:color="000000"/>
            </w:tcBorders>
            <w:shd w:val="clear" w:color="auto" w:fill="CCEEFF"/>
            <w:tcMar>
              <w:top w:w="40" w:type="dxa"/>
              <w:left w:w="0" w:type="dxa"/>
              <w:bottom w:w="40" w:type="dxa"/>
              <w:right w:w="20" w:type="dxa"/>
            </w:tcMar>
            <w:vAlign w:val="bottom"/>
          </w:tcPr>
          <w:p w14:paraId="59029BDD" w14:textId="77777777" w:rsidR="0084406A" w:rsidRDefault="0084406A">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59029BDE" w14:textId="77777777" w:rsidR="0084406A" w:rsidRDefault="002B18AF">
            <w:pPr>
              <w:jc w:val="right"/>
              <w:textAlignment w:val="bottom"/>
            </w:pPr>
            <w:r>
              <w:rPr>
                <w:rFonts w:ascii="Arial" w:eastAsia="宋体" w:hAnsi="Arial" w:cs="Arial"/>
                <w:color w:val="000000"/>
                <w:sz w:val="20"/>
                <w:szCs w:val="20"/>
              </w:rPr>
              <w:t>407 </w:t>
            </w:r>
          </w:p>
        </w:tc>
        <w:tc>
          <w:tcPr>
            <w:tcW w:w="0" w:type="auto"/>
            <w:tcBorders>
              <w:top w:val="single" w:sz="18" w:space="0" w:color="000000"/>
            </w:tcBorders>
            <w:shd w:val="clear" w:color="auto" w:fill="CCEEFF"/>
            <w:tcMar>
              <w:top w:w="40" w:type="dxa"/>
              <w:left w:w="0" w:type="dxa"/>
              <w:bottom w:w="40" w:type="dxa"/>
              <w:right w:w="20" w:type="dxa"/>
            </w:tcMar>
            <w:vAlign w:val="bottom"/>
          </w:tcPr>
          <w:p w14:paraId="59029BDF" w14:textId="77777777" w:rsidR="0084406A" w:rsidRDefault="0084406A">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59029BE0" w14:textId="77777777" w:rsidR="0084406A" w:rsidRDefault="002B18AF">
            <w:pPr>
              <w:jc w:val="right"/>
              <w:textAlignment w:val="bottom"/>
            </w:pPr>
            <w:r>
              <w:rPr>
                <w:rFonts w:ascii="Arial" w:eastAsia="宋体" w:hAnsi="Arial" w:cs="Arial"/>
                <w:color w:val="000000"/>
                <w:sz w:val="20"/>
                <w:szCs w:val="20"/>
              </w:rPr>
              <w:t>810 </w:t>
            </w:r>
          </w:p>
        </w:tc>
        <w:tc>
          <w:tcPr>
            <w:tcW w:w="0" w:type="auto"/>
            <w:tcBorders>
              <w:top w:val="single" w:sz="18" w:space="0" w:color="000000"/>
            </w:tcBorders>
            <w:shd w:val="clear" w:color="auto" w:fill="CCEEFF"/>
            <w:tcMar>
              <w:top w:w="40" w:type="dxa"/>
              <w:left w:w="0" w:type="dxa"/>
              <w:bottom w:w="40" w:type="dxa"/>
              <w:right w:w="20" w:type="dxa"/>
            </w:tcMar>
            <w:vAlign w:val="bottom"/>
          </w:tcPr>
          <w:p w14:paraId="59029BE1" w14:textId="77777777" w:rsidR="0084406A" w:rsidRDefault="0084406A">
            <w:pPr>
              <w:jc w:val="right"/>
              <w:rPr>
                <w:rFonts w:ascii="宋体"/>
              </w:rPr>
            </w:pPr>
          </w:p>
        </w:tc>
        <w:tc>
          <w:tcPr>
            <w:tcW w:w="0" w:type="auto"/>
            <w:gridSpan w:val="2"/>
            <w:tcBorders>
              <w:top w:val="single" w:sz="18" w:space="0" w:color="000000"/>
            </w:tcBorders>
            <w:shd w:val="clear" w:color="auto" w:fill="CCEEFF"/>
            <w:tcMar>
              <w:top w:w="40" w:type="dxa"/>
              <w:left w:w="20" w:type="dxa"/>
              <w:bottom w:w="40" w:type="dxa"/>
              <w:right w:w="0" w:type="dxa"/>
            </w:tcMar>
            <w:vAlign w:val="bottom"/>
          </w:tcPr>
          <w:p w14:paraId="59029BE2" w14:textId="77777777" w:rsidR="0084406A" w:rsidRDefault="002B18AF">
            <w:pPr>
              <w:jc w:val="right"/>
              <w:textAlignment w:val="bottom"/>
            </w:pPr>
            <w:r>
              <w:rPr>
                <w:rFonts w:ascii="Arial" w:eastAsia="宋体" w:hAnsi="Arial" w:cs="Arial"/>
                <w:color w:val="000000"/>
                <w:sz w:val="20"/>
                <w:szCs w:val="20"/>
              </w:rPr>
              <w:t>1,289 </w:t>
            </w:r>
          </w:p>
        </w:tc>
        <w:tc>
          <w:tcPr>
            <w:tcW w:w="0" w:type="auto"/>
            <w:tcBorders>
              <w:top w:val="single" w:sz="18" w:space="0" w:color="000000"/>
            </w:tcBorders>
            <w:shd w:val="clear" w:color="auto" w:fill="CCEEFF"/>
            <w:tcMar>
              <w:top w:w="40" w:type="dxa"/>
              <w:left w:w="0" w:type="dxa"/>
              <w:bottom w:w="40" w:type="dxa"/>
              <w:right w:w="20" w:type="dxa"/>
            </w:tcMar>
            <w:vAlign w:val="bottom"/>
          </w:tcPr>
          <w:p w14:paraId="59029BE3" w14:textId="77777777" w:rsidR="0084406A" w:rsidRDefault="0084406A">
            <w:pPr>
              <w:jc w:val="right"/>
              <w:rPr>
                <w:rFonts w:ascii="宋体"/>
              </w:rPr>
            </w:pPr>
          </w:p>
        </w:tc>
      </w:tr>
      <w:tr w:rsidR="0084406A" w14:paraId="59029BF1" w14:textId="77777777">
        <w:trPr>
          <w:jc w:val="center"/>
        </w:trPr>
        <w:tc>
          <w:tcPr>
            <w:tcW w:w="0" w:type="auto"/>
            <w:gridSpan w:val="3"/>
            <w:shd w:val="clear" w:color="auto" w:fill="FFFFFF"/>
            <w:tcMar>
              <w:top w:w="40" w:type="dxa"/>
              <w:left w:w="20" w:type="dxa"/>
              <w:bottom w:w="40" w:type="dxa"/>
              <w:right w:w="20" w:type="dxa"/>
            </w:tcMar>
            <w:vAlign w:val="bottom"/>
          </w:tcPr>
          <w:p w14:paraId="59029BE5" w14:textId="77777777" w:rsidR="0084406A" w:rsidRDefault="002B18AF">
            <w:pPr>
              <w:textAlignment w:val="bottom"/>
            </w:pPr>
            <w:r>
              <w:rPr>
                <w:rFonts w:ascii="Arial" w:eastAsia="宋体" w:hAnsi="Arial" w:cs="Arial"/>
                <w:b/>
                <w:bCs/>
                <w:color w:val="000000"/>
                <w:sz w:val="20"/>
                <w:szCs w:val="20"/>
              </w:rPr>
              <w:t>S&amp;P 500 Index</w:t>
            </w:r>
          </w:p>
        </w:tc>
        <w:tc>
          <w:tcPr>
            <w:tcW w:w="0" w:type="auto"/>
            <w:gridSpan w:val="3"/>
            <w:shd w:val="clear" w:color="auto" w:fill="FFFFFF"/>
            <w:tcMar>
              <w:top w:w="40" w:type="dxa"/>
              <w:left w:w="20" w:type="dxa"/>
              <w:bottom w:w="40" w:type="dxa"/>
              <w:right w:w="20" w:type="dxa"/>
            </w:tcMar>
            <w:vAlign w:val="bottom"/>
          </w:tcPr>
          <w:p w14:paraId="59029BE6" w14:textId="77777777" w:rsidR="0084406A" w:rsidRDefault="002B18AF">
            <w:pPr>
              <w:jc w:val="center"/>
              <w:textAlignment w:val="bottom"/>
            </w:pPr>
            <w:r>
              <w:rPr>
                <w:rFonts w:ascii="Arial" w:eastAsia="宋体" w:hAnsi="Arial" w:cs="Arial"/>
                <w:color w:val="000000"/>
                <w:sz w:val="20"/>
                <w:szCs w:val="20"/>
              </w:rPr>
              <w:t>100</w:t>
            </w:r>
          </w:p>
        </w:tc>
        <w:tc>
          <w:tcPr>
            <w:tcW w:w="0" w:type="auto"/>
            <w:gridSpan w:val="2"/>
            <w:shd w:val="clear" w:color="auto" w:fill="FFFFFF"/>
            <w:tcMar>
              <w:top w:w="40" w:type="dxa"/>
              <w:left w:w="20" w:type="dxa"/>
              <w:bottom w:w="40" w:type="dxa"/>
              <w:right w:w="0" w:type="dxa"/>
            </w:tcMar>
            <w:vAlign w:val="bottom"/>
          </w:tcPr>
          <w:p w14:paraId="59029BE7" w14:textId="77777777" w:rsidR="0084406A" w:rsidRDefault="002B18AF">
            <w:pPr>
              <w:jc w:val="right"/>
              <w:textAlignment w:val="bottom"/>
            </w:pPr>
            <w:r>
              <w:rPr>
                <w:rFonts w:ascii="Arial" w:eastAsia="宋体" w:hAnsi="Arial" w:cs="Arial"/>
                <w:color w:val="000000"/>
                <w:sz w:val="20"/>
                <w:szCs w:val="20"/>
              </w:rPr>
              <w:t>122 </w:t>
            </w:r>
          </w:p>
        </w:tc>
        <w:tc>
          <w:tcPr>
            <w:tcW w:w="0" w:type="auto"/>
            <w:shd w:val="clear" w:color="auto" w:fill="FFFFFF"/>
            <w:tcMar>
              <w:top w:w="40" w:type="dxa"/>
              <w:left w:w="0" w:type="dxa"/>
              <w:bottom w:w="40" w:type="dxa"/>
              <w:right w:w="20" w:type="dxa"/>
            </w:tcMar>
            <w:vAlign w:val="bottom"/>
          </w:tcPr>
          <w:p w14:paraId="59029BE8" w14:textId="77777777" w:rsidR="0084406A" w:rsidRDefault="0084406A">
            <w:pPr>
              <w:jc w:val="right"/>
              <w:rPr>
                <w:rFonts w:ascii="宋体"/>
              </w:rPr>
            </w:pPr>
          </w:p>
        </w:tc>
        <w:tc>
          <w:tcPr>
            <w:tcW w:w="0" w:type="auto"/>
            <w:gridSpan w:val="2"/>
            <w:shd w:val="clear" w:color="auto" w:fill="FFFFFF"/>
            <w:tcMar>
              <w:top w:w="40" w:type="dxa"/>
              <w:left w:w="20" w:type="dxa"/>
              <w:bottom w:w="40" w:type="dxa"/>
              <w:right w:w="0" w:type="dxa"/>
            </w:tcMar>
            <w:vAlign w:val="bottom"/>
          </w:tcPr>
          <w:p w14:paraId="59029BE9" w14:textId="77777777" w:rsidR="0084406A" w:rsidRDefault="002B18AF">
            <w:pPr>
              <w:jc w:val="right"/>
              <w:textAlignment w:val="bottom"/>
            </w:pPr>
            <w:r>
              <w:rPr>
                <w:rFonts w:ascii="Arial" w:eastAsia="宋体" w:hAnsi="Arial" w:cs="Arial"/>
                <w:color w:val="000000"/>
                <w:sz w:val="20"/>
                <w:szCs w:val="20"/>
              </w:rPr>
              <w:t>115 </w:t>
            </w:r>
          </w:p>
        </w:tc>
        <w:tc>
          <w:tcPr>
            <w:tcW w:w="0" w:type="auto"/>
            <w:shd w:val="clear" w:color="auto" w:fill="FFFFFF"/>
            <w:tcMar>
              <w:top w:w="40" w:type="dxa"/>
              <w:left w:w="0" w:type="dxa"/>
              <w:bottom w:w="40" w:type="dxa"/>
              <w:right w:w="20" w:type="dxa"/>
            </w:tcMar>
            <w:vAlign w:val="bottom"/>
          </w:tcPr>
          <w:p w14:paraId="59029BEA" w14:textId="77777777" w:rsidR="0084406A" w:rsidRDefault="0084406A">
            <w:pPr>
              <w:jc w:val="right"/>
              <w:rPr>
                <w:rFonts w:ascii="宋体"/>
              </w:rPr>
            </w:pPr>
          </w:p>
        </w:tc>
        <w:tc>
          <w:tcPr>
            <w:tcW w:w="0" w:type="auto"/>
            <w:gridSpan w:val="2"/>
            <w:shd w:val="clear" w:color="auto" w:fill="FFFFFF"/>
            <w:tcMar>
              <w:top w:w="40" w:type="dxa"/>
              <w:left w:w="20" w:type="dxa"/>
              <w:bottom w:w="40" w:type="dxa"/>
              <w:right w:w="0" w:type="dxa"/>
            </w:tcMar>
            <w:vAlign w:val="bottom"/>
          </w:tcPr>
          <w:p w14:paraId="59029BEB" w14:textId="77777777" w:rsidR="0084406A" w:rsidRDefault="002B18AF">
            <w:pPr>
              <w:jc w:val="right"/>
              <w:textAlignment w:val="bottom"/>
            </w:pPr>
            <w:r>
              <w:rPr>
                <w:rFonts w:ascii="Arial" w:eastAsia="宋体" w:hAnsi="Arial" w:cs="Arial"/>
                <w:color w:val="000000"/>
                <w:sz w:val="20"/>
                <w:szCs w:val="20"/>
              </w:rPr>
              <w:t>154 </w:t>
            </w:r>
          </w:p>
        </w:tc>
        <w:tc>
          <w:tcPr>
            <w:tcW w:w="0" w:type="auto"/>
            <w:shd w:val="clear" w:color="auto" w:fill="FFFFFF"/>
            <w:tcMar>
              <w:top w:w="40" w:type="dxa"/>
              <w:left w:w="0" w:type="dxa"/>
              <w:bottom w:w="40" w:type="dxa"/>
              <w:right w:w="20" w:type="dxa"/>
            </w:tcMar>
            <w:vAlign w:val="bottom"/>
          </w:tcPr>
          <w:p w14:paraId="59029BEC" w14:textId="77777777" w:rsidR="0084406A" w:rsidRDefault="0084406A">
            <w:pPr>
              <w:jc w:val="right"/>
              <w:rPr>
                <w:rFonts w:ascii="宋体"/>
              </w:rPr>
            </w:pPr>
          </w:p>
        </w:tc>
        <w:tc>
          <w:tcPr>
            <w:tcW w:w="0" w:type="auto"/>
            <w:gridSpan w:val="2"/>
            <w:shd w:val="clear" w:color="auto" w:fill="FFFFFF"/>
            <w:tcMar>
              <w:top w:w="40" w:type="dxa"/>
              <w:left w:w="20" w:type="dxa"/>
              <w:bottom w:w="40" w:type="dxa"/>
              <w:right w:w="0" w:type="dxa"/>
            </w:tcMar>
            <w:vAlign w:val="bottom"/>
          </w:tcPr>
          <w:p w14:paraId="59029BED" w14:textId="77777777" w:rsidR="0084406A" w:rsidRDefault="002B18AF">
            <w:pPr>
              <w:jc w:val="right"/>
              <w:textAlignment w:val="bottom"/>
            </w:pPr>
            <w:r>
              <w:rPr>
                <w:rFonts w:ascii="Arial" w:eastAsia="宋体" w:hAnsi="Arial" w:cs="Arial"/>
                <w:color w:val="000000"/>
                <w:sz w:val="20"/>
                <w:szCs w:val="20"/>
              </w:rPr>
              <w:t>179 </w:t>
            </w:r>
          </w:p>
        </w:tc>
        <w:tc>
          <w:tcPr>
            <w:tcW w:w="0" w:type="auto"/>
            <w:shd w:val="clear" w:color="auto" w:fill="FFFFFF"/>
            <w:tcMar>
              <w:top w:w="40" w:type="dxa"/>
              <w:left w:w="0" w:type="dxa"/>
              <w:bottom w:w="40" w:type="dxa"/>
              <w:right w:w="20" w:type="dxa"/>
            </w:tcMar>
            <w:vAlign w:val="bottom"/>
          </w:tcPr>
          <w:p w14:paraId="59029BEE" w14:textId="77777777" w:rsidR="0084406A" w:rsidRDefault="0084406A">
            <w:pPr>
              <w:jc w:val="right"/>
              <w:rPr>
                <w:rFonts w:ascii="宋体"/>
              </w:rPr>
            </w:pPr>
          </w:p>
        </w:tc>
        <w:tc>
          <w:tcPr>
            <w:tcW w:w="0" w:type="auto"/>
            <w:gridSpan w:val="2"/>
            <w:shd w:val="clear" w:color="auto" w:fill="FFFFFF"/>
            <w:tcMar>
              <w:top w:w="40" w:type="dxa"/>
              <w:left w:w="20" w:type="dxa"/>
              <w:bottom w:w="40" w:type="dxa"/>
              <w:right w:w="0" w:type="dxa"/>
            </w:tcMar>
            <w:vAlign w:val="bottom"/>
          </w:tcPr>
          <w:p w14:paraId="59029BEF" w14:textId="77777777" w:rsidR="0084406A" w:rsidRDefault="002B18AF">
            <w:pPr>
              <w:jc w:val="right"/>
              <w:textAlignment w:val="bottom"/>
            </w:pPr>
            <w:r>
              <w:rPr>
                <w:rFonts w:ascii="Arial" w:eastAsia="宋体" w:hAnsi="Arial" w:cs="Arial"/>
                <w:color w:val="000000"/>
                <w:sz w:val="20"/>
                <w:szCs w:val="20"/>
              </w:rPr>
              <w:t>231 </w:t>
            </w:r>
          </w:p>
        </w:tc>
        <w:tc>
          <w:tcPr>
            <w:tcW w:w="0" w:type="auto"/>
            <w:shd w:val="clear" w:color="auto" w:fill="FFFFFF"/>
            <w:tcMar>
              <w:top w:w="40" w:type="dxa"/>
              <w:left w:w="0" w:type="dxa"/>
              <w:bottom w:w="40" w:type="dxa"/>
              <w:right w:w="20" w:type="dxa"/>
            </w:tcMar>
            <w:vAlign w:val="bottom"/>
          </w:tcPr>
          <w:p w14:paraId="59029BF0" w14:textId="77777777" w:rsidR="0084406A" w:rsidRDefault="0084406A">
            <w:pPr>
              <w:jc w:val="right"/>
              <w:rPr>
                <w:rFonts w:ascii="宋体"/>
              </w:rPr>
            </w:pPr>
          </w:p>
        </w:tc>
      </w:tr>
      <w:tr w:rsidR="0084406A" w14:paraId="59029BFE" w14:textId="77777777">
        <w:trPr>
          <w:jc w:val="center"/>
        </w:trPr>
        <w:tc>
          <w:tcPr>
            <w:tcW w:w="0" w:type="auto"/>
            <w:gridSpan w:val="3"/>
            <w:shd w:val="clear" w:color="auto" w:fill="CCEEFF"/>
            <w:tcMar>
              <w:top w:w="40" w:type="dxa"/>
              <w:left w:w="20" w:type="dxa"/>
              <w:bottom w:w="40" w:type="dxa"/>
              <w:right w:w="20" w:type="dxa"/>
            </w:tcMar>
            <w:vAlign w:val="bottom"/>
          </w:tcPr>
          <w:p w14:paraId="59029BF2" w14:textId="77777777" w:rsidR="0084406A" w:rsidRDefault="002B18AF">
            <w:pPr>
              <w:textAlignment w:val="bottom"/>
            </w:pPr>
            <w:r>
              <w:rPr>
                <w:rFonts w:ascii="Arial" w:eastAsia="宋体" w:hAnsi="Arial" w:cs="Arial"/>
                <w:b/>
                <w:bCs/>
                <w:color w:val="000000"/>
                <w:sz w:val="20"/>
                <w:szCs w:val="20"/>
              </w:rPr>
              <w:t>S&amp;P 500 Semiconductors Index</w:t>
            </w:r>
          </w:p>
        </w:tc>
        <w:tc>
          <w:tcPr>
            <w:tcW w:w="0" w:type="auto"/>
            <w:gridSpan w:val="3"/>
            <w:shd w:val="clear" w:color="auto" w:fill="CCEEFF"/>
            <w:tcMar>
              <w:top w:w="40" w:type="dxa"/>
              <w:left w:w="20" w:type="dxa"/>
              <w:bottom w:w="40" w:type="dxa"/>
              <w:right w:w="20" w:type="dxa"/>
            </w:tcMar>
            <w:vAlign w:val="bottom"/>
          </w:tcPr>
          <w:p w14:paraId="59029BF3" w14:textId="77777777" w:rsidR="0084406A" w:rsidRDefault="002B18AF">
            <w:pPr>
              <w:jc w:val="center"/>
              <w:textAlignment w:val="bottom"/>
            </w:pPr>
            <w:r>
              <w:rPr>
                <w:rFonts w:ascii="Arial" w:eastAsia="宋体" w:hAnsi="Arial" w:cs="Arial"/>
                <w:color w:val="000000"/>
                <w:sz w:val="20"/>
                <w:szCs w:val="20"/>
              </w:rPr>
              <w:t>100</w:t>
            </w:r>
          </w:p>
        </w:tc>
        <w:tc>
          <w:tcPr>
            <w:tcW w:w="0" w:type="auto"/>
            <w:gridSpan w:val="2"/>
            <w:shd w:val="clear" w:color="auto" w:fill="CCEEFF"/>
            <w:tcMar>
              <w:top w:w="40" w:type="dxa"/>
              <w:left w:w="20" w:type="dxa"/>
              <w:bottom w:w="40" w:type="dxa"/>
              <w:right w:w="0" w:type="dxa"/>
            </w:tcMar>
            <w:vAlign w:val="bottom"/>
          </w:tcPr>
          <w:p w14:paraId="59029BF4" w14:textId="77777777" w:rsidR="0084406A" w:rsidRDefault="002B18AF">
            <w:pPr>
              <w:jc w:val="right"/>
              <w:textAlignment w:val="bottom"/>
            </w:pPr>
            <w:r>
              <w:rPr>
                <w:rFonts w:ascii="Arial" w:eastAsia="宋体" w:hAnsi="Arial" w:cs="Arial"/>
                <w:color w:val="000000"/>
                <w:sz w:val="20"/>
                <w:szCs w:val="20"/>
              </w:rPr>
              <w:t>136 </w:t>
            </w:r>
          </w:p>
        </w:tc>
        <w:tc>
          <w:tcPr>
            <w:tcW w:w="0" w:type="auto"/>
            <w:shd w:val="clear" w:color="auto" w:fill="CCEEFF"/>
            <w:tcMar>
              <w:top w:w="40" w:type="dxa"/>
              <w:left w:w="0" w:type="dxa"/>
              <w:bottom w:w="40" w:type="dxa"/>
              <w:right w:w="20" w:type="dxa"/>
            </w:tcMar>
            <w:vAlign w:val="bottom"/>
          </w:tcPr>
          <w:p w14:paraId="59029BF5" w14:textId="77777777" w:rsidR="0084406A" w:rsidRDefault="0084406A">
            <w:pPr>
              <w:jc w:val="right"/>
              <w:rPr>
                <w:rFonts w:ascii="宋体"/>
              </w:rPr>
            </w:pPr>
          </w:p>
        </w:tc>
        <w:tc>
          <w:tcPr>
            <w:tcW w:w="0" w:type="auto"/>
            <w:gridSpan w:val="2"/>
            <w:shd w:val="clear" w:color="auto" w:fill="CCEEFF"/>
            <w:tcMar>
              <w:top w:w="40" w:type="dxa"/>
              <w:left w:w="20" w:type="dxa"/>
              <w:bottom w:w="40" w:type="dxa"/>
              <w:right w:w="0" w:type="dxa"/>
            </w:tcMar>
            <w:vAlign w:val="bottom"/>
          </w:tcPr>
          <w:p w14:paraId="59029BF6" w14:textId="77777777" w:rsidR="0084406A" w:rsidRDefault="002B18AF">
            <w:pPr>
              <w:jc w:val="right"/>
              <w:textAlignment w:val="bottom"/>
            </w:pPr>
            <w:r>
              <w:rPr>
                <w:rFonts w:ascii="Arial" w:eastAsia="宋体" w:hAnsi="Arial" w:cs="Arial"/>
                <w:color w:val="000000"/>
                <w:sz w:val="20"/>
                <w:szCs w:val="20"/>
              </w:rPr>
              <w:t>127 </w:t>
            </w:r>
          </w:p>
        </w:tc>
        <w:tc>
          <w:tcPr>
            <w:tcW w:w="0" w:type="auto"/>
            <w:shd w:val="clear" w:color="auto" w:fill="CCEEFF"/>
            <w:tcMar>
              <w:top w:w="40" w:type="dxa"/>
              <w:left w:w="0" w:type="dxa"/>
              <w:bottom w:w="40" w:type="dxa"/>
              <w:right w:w="20" w:type="dxa"/>
            </w:tcMar>
            <w:vAlign w:val="bottom"/>
          </w:tcPr>
          <w:p w14:paraId="59029BF7" w14:textId="77777777" w:rsidR="0084406A" w:rsidRDefault="0084406A">
            <w:pPr>
              <w:jc w:val="right"/>
              <w:rPr>
                <w:rFonts w:ascii="宋体"/>
              </w:rPr>
            </w:pPr>
          </w:p>
        </w:tc>
        <w:tc>
          <w:tcPr>
            <w:tcW w:w="0" w:type="auto"/>
            <w:gridSpan w:val="2"/>
            <w:shd w:val="clear" w:color="auto" w:fill="CCEEFF"/>
            <w:tcMar>
              <w:top w:w="40" w:type="dxa"/>
              <w:left w:w="20" w:type="dxa"/>
              <w:bottom w:w="40" w:type="dxa"/>
              <w:right w:w="0" w:type="dxa"/>
            </w:tcMar>
            <w:vAlign w:val="bottom"/>
          </w:tcPr>
          <w:p w14:paraId="59029BF8" w14:textId="77777777" w:rsidR="0084406A" w:rsidRDefault="002B18AF">
            <w:pPr>
              <w:jc w:val="right"/>
              <w:textAlignment w:val="bottom"/>
            </w:pPr>
            <w:r>
              <w:rPr>
                <w:rFonts w:ascii="Arial" w:eastAsia="宋体" w:hAnsi="Arial" w:cs="Arial"/>
                <w:color w:val="000000"/>
                <w:sz w:val="20"/>
                <w:szCs w:val="20"/>
              </w:rPr>
              <w:t>188 </w:t>
            </w:r>
          </w:p>
        </w:tc>
        <w:tc>
          <w:tcPr>
            <w:tcW w:w="0" w:type="auto"/>
            <w:shd w:val="clear" w:color="auto" w:fill="CCEEFF"/>
            <w:tcMar>
              <w:top w:w="40" w:type="dxa"/>
              <w:left w:w="0" w:type="dxa"/>
              <w:bottom w:w="40" w:type="dxa"/>
              <w:right w:w="20" w:type="dxa"/>
            </w:tcMar>
            <w:vAlign w:val="bottom"/>
          </w:tcPr>
          <w:p w14:paraId="59029BF9" w14:textId="77777777" w:rsidR="0084406A" w:rsidRDefault="0084406A">
            <w:pPr>
              <w:jc w:val="right"/>
              <w:rPr>
                <w:rFonts w:ascii="宋体"/>
              </w:rPr>
            </w:pPr>
          </w:p>
        </w:tc>
        <w:tc>
          <w:tcPr>
            <w:tcW w:w="0" w:type="auto"/>
            <w:gridSpan w:val="2"/>
            <w:shd w:val="clear" w:color="auto" w:fill="CCEEFF"/>
            <w:tcMar>
              <w:top w:w="40" w:type="dxa"/>
              <w:left w:w="20" w:type="dxa"/>
              <w:bottom w:w="40" w:type="dxa"/>
              <w:right w:w="0" w:type="dxa"/>
            </w:tcMar>
            <w:vAlign w:val="bottom"/>
          </w:tcPr>
          <w:p w14:paraId="59029BFA" w14:textId="77777777" w:rsidR="0084406A" w:rsidRDefault="002B18AF">
            <w:pPr>
              <w:jc w:val="right"/>
              <w:textAlignment w:val="bottom"/>
            </w:pPr>
            <w:r>
              <w:rPr>
                <w:rFonts w:ascii="Arial" w:eastAsia="宋体" w:hAnsi="Arial" w:cs="Arial"/>
                <w:color w:val="000000"/>
                <w:sz w:val="20"/>
                <w:szCs w:val="20"/>
              </w:rPr>
              <w:t>264 </w:t>
            </w:r>
          </w:p>
        </w:tc>
        <w:tc>
          <w:tcPr>
            <w:tcW w:w="0" w:type="auto"/>
            <w:shd w:val="clear" w:color="auto" w:fill="CCEEFF"/>
            <w:tcMar>
              <w:top w:w="40" w:type="dxa"/>
              <w:left w:w="0" w:type="dxa"/>
              <w:bottom w:w="40" w:type="dxa"/>
              <w:right w:w="20" w:type="dxa"/>
            </w:tcMar>
            <w:vAlign w:val="bottom"/>
          </w:tcPr>
          <w:p w14:paraId="59029BFB" w14:textId="77777777" w:rsidR="0084406A" w:rsidRDefault="0084406A">
            <w:pPr>
              <w:jc w:val="right"/>
              <w:rPr>
                <w:rFonts w:ascii="宋体"/>
              </w:rPr>
            </w:pPr>
          </w:p>
        </w:tc>
        <w:tc>
          <w:tcPr>
            <w:tcW w:w="0" w:type="auto"/>
            <w:gridSpan w:val="2"/>
            <w:shd w:val="clear" w:color="auto" w:fill="CCEEFF"/>
            <w:tcMar>
              <w:top w:w="40" w:type="dxa"/>
              <w:left w:w="20" w:type="dxa"/>
              <w:bottom w:w="40" w:type="dxa"/>
              <w:right w:w="0" w:type="dxa"/>
            </w:tcMar>
            <w:vAlign w:val="bottom"/>
          </w:tcPr>
          <w:p w14:paraId="59029BFC" w14:textId="77777777" w:rsidR="0084406A" w:rsidRDefault="002B18AF">
            <w:pPr>
              <w:jc w:val="right"/>
              <w:textAlignment w:val="bottom"/>
            </w:pPr>
            <w:r>
              <w:rPr>
                <w:rFonts w:ascii="Arial" w:eastAsia="宋体" w:hAnsi="Arial" w:cs="Arial"/>
                <w:color w:val="000000"/>
                <w:sz w:val="20"/>
                <w:szCs w:val="20"/>
              </w:rPr>
              <w:t>403 </w:t>
            </w:r>
          </w:p>
        </w:tc>
        <w:tc>
          <w:tcPr>
            <w:tcW w:w="0" w:type="auto"/>
            <w:shd w:val="clear" w:color="auto" w:fill="CCEEFF"/>
            <w:tcMar>
              <w:top w:w="40" w:type="dxa"/>
              <w:left w:w="0" w:type="dxa"/>
              <w:bottom w:w="40" w:type="dxa"/>
              <w:right w:w="20" w:type="dxa"/>
            </w:tcMar>
            <w:vAlign w:val="bottom"/>
          </w:tcPr>
          <w:p w14:paraId="59029BFD" w14:textId="77777777" w:rsidR="0084406A" w:rsidRDefault="0084406A">
            <w:pPr>
              <w:jc w:val="right"/>
              <w:rPr>
                <w:rFonts w:ascii="宋体"/>
              </w:rPr>
            </w:pPr>
          </w:p>
        </w:tc>
      </w:tr>
    </w:tbl>
    <w:p w14:paraId="59029BFF" w14:textId="77777777" w:rsidR="0084406A" w:rsidRDefault="0084406A">
      <w:pPr>
        <w:jc w:val="center"/>
      </w:pPr>
    </w:p>
    <w:p w14:paraId="59029C00" w14:textId="77777777" w:rsidR="0084406A" w:rsidRDefault="002B18AF">
      <w:pPr>
        <w:spacing w:before="180"/>
      </w:pPr>
      <w:r>
        <w:rPr>
          <w:rFonts w:ascii="Arial" w:eastAsia="宋体" w:hAnsi="Arial" w:cs="Arial"/>
          <w:b/>
          <w:bCs/>
          <w:color w:val="000000"/>
          <w:sz w:val="20"/>
          <w:szCs w:val="20"/>
        </w:rPr>
        <w:t>Unregistered Sales of Equity Securities</w:t>
      </w:r>
    </w:p>
    <w:p w14:paraId="59029C01" w14:textId="77777777" w:rsidR="0084406A" w:rsidRDefault="002B18AF">
      <w:pPr>
        <w:spacing w:before="180"/>
        <w:jc w:val="both"/>
      </w:pPr>
      <w:r>
        <w:rPr>
          <w:rFonts w:ascii="Arial" w:eastAsia="宋体" w:hAnsi="Arial" w:cs="Arial"/>
          <w:color w:val="000000"/>
          <w:sz w:val="20"/>
          <w:szCs w:val="20"/>
          <w:shd w:val="clear" w:color="auto" w:fill="FFFFFF"/>
        </w:rPr>
        <w:t>On December 14</w:t>
      </w:r>
      <w:r>
        <w:rPr>
          <w:rFonts w:ascii="Arial" w:eastAsia="宋体" w:hAnsi="Arial" w:cs="Arial"/>
          <w:color w:val="000000"/>
          <w:sz w:val="20"/>
          <w:szCs w:val="20"/>
        </w:rPr>
        <w:t xml:space="preserve">, </w:t>
      </w:r>
      <w:r>
        <w:rPr>
          <w:rFonts w:ascii="Arial" w:eastAsia="宋体" w:hAnsi="Arial" w:cs="Arial"/>
          <w:color w:val="000000"/>
          <w:sz w:val="20"/>
          <w:szCs w:val="20"/>
          <w:shd w:val="clear" w:color="auto" w:fill="FFFFFF"/>
        </w:rPr>
        <w:t>2021, we issued 109,807 shares of AMD’s common stock pursuant to an exercise in full by a commercial partner of a warrant to purchase up to 127,435 shares of AMD’s common stock</w:t>
      </w:r>
      <w:r>
        <w:rPr>
          <w:rFonts w:ascii="Arial" w:eastAsia="宋体" w:hAnsi="Arial" w:cs="Arial"/>
          <w:color w:val="000000"/>
          <w:sz w:val="20"/>
          <w:szCs w:val="20"/>
          <w:shd w:val="clear" w:color="auto" w:fill="FFFFFF"/>
        </w:rPr>
        <w:t xml:space="preserve"> at an exercise price of $20.0423 per share (the Warrant). As a result, the Warrant is no longer outstanding. The commercial partner acquired the Warrant on December 26, 2018 pursuant to a strategic arrangement with such partner.</w:t>
      </w:r>
      <w:r>
        <w:rPr>
          <w:rFonts w:ascii="Arial" w:eastAsia="宋体" w:hAnsi="Arial" w:cs="Arial"/>
          <w:color w:val="212121"/>
          <w:sz w:val="20"/>
          <w:szCs w:val="20"/>
        </w:rPr>
        <w:t xml:space="preserve"> The shares of common stock</w:t>
      </w:r>
      <w:r>
        <w:rPr>
          <w:rFonts w:ascii="Arial" w:eastAsia="宋体" w:hAnsi="Arial" w:cs="Arial"/>
          <w:color w:val="212121"/>
          <w:sz w:val="20"/>
          <w:szCs w:val="20"/>
        </w:rPr>
        <w:t xml:space="preserve"> were issued pursuant to Section 3(a)(9) of the Securities Act of 1933.</w:t>
      </w:r>
    </w:p>
    <w:p w14:paraId="59029C02" w14:textId="77777777" w:rsidR="0084406A" w:rsidRDefault="002B18AF">
      <w:pPr>
        <w:spacing w:before="180"/>
        <w:jc w:val="both"/>
      </w:pPr>
      <w:r>
        <w:rPr>
          <w:rFonts w:ascii="Arial" w:eastAsia="宋体" w:hAnsi="Arial" w:cs="Arial"/>
          <w:color w:val="212121"/>
          <w:sz w:val="20"/>
          <w:szCs w:val="20"/>
        </w:rPr>
        <w:t>On December 27, 2021, we issued warrants to purchase 63,226 shares of our common stock to a</w:t>
      </w:r>
      <w:r>
        <w:rPr>
          <w:rFonts w:ascii="Arial" w:eastAsia="宋体" w:hAnsi="Arial" w:cs="Arial"/>
          <w:color w:val="000000"/>
          <w:sz w:val="20"/>
          <w:szCs w:val="20"/>
        </w:rPr>
        <w:t xml:space="preserve"> commercial partner </w:t>
      </w:r>
      <w:r>
        <w:rPr>
          <w:rFonts w:ascii="Arial" w:eastAsia="宋体" w:hAnsi="Arial" w:cs="Arial"/>
          <w:color w:val="212121"/>
          <w:sz w:val="20"/>
          <w:szCs w:val="20"/>
        </w:rPr>
        <w:t>pursuant to a strategic arrangement executed in 2018 with such partner. T</w:t>
      </w:r>
      <w:r>
        <w:rPr>
          <w:rFonts w:ascii="Arial" w:eastAsia="宋体" w:hAnsi="Arial" w:cs="Arial"/>
          <w:color w:val="212121"/>
          <w:sz w:val="20"/>
          <w:szCs w:val="20"/>
        </w:rPr>
        <w:t>he warrants have an exercise price of $25.4994 per share and expire on December 27, 2024. The warrants were issued pursuant to Section 4(a)(2) of the Securities Act of 1933.</w:t>
      </w:r>
    </w:p>
    <w:p w14:paraId="59029C03" w14:textId="77777777" w:rsidR="0084406A" w:rsidRDefault="002B18AF">
      <w:pPr>
        <w:spacing w:before="280"/>
        <w:ind w:hanging="1440"/>
        <w:jc w:val="both"/>
      </w:pPr>
      <w:r>
        <w:rPr>
          <w:rFonts w:ascii="Arial" w:eastAsia="宋体" w:hAnsi="Arial" w:cs="Arial"/>
          <w:b/>
          <w:bCs/>
          <w:color w:val="000000"/>
          <w:sz w:val="20"/>
          <w:szCs w:val="20"/>
        </w:rPr>
        <w:t>ITEM 6. [RESERVED]</w:t>
      </w:r>
    </w:p>
    <w:p w14:paraId="59029C04" w14:textId="77777777" w:rsidR="0084406A" w:rsidRDefault="0084406A">
      <w:pPr>
        <w:spacing w:before="180"/>
        <w:jc w:val="both"/>
      </w:pPr>
    </w:p>
    <w:p w14:paraId="59029C05" w14:textId="77777777" w:rsidR="0084406A" w:rsidRDefault="002B18AF">
      <w:pPr>
        <w:jc w:val="center"/>
      </w:pPr>
      <w:r>
        <w:rPr>
          <w:rFonts w:ascii="Arial" w:eastAsia="宋体" w:hAnsi="Arial" w:cs="Arial"/>
          <w:color w:val="000000"/>
          <w:sz w:val="20"/>
          <w:szCs w:val="20"/>
        </w:rPr>
        <w:t>38</w:t>
      </w:r>
    </w:p>
    <w:p w14:paraId="59029C06" w14:textId="77777777" w:rsidR="0084406A" w:rsidRDefault="002B18AF">
      <w:r>
        <w:pict w14:anchorId="5902BB1C">
          <v:rect id="_x0000_i1065" style="width:415.3pt;height:1.5pt" o:hralign="center" o:hrstd="t" o:hr="t" fillcolor="#a0a0a0" stroked="f"/>
        </w:pict>
      </w:r>
    </w:p>
    <w:p w14:paraId="59029C07" w14:textId="77777777" w:rsidR="0084406A" w:rsidRDefault="0084406A"/>
    <w:p w14:paraId="59029C08" w14:textId="77777777" w:rsidR="0084406A" w:rsidRDefault="002B18AF">
      <w:pPr>
        <w:spacing w:before="280"/>
        <w:ind w:hanging="1170"/>
        <w:jc w:val="both"/>
      </w:pPr>
      <w:r>
        <w:rPr>
          <w:rFonts w:ascii="Arial" w:eastAsia="宋体" w:hAnsi="Arial" w:cs="Arial"/>
          <w:b/>
          <w:bCs/>
          <w:color w:val="000000"/>
          <w:sz w:val="20"/>
          <w:szCs w:val="20"/>
        </w:rPr>
        <w:t xml:space="preserve">ITEM 7. MANAGEMENT’S DISCUSSION AND ANALYSIS OF </w:t>
      </w:r>
      <w:r>
        <w:rPr>
          <w:rFonts w:ascii="Arial" w:eastAsia="宋体" w:hAnsi="Arial" w:cs="Arial"/>
          <w:b/>
          <w:bCs/>
          <w:color w:val="000000"/>
          <w:sz w:val="20"/>
          <w:szCs w:val="20"/>
        </w:rPr>
        <w:t>FINANCIAL CONDITION AND RESULTS OF OPERATIONS</w:t>
      </w:r>
    </w:p>
    <w:p w14:paraId="59029C09" w14:textId="77777777" w:rsidR="0084406A" w:rsidRDefault="002B18AF">
      <w:pPr>
        <w:spacing w:before="180"/>
        <w:jc w:val="both"/>
      </w:pPr>
      <w:r>
        <w:rPr>
          <w:rFonts w:ascii="Arial" w:eastAsia="宋体" w:hAnsi="Arial" w:cs="Arial"/>
          <w:color w:val="000000"/>
          <w:sz w:val="20"/>
          <w:szCs w:val="20"/>
        </w:rPr>
        <w:t>The following discussion should be read in conjunction with the consolidated financial statements as of December 25, 2021 and December 26, 2020 and for each of the three years in the period ended December 25, 2</w:t>
      </w:r>
      <w:r>
        <w:rPr>
          <w:rFonts w:ascii="Arial" w:eastAsia="宋体" w:hAnsi="Arial" w:cs="Arial"/>
          <w:color w:val="000000"/>
          <w:sz w:val="20"/>
          <w:szCs w:val="20"/>
        </w:rPr>
        <w:t>021 and related notes, which are included in this Annual Report on Form 10-K as well as with the other sections of this Annual Report on Form 10-K, “Part II, Item 8: Financial Statements and Supplementary Data.”</w:t>
      </w:r>
    </w:p>
    <w:p w14:paraId="59029C0A" w14:textId="77777777" w:rsidR="0084406A" w:rsidRDefault="002B18AF">
      <w:pPr>
        <w:spacing w:before="180"/>
      </w:pPr>
      <w:r>
        <w:rPr>
          <w:rFonts w:ascii="Arial" w:eastAsia="宋体" w:hAnsi="Arial" w:cs="Arial"/>
          <w:b/>
          <w:bCs/>
          <w:color w:val="000000"/>
          <w:sz w:val="20"/>
          <w:szCs w:val="20"/>
        </w:rPr>
        <w:t>Introduction</w:t>
      </w:r>
    </w:p>
    <w:p w14:paraId="59029C0B" w14:textId="77777777" w:rsidR="0084406A" w:rsidRDefault="002B18AF">
      <w:pPr>
        <w:spacing w:before="180"/>
        <w:jc w:val="both"/>
      </w:pPr>
      <w:r>
        <w:rPr>
          <w:rFonts w:ascii="Arial" w:eastAsia="宋体" w:hAnsi="Arial" w:cs="Arial"/>
          <w:color w:val="000000"/>
          <w:sz w:val="20"/>
          <w:szCs w:val="20"/>
        </w:rPr>
        <w:t>In this section, we will descri</w:t>
      </w:r>
      <w:r>
        <w:rPr>
          <w:rFonts w:ascii="Arial" w:eastAsia="宋体" w:hAnsi="Arial" w:cs="Arial"/>
          <w:color w:val="000000"/>
          <w:sz w:val="20"/>
          <w:szCs w:val="20"/>
        </w:rPr>
        <w:t>be the general financial condition and the results of operations of Advanced Micro Devices, Inc. and its wholly-owned subsidiaries (collectively, “us,” “our” or “AMD”), including a discussion of our results of operations for 2021 compared to 2020, an analy</w:t>
      </w:r>
      <w:r>
        <w:rPr>
          <w:rFonts w:ascii="Arial" w:eastAsia="宋体" w:hAnsi="Arial" w:cs="Arial"/>
          <w:color w:val="000000"/>
          <w:sz w:val="20"/>
          <w:szCs w:val="20"/>
        </w:rPr>
        <w:t xml:space="preserve">sis of changes in our financial condition and a discussion of our off-balance sheet arrangements. Discussions of 2019 items and year-to-year comparisons between 2020 and 2019 that are not included in this Form 10-K can be found in “Management’s Discussion </w:t>
      </w:r>
      <w:r>
        <w:rPr>
          <w:rFonts w:ascii="Arial" w:eastAsia="宋体" w:hAnsi="Arial" w:cs="Arial"/>
          <w:color w:val="000000"/>
          <w:sz w:val="20"/>
          <w:szCs w:val="20"/>
        </w:rPr>
        <w:t>and Analysis of Financial Condition and Results of Operations” in Part II, Item 7 of our Annual Report on Form 10-K for the fiscal year ended December 26, 2020.</w:t>
      </w:r>
    </w:p>
    <w:p w14:paraId="59029C0C" w14:textId="77777777" w:rsidR="0084406A" w:rsidRDefault="002B18AF">
      <w:pPr>
        <w:spacing w:before="180"/>
        <w:jc w:val="both"/>
      </w:pPr>
      <w:r>
        <w:rPr>
          <w:rFonts w:ascii="Arial" w:eastAsia="宋体" w:hAnsi="Arial" w:cs="Arial"/>
          <w:b/>
          <w:bCs/>
          <w:color w:val="000000"/>
          <w:sz w:val="20"/>
          <w:szCs w:val="20"/>
        </w:rPr>
        <w:t>Overview</w:t>
      </w:r>
    </w:p>
    <w:p w14:paraId="59029C0D" w14:textId="77777777" w:rsidR="0084406A" w:rsidRDefault="002B18AF">
      <w:pPr>
        <w:spacing w:before="180"/>
        <w:jc w:val="both"/>
      </w:pPr>
      <w:r>
        <w:rPr>
          <w:rFonts w:ascii="Arial" w:eastAsia="宋体" w:hAnsi="Arial" w:cs="Arial"/>
          <w:color w:val="000000"/>
          <w:sz w:val="20"/>
          <w:szCs w:val="20"/>
        </w:rPr>
        <w:t>Our leadership portfolio of high-performance products, robust customer demand, and con</w:t>
      </w:r>
      <w:r>
        <w:rPr>
          <w:rFonts w:ascii="Arial" w:eastAsia="宋体" w:hAnsi="Arial" w:cs="Arial"/>
          <w:color w:val="000000"/>
          <w:sz w:val="20"/>
          <w:szCs w:val="20"/>
        </w:rPr>
        <w:t>sistent execution helped drive strong financial results in 2021. Net revenue for 2021 was $16.4 billion, an increase of 68% compared to 2020 net revenue of $9.8 billion. Gross margin, as a percentage of net revenue for 2021, was 48%, compared to 45% in 202</w:t>
      </w:r>
      <w:r>
        <w:rPr>
          <w:rFonts w:ascii="Arial" w:eastAsia="宋体" w:hAnsi="Arial" w:cs="Arial"/>
          <w:color w:val="000000"/>
          <w:sz w:val="20"/>
          <w:szCs w:val="20"/>
        </w:rPr>
        <w:t xml:space="preserve">0. Our operating income for 2021 improved to $3.6 billion compared to operating income of $1.4 billion for 2020. Our net income for 2021 improved to $3.2 billion compared to $2.5 billion in the prior year. Cash, cash equivalents and short-term investments </w:t>
      </w:r>
      <w:r>
        <w:rPr>
          <w:rFonts w:ascii="Arial" w:eastAsia="宋体" w:hAnsi="Arial" w:cs="Arial"/>
          <w:color w:val="000000"/>
          <w:sz w:val="20"/>
          <w:szCs w:val="20"/>
        </w:rPr>
        <w:t>as of December 25, 2021 were $3.6 billion, compared to $2.3 billion at the end of 2020. The aggregate principal amount of total debt as of December 25, 2021 was $313 million, compared to $338 million as of December 26, 2020.</w:t>
      </w:r>
    </w:p>
    <w:p w14:paraId="59029C0E" w14:textId="77777777" w:rsidR="0084406A" w:rsidRDefault="002B18AF">
      <w:pPr>
        <w:spacing w:before="180"/>
        <w:jc w:val="both"/>
      </w:pPr>
      <w:r>
        <w:rPr>
          <w:rFonts w:ascii="Arial" w:eastAsia="宋体" w:hAnsi="Arial" w:cs="Arial"/>
          <w:color w:val="000000"/>
          <w:sz w:val="20"/>
          <w:szCs w:val="20"/>
        </w:rPr>
        <w:t>We introduced a number of high-</w:t>
      </w:r>
      <w:r>
        <w:rPr>
          <w:rFonts w:ascii="Arial" w:eastAsia="宋体" w:hAnsi="Arial" w:cs="Arial"/>
          <w:color w:val="000000"/>
          <w:sz w:val="20"/>
          <w:szCs w:val="20"/>
        </w:rPr>
        <w:t>performance products in 2021. We expanded the AMD Ryzen mobile processor family with the launch of the AMD Ryzen 5000 Series Mobile Processors with “Zen 3” core architecture designed for gamers, creators and professionals. We also announced the AMD Ryzen P</w:t>
      </w:r>
      <w:r>
        <w:rPr>
          <w:rFonts w:ascii="Arial" w:eastAsia="宋体" w:hAnsi="Arial" w:cs="Arial"/>
          <w:color w:val="000000"/>
          <w:sz w:val="20"/>
          <w:szCs w:val="20"/>
        </w:rPr>
        <w:t>RO 5000 Series Mobile Processors powered with our “Zen 3” core architecture for business laptops. AMD Ryzen PRO Series Mobile Processors are built to provide powerful computing experiences with security features for demanding business environments like rem</w:t>
      </w:r>
      <w:r>
        <w:rPr>
          <w:rFonts w:ascii="Arial" w:eastAsia="宋体" w:hAnsi="Arial" w:cs="Arial"/>
          <w:color w:val="000000"/>
          <w:sz w:val="20"/>
          <w:szCs w:val="20"/>
        </w:rPr>
        <w:t>ote working.</w:t>
      </w:r>
    </w:p>
    <w:p w14:paraId="59029C0F" w14:textId="77777777" w:rsidR="0084406A" w:rsidRDefault="002B18AF">
      <w:pPr>
        <w:spacing w:before="180"/>
        <w:jc w:val="both"/>
      </w:pPr>
      <w:r>
        <w:rPr>
          <w:rFonts w:ascii="Arial" w:eastAsia="宋体" w:hAnsi="Arial" w:cs="Arial"/>
          <w:color w:val="000000"/>
          <w:sz w:val="20"/>
          <w:szCs w:val="20"/>
        </w:rPr>
        <w:t>We also launched a number of graphics products during 2021, including the AMD Radeon RX 6700 XT graphics card built on 7 nm process technology and AMD RDNA 2 gaming architecture to deliver performance and power efficiency, as well as the AMD R</w:t>
      </w:r>
      <w:r>
        <w:rPr>
          <w:rFonts w:ascii="Arial" w:eastAsia="宋体" w:hAnsi="Arial" w:cs="Arial"/>
          <w:color w:val="000000"/>
          <w:sz w:val="20"/>
          <w:szCs w:val="20"/>
        </w:rPr>
        <w:t>adeon RX 6600 XT graphics card, designed to deliver high-frame rate, high-fidelity and highly responsive 1080p gaming experience. For mobile graphics, we introduced the AMD Radeon RX 6000M Series Mobile Graphics designed for high-performance gaming laptops</w:t>
      </w:r>
      <w:r>
        <w:rPr>
          <w:rFonts w:ascii="Arial" w:eastAsia="宋体" w:hAnsi="Arial" w:cs="Arial"/>
          <w:color w:val="000000"/>
          <w:sz w:val="20"/>
          <w:szCs w:val="20"/>
        </w:rPr>
        <w:t xml:space="preserve"> and we announced the AMD Advantage™ Design Framework to deliver best-in-class gaming experiences. AMD Advantage systems combine AMD Radeon RX 6000M Series Mobile Graphics, AMD Radeon Software and AMD Ryzen 5000 Series Mobile Processors with AMD smart tech</w:t>
      </w:r>
      <w:r>
        <w:rPr>
          <w:rFonts w:ascii="Arial" w:eastAsia="宋体" w:hAnsi="Arial" w:cs="Arial"/>
          <w:color w:val="000000"/>
          <w:sz w:val="20"/>
          <w:szCs w:val="20"/>
        </w:rPr>
        <w:t>nologies. We also introduced the AMD Instinct MI200 series accelerators based on the 2nd Gen AMD CDNA architecture, optimized for HPC and AI/ML (Artificial Intelligence/Machine Learning) workloads. The MI200 series includes the MI250 Open Accelerator Modul</w:t>
      </w:r>
      <w:r>
        <w:rPr>
          <w:rFonts w:ascii="Arial" w:eastAsia="宋体" w:hAnsi="Arial" w:cs="Arial"/>
          <w:color w:val="000000"/>
          <w:sz w:val="20"/>
          <w:szCs w:val="20"/>
        </w:rPr>
        <w:t>e (OAM) form factor for purpose-built HPC/AI platforms and the MI210 PCIe form factor for mainstream server platforms. We also introduced our AMD FidelityFX Super Resolution software for game developers to help deliver a high-quality, high-resolution gamin</w:t>
      </w:r>
      <w:r>
        <w:rPr>
          <w:rFonts w:ascii="Arial" w:eastAsia="宋体" w:hAnsi="Arial" w:cs="Arial"/>
          <w:color w:val="000000"/>
          <w:sz w:val="20"/>
          <w:szCs w:val="20"/>
        </w:rPr>
        <w:t>g experience. For professional graphics, we announced our AMD Radeon PRO W6000 series workstation graphics for professional users who have ultra-high resolution media projects, complex design and engineering simulations and advanced image and video editing</w:t>
      </w:r>
      <w:r>
        <w:rPr>
          <w:rFonts w:ascii="Arial" w:eastAsia="宋体" w:hAnsi="Arial" w:cs="Arial"/>
          <w:color w:val="000000"/>
          <w:sz w:val="20"/>
          <w:szCs w:val="20"/>
        </w:rPr>
        <w:t xml:space="preserve"> applications. We also introduced the AMD Radeon PRO W6000X series graphics for the Mac Pro, designed to power a wide variety of demanding professional applications and workloads. </w:t>
      </w:r>
    </w:p>
    <w:p w14:paraId="59029C10" w14:textId="77777777" w:rsidR="0084406A" w:rsidRDefault="002B18AF">
      <w:pPr>
        <w:spacing w:before="180"/>
        <w:jc w:val="both"/>
      </w:pPr>
      <w:r>
        <w:rPr>
          <w:rFonts w:ascii="Arial" w:eastAsia="宋体" w:hAnsi="Arial" w:cs="Arial"/>
          <w:color w:val="000000"/>
          <w:sz w:val="20"/>
          <w:szCs w:val="20"/>
          <w:shd w:val="clear" w:color="auto" w:fill="FFFFFF"/>
        </w:rPr>
        <w:t>For the server business, we introduced the next generation of AMD EPYC proc</w:t>
      </w:r>
      <w:r>
        <w:rPr>
          <w:rFonts w:ascii="Arial" w:eastAsia="宋体" w:hAnsi="Arial" w:cs="Arial"/>
          <w:color w:val="000000"/>
          <w:sz w:val="20"/>
          <w:szCs w:val="20"/>
          <w:shd w:val="clear" w:color="auto" w:fill="FFFFFF"/>
        </w:rPr>
        <w:t>essors with the AMD EPYC 7003 Series CPUs for high-performance computing, cloud and enterprise customers. The EPYC 7003 series processors have up to 64 Zen 3 cores per processor and per-core cache memory and also include security features through AMD Infin</w:t>
      </w:r>
      <w:r>
        <w:rPr>
          <w:rFonts w:ascii="Arial" w:eastAsia="宋体" w:hAnsi="Arial" w:cs="Arial"/>
          <w:color w:val="000000"/>
          <w:sz w:val="20"/>
          <w:szCs w:val="20"/>
          <w:shd w:val="clear" w:color="auto" w:fill="FFFFFF"/>
        </w:rPr>
        <w:t xml:space="preserve">ity Guard to help drive faster times to results and improve business outcomes. </w:t>
      </w:r>
    </w:p>
    <w:p w14:paraId="59029C11" w14:textId="77777777" w:rsidR="0084406A" w:rsidRDefault="002B18AF">
      <w:pPr>
        <w:spacing w:before="180"/>
        <w:jc w:val="both"/>
      </w:pPr>
      <w:r>
        <w:rPr>
          <w:rFonts w:ascii="Arial" w:eastAsia="宋体" w:hAnsi="Arial" w:cs="Arial"/>
          <w:color w:val="000000"/>
          <w:sz w:val="20"/>
          <w:szCs w:val="20"/>
        </w:rPr>
        <w:t xml:space="preserve">Although the current COVID-19 pandemic continues to impact our business operations and practices, we experienced limited disruptions during 2021. We are taking safety measures </w:t>
      </w:r>
      <w:r>
        <w:rPr>
          <w:rFonts w:ascii="Arial" w:eastAsia="宋体" w:hAnsi="Arial" w:cs="Arial"/>
          <w:color w:val="000000"/>
          <w:sz w:val="20"/>
          <w:szCs w:val="20"/>
        </w:rPr>
        <w:t xml:space="preserve">to protect our employees who are in </w:t>
      </w:r>
    </w:p>
    <w:p w14:paraId="59029C12" w14:textId="77777777" w:rsidR="0084406A" w:rsidRDefault="002B18AF">
      <w:pPr>
        <w:jc w:val="center"/>
      </w:pPr>
      <w:r>
        <w:rPr>
          <w:rFonts w:ascii="Arial" w:eastAsia="宋体" w:hAnsi="Arial" w:cs="Arial"/>
          <w:color w:val="000000"/>
          <w:sz w:val="20"/>
          <w:szCs w:val="20"/>
        </w:rPr>
        <w:t>39</w:t>
      </w:r>
    </w:p>
    <w:p w14:paraId="59029C13" w14:textId="77777777" w:rsidR="0084406A" w:rsidRDefault="002B18AF">
      <w:r>
        <w:pict w14:anchorId="5902BB1D">
          <v:rect id="_x0000_i1066" style="width:415.3pt;height:1.5pt" o:hralign="center" o:hrstd="t" o:hr="t" fillcolor="#a0a0a0" stroked="f"/>
        </w:pict>
      </w:r>
    </w:p>
    <w:p w14:paraId="59029C14" w14:textId="77777777" w:rsidR="0084406A" w:rsidRDefault="0084406A"/>
    <w:p w14:paraId="59029C15" w14:textId="77777777" w:rsidR="0084406A" w:rsidRDefault="002B18AF">
      <w:pPr>
        <w:spacing w:before="180"/>
        <w:jc w:val="both"/>
      </w:pPr>
      <w:r>
        <w:rPr>
          <w:rFonts w:ascii="Arial" w:eastAsia="宋体" w:hAnsi="Arial" w:cs="Arial"/>
          <w:color w:val="000000"/>
          <w:sz w:val="20"/>
          <w:szCs w:val="20"/>
        </w:rPr>
        <w:t xml:space="preserve">the office and support those employees who work from home. We are also monitoring our operations and public health measures implemented by governmental authorities in response to the pandemic. </w:t>
      </w:r>
    </w:p>
    <w:p w14:paraId="59029C16" w14:textId="77777777" w:rsidR="0084406A" w:rsidRDefault="002B18AF">
      <w:pPr>
        <w:spacing w:before="180"/>
        <w:jc w:val="both"/>
      </w:pPr>
      <w:r>
        <w:rPr>
          <w:rFonts w:ascii="Arial" w:eastAsia="宋体" w:hAnsi="Arial" w:cs="Arial"/>
          <w:color w:val="000000"/>
          <w:sz w:val="20"/>
          <w:szCs w:val="20"/>
        </w:rPr>
        <w:t>COVID-19 also conti</w:t>
      </w:r>
      <w:r>
        <w:rPr>
          <w:rFonts w:ascii="Arial" w:eastAsia="宋体" w:hAnsi="Arial" w:cs="Arial"/>
          <w:color w:val="000000"/>
          <w:sz w:val="20"/>
          <w:szCs w:val="20"/>
        </w:rPr>
        <w:t>nues to impact the global supply chain, causing disruptions to service providers, logistics and the flow and availability of supplies and products. Despite these challenges, we took action to maintain a stable supply of materials to meet our production req</w:t>
      </w:r>
      <w:r>
        <w:rPr>
          <w:rFonts w:ascii="Arial" w:eastAsia="宋体" w:hAnsi="Arial" w:cs="Arial"/>
          <w:color w:val="000000"/>
          <w:sz w:val="20"/>
          <w:szCs w:val="20"/>
        </w:rPr>
        <w:t>uirements and delivered incremental supply throughout the year. We also experienced strong customer demand in 2021 and made strategic investments through long-term purchase commitments and prepayment arrangements in our supply chain to secure additional ca</w:t>
      </w:r>
      <w:r>
        <w:rPr>
          <w:rFonts w:ascii="Arial" w:eastAsia="宋体" w:hAnsi="Arial" w:cs="Arial"/>
          <w:color w:val="000000"/>
          <w:sz w:val="20"/>
          <w:szCs w:val="20"/>
        </w:rPr>
        <w:t>pacity to support future revenue growth. For example, we amended our Wafer Supply Agreement (WSA) with GLOBALFOUNDRIES Inc. (GF) in May 2021 (the A&amp;R Seventh Amendment) and in December 2021 (the Amendment) to modify certain terms of the WSA applicable to w</w:t>
      </w:r>
      <w:r>
        <w:rPr>
          <w:rFonts w:ascii="Arial" w:eastAsia="宋体" w:hAnsi="Arial" w:cs="Arial"/>
          <w:color w:val="000000"/>
          <w:sz w:val="20"/>
          <w:szCs w:val="20"/>
        </w:rPr>
        <w:t>afer purchases at the 12 nm and 14 nm technology nodes from December 23, 2021 and continuing through December 31, 2025. Under the Amendment, GF will provide a minimum annual capacity allocation to us for years 2022 through 2025 and we have corresponding an</w:t>
      </w:r>
      <w:r>
        <w:rPr>
          <w:rFonts w:ascii="Arial" w:eastAsia="宋体" w:hAnsi="Arial" w:cs="Arial"/>
          <w:color w:val="000000"/>
          <w:sz w:val="20"/>
          <w:szCs w:val="20"/>
        </w:rPr>
        <w:t>nual wafer targets. We also agreed to wafer pricing through 2025, and we are obligated to pre-pay GF certain amounts for those wafers in 2022 and 2023. The Amendment does not affect any of the prior exclusivity commitments that were removed under the A&amp;R S</w:t>
      </w:r>
      <w:r>
        <w:rPr>
          <w:rFonts w:ascii="Arial" w:eastAsia="宋体" w:hAnsi="Arial" w:cs="Arial"/>
          <w:color w:val="000000"/>
          <w:sz w:val="20"/>
          <w:szCs w:val="20"/>
        </w:rPr>
        <w:t>eventh Amendment. We have full flexibility to contract with any wafer foundry with respect to all products manufactured at any technology node.</w:t>
      </w:r>
    </w:p>
    <w:p w14:paraId="59029C17" w14:textId="77777777" w:rsidR="0084406A" w:rsidRDefault="002B18AF">
      <w:pPr>
        <w:spacing w:before="180"/>
        <w:jc w:val="both"/>
      </w:pPr>
      <w:r>
        <w:rPr>
          <w:rFonts w:ascii="Arial" w:eastAsia="宋体" w:hAnsi="Arial" w:cs="Arial"/>
          <w:color w:val="000000"/>
          <w:sz w:val="20"/>
          <w:szCs w:val="20"/>
          <w:shd w:val="clear" w:color="auto" w:fill="FFFFFF"/>
        </w:rPr>
        <w:t>Due to our strong financial results and growing cash flow generation,</w:t>
      </w:r>
      <w:r>
        <w:rPr>
          <w:rFonts w:ascii="Arial" w:eastAsia="宋体" w:hAnsi="Arial" w:cs="Arial"/>
          <w:color w:val="000000"/>
          <w:sz w:val="20"/>
          <w:szCs w:val="20"/>
        </w:rPr>
        <w:t xml:space="preserve"> in May 2021, our Board of Directors approv</w:t>
      </w:r>
      <w:r>
        <w:rPr>
          <w:rFonts w:ascii="Arial" w:eastAsia="宋体" w:hAnsi="Arial" w:cs="Arial"/>
          <w:color w:val="000000"/>
          <w:sz w:val="20"/>
          <w:szCs w:val="20"/>
        </w:rPr>
        <w:t>ed a stock repurchase program (Repurchase Program) to purchase up to $4 billion of our outstanding common stock in the open market. During the twelve months ended December 25, 2021, we repurchased 16.7 million shares of our common stock under the Repurchas</w:t>
      </w:r>
      <w:r>
        <w:rPr>
          <w:rFonts w:ascii="Arial" w:eastAsia="宋体" w:hAnsi="Arial" w:cs="Arial"/>
          <w:color w:val="000000"/>
          <w:sz w:val="20"/>
          <w:szCs w:val="20"/>
        </w:rPr>
        <w:t>e Program, for a total cash outlay of $1.8 billion. As of December 25, 2021, $2.2 billion remained available for future stock repurchases under this program. The Repurchase Program does not obligate us to acquire any common stock, has no termination date a</w:t>
      </w:r>
      <w:r>
        <w:rPr>
          <w:rFonts w:ascii="Arial" w:eastAsia="宋体" w:hAnsi="Arial" w:cs="Arial"/>
          <w:color w:val="000000"/>
          <w:sz w:val="20"/>
          <w:szCs w:val="20"/>
        </w:rPr>
        <w:t>nd may be suspended or discontinued at any time.</w:t>
      </w:r>
    </w:p>
    <w:p w14:paraId="59029C18" w14:textId="77777777" w:rsidR="0084406A" w:rsidRDefault="002B18AF">
      <w:pPr>
        <w:spacing w:before="180"/>
        <w:jc w:val="both"/>
      </w:pPr>
      <w:r>
        <w:rPr>
          <w:rFonts w:ascii="Arial" w:eastAsia="宋体" w:hAnsi="Arial" w:cs="Arial"/>
          <w:color w:val="000000"/>
          <w:sz w:val="20"/>
          <w:szCs w:val="20"/>
        </w:rPr>
        <w:t xml:space="preserve">As part of our strategy to establish AMD as the industry’s high performance computing leader, we announced in October 2020 that we entered into a definitive agreement to acquire Xilinx, Inc. in an all-stock </w:t>
      </w:r>
      <w:r>
        <w:rPr>
          <w:rFonts w:ascii="Arial" w:eastAsia="宋体" w:hAnsi="Arial" w:cs="Arial"/>
          <w:color w:val="000000"/>
          <w:sz w:val="20"/>
          <w:szCs w:val="20"/>
        </w:rPr>
        <w:t xml:space="preserve">transaction. </w:t>
      </w:r>
      <w:r>
        <w:rPr>
          <w:rFonts w:ascii="Arial" w:eastAsia="宋体" w:hAnsi="Arial" w:cs="Arial"/>
          <w:color w:val="000000"/>
          <w:sz w:val="20"/>
          <w:szCs w:val="20"/>
          <w:shd w:val="clear" w:color="auto" w:fill="FFFFFF"/>
        </w:rPr>
        <w:t xml:space="preserve">The completion of the transaction remains subject to certain closing conditions, including regulatory approval, and is </w:t>
      </w:r>
      <w:r>
        <w:rPr>
          <w:rFonts w:ascii="Arial" w:eastAsia="宋体" w:hAnsi="Arial" w:cs="Arial"/>
          <w:color w:val="000000"/>
          <w:sz w:val="20"/>
          <w:szCs w:val="20"/>
        </w:rPr>
        <w:t>currently expected to close in the first quarter of 2022.</w:t>
      </w:r>
    </w:p>
    <w:p w14:paraId="59029C19" w14:textId="77777777" w:rsidR="0084406A" w:rsidRDefault="002B18AF">
      <w:pPr>
        <w:spacing w:before="180"/>
        <w:jc w:val="both"/>
      </w:pPr>
      <w:r>
        <w:rPr>
          <w:rFonts w:ascii="Arial" w:eastAsia="宋体" w:hAnsi="Arial" w:cs="Arial"/>
          <w:color w:val="000000"/>
          <w:sz w:val="20"/>
          <w:szCs w:val="20"/>
        </w:rPr>
        <w:t>We intend the discussion of our financial condition and results of</w:t>
      </w:r>
      <w:r>
        <w:rPr>
          <w:rFonts w:ascii="Arial" w:eastAsia="宋体" w:hAnsi="Arial" w:cs="Arial"/>
          <w:color w:val="000000"/>
          <w:sz w:val="20"/>
          <w:szCs w:val="20"/>
        </w:rPr>
        <w:t xml:space="preserve"> operations that follows to provide information that will assist in understanding our financial statements, the changes in certain key items in those financial statements from period to period, the primary factors that resulted in those changes, and how ce</w:t>
      </w:r>
      <w:r>
        <w:rPr>
          <w:rFonts w:ascii="Arial" w:eastAsia="宋体" w:hAnsi="Arial" w:cs="Arial"/>
          <w:color w:val="000000"/>
          <w:sz w:val="20"/>
          <w:szCs w:val="20"/>
        </w:rPr>
        <w:t xml:space="preserve">rtain accounting principles, policies and estimates affect our financial statements. </w:t>
      </w:r>
    </w:p>
    <w:p w14:paraId="59029C1A" w14:textId="77777777" w:rsidR="0084406A" w:rsidRDefault="002B18AF">
      <w:pPr>
        <w:spacing w:before="180"/>
      </w:pPr>
      <w:r>
        <w:rPr>
          <w:rFonts w:ascii="Arial" w:eastAsia="宋体" w:hAnsi="Arial" w:cs="Arial"/>
          <w:b/>
          <w:bCs/>
          <w:color w:val="000000"/>
          <w:sz w:val="20"/>
          <w:szCs w:val="20"/>
        </w:rPr>
        <w:t>Critical Accounting Estimates</w:t>
      </w:r>
    </w:p>
    <w:p w14:paraId="59029C1B" w14:textId="77777777" w:rsidR="0084406A" w:rsidRDefault="002B18AF">
      <w:pPr>
        <w:spacing w:before="180"/>
        <w:jc w:val="both"/>
      </w:pPr>
      <w:r>
        <w:rPr>
          <w:rFonts w:ascii="Arial" w:eastAsia="宋体" w:hAnsi="Arial" w:cs="Arial"/>
          <w:color w:val="000000"/>
          <w:sz w:val="20"/>
          <w:szCs w:val="20"/>
        </w:rPr>
        <w:t>Our discussion and analysis of our financial condition and results of operations are based upon our consolidated financial statements, which</w:t>
      </w:r>
      <w:r>
        <w:rPr>
          <w:rFonts w:ascii="Arial" w:eastAsia="宋体" w:hAnsi="Arial" w:cs="Arial"/>
          <w:color w:val="000000"/>
          <w:sz w:val="20"/>
          <w:szCs w:val="20"/>
        </w:rPr>
        <w:t xml:space="preserve"> have been prepared in accordance with U.S. generally accepted accounting principles (U.S. GAAP). The preparation of our financial statements requires us to make estimates and judgments that affect the reported amounts in our consolidated financial stateme</w:t>
      </w:r>
      <w:r>
        <w:rPr>
          <w:rFonts w:ascii="Arial" w:eastAsia="宋体" w:hAnsi="Arial" w:cs="Arial"/>
          <w:color w:val="000000"/>
          <w:sz w:val="20"/>
          <w:szCs w:val="20"/>
        </w:rPr>
        <w:t xml:space="preserve">nts. We evaluate our estimates on an on-going basis, including those related to our revenue, inventories, goodwill and income taxes. We base our estimates on historical experience and on various other assumptions that we believe to be reasonable under the </w:t>
      </w:r>
      <w:r>
        <w:rPr>
          <w:rFonts w:ascii="Arial" w:eastAsia="宋体" w:hAnsi="Arial" w:cs="Arial"/>
          <w:color w:val="000000"/>
          <w:sz w:val="20"/>
          <w:szCs w:val="20"/>
        </w:rPr>
        <w:t xml:space="preserve">circumstances, the results of which form the basis for making judgments about the carrying values of assets and liabilities. Although actual results have historically been reasonably consistent with management’s expectations, the actual results may differ </w:t>
      </w:r>
      <w:r>
        <w:rPr>
          <w:rFonts w:ascii="Arial" w:eastAsia="宋体" w:hAnsi="Arial" w:cs="Arial"/>
          <w:color w:val="000000"/>
          <w:sz w:val="20"/>
          <w:szCs w:val="20"/>
        </w:rPr>
        <w:t>from these estimates or our estimates may be affected by different assumptions or conditions.</w:t>
      </w:r>
    </w:p>
    <w:p w14:paraId="59029C1C" w14:textId="77777777" w:rsidR="0084406A" w:rsidRDefault="002B18AF">
      <w:pPr>
        <w:spacing w:before="180"/>
        <w:jc w:val="both"/>
      </w:pPr>
      <w:r>
        <w:rPr>
          <w:rFonts w:ascii="Arial" w:eastAsia="宋体" w:hAnsi="Arial" w:cs="Arial"/>
          <w:color w:val="000000"/>
          <w:sz w:val="20"/>
          <w:szCs w:val="20"/>
        </w:rPr>
        <w:t xml:space="preserve">Management believes the following critical accounting estimates are the most significant to the presentation of our financial statements and require the most </w:t>
      </w:r>
      <w:r>
        <w:rPr>
          <w:rFonts w:ascii="Arial" w:eastAsia="宋体" w:hAnsi="Arial" w:cs="Arial"/>
          <w:color w:val="000000"/>
          <w:sz w:val="20"/>
          <w:szCs w:val="20"/>
        </w:rPr>
        <w:t>difficult, subjective and complex judgments.</w:t>
      </w:r>
    </w:p>
    <w:p w14:paraId="59029C1D" w14:textId="77777777" w:rsidR="0084406A" w:rsidRDefault="002B18AF">
      <w:pPr>
        <w:spacing w:before="180"/>
        <w:jc w:val="both"/>
      </w:pPr>
      <w:r>
        <w:rPr>
          <w:rFonts w:ascii="Arial" w:eastAsia="宋体" w:hAnsi="Arial" w:cs="Arial"/>
          <w:i/>
          <w:iCs/>
          <w:color w:val="000000"/>
          <w:sz w:val="20"/>
          <w:szCs w:val="20"/>
        </w:rPr>
        <w:t>Revenue Allowances.</w:t>
      </w:r>
      <w:r>
        <w:rPr>
          <w:rFonts w:ascii="Arial" w:eastAsia="宋体" w:hAnsi="Arial" w:cs="Arial"/>
          <w:color w:val="000000"/>
          <w:sz w:val="20"/>
          <w:szCs w:val="20"/>
        </w:rPr>
        <w:t> Revenue contracts with our customers include variable amounts which we evaluate under ASC 606-10-32-8 through 14 in order to determine the net amount of consideration to which we are entitled</w:t>
      </w:r>
      <w:r>
        <w:rPr>
          <w:rFonts w:ascii="Arial" w:eastAsia="宋体" w:hAnsi="Arial" w:cs="Arial"/>
          <w:color w:val="000000"/>
          <w:sz w:val="20"/>
          <w:szCs w:val="20"/>
        </w:rPr>
        <w:t xml:space="preserve"> and which we recognize as revenue. We determine the net amount of consideration to which we are entitled by estimating the most likely amount of consideration we expect to receive from the customer after adjustments to the contract price for rights of ret</w:t>
      </w:r>
      <w:r>
        <w:rPr>
          <w:rFonts w:ascii="Arial" w:eastAsia="宋体" w:hAnsi="Arial" w:cs="Arial"/>
          <w:color w:val="000000"/>
          <w:sz w:val="20"/>
          <w:szCs w:val="20"/>
        </w:rPr>
        <w:t>urn and rebates to our OEM customers and rights of return, rebates and price protection on unsold merchandise to our distributor customers.</w:t>
      </w:r>
    </w:p>
    <w:p w14:paraId="59029C1E" w14:textId="77777777" w:rsidR="0084406A" w:rsidRDefault="002B18AF">
      <w:pPr>
        <w:spacing w:before="180"/>
        <w:jc w:val="both"/>
      </w:pPr>
      <w:r>
        <w:rPr>
          <w:rFonts w:ascii="Arial" w:eastAsia="宋体" w:hAnsi="Arial" w:cs="Arial"/>
          <w:color w:val="000000"/>
          <w:sz w:val="20"/>
          <w:szCs w:val="20"/>
        </w:rPr>
        <w:t xml:space="preserve">We base our determination of necessary adjustments to the contract price by reference to actual historical activity </w:t>
      </w:r>
      <w:r>
        <w:rPr>
          <w:rFonts w:ascii="Arial" w:eastAsia="宋体" w:hAnsi="Arial" w:cs="Arial"/>
          <w:color w:val="000000"/>
          <w:sz w:val="20"/>
          <w:szCs w:val="20"/>
        </w:rPr>
        <w:t>and experience, including actual historical returns, rebates and credits issued to OEM and distributor customers adjusted, as applicable, to include adjustments, if any, for known events or current economic conditions, or both.</w:t>
      </w:r>
    </w:p>
    <w:p w14:paraId="59029C1F" w14:textId="77777777" w:rsidR="0084406A" w:rsidRDefault="002B18AF">
      <w:pPr>
        <w:jc w:val="center"/>
      </w:pPr>
      <w:r>
        <w:rPr>
          <w:rFonts w:ascii="Arial" w:eastAsia="宋体" w:hAnsi="Arial" w:cs="Arial"/>
          <w:color w:val="000000"/>
          <w:sz w:val="20"/>
          <w:szCs w:val="20"/>
        </w:rPr>
        <w:t>40</w:t>
      </w:r>
    </w:p>
    <w:p w14:paraId="59029C20" w14:textId="77777777" w:rsidR="0084406A" w:rsidRDefault="002B18AF">
      <w:r>
        <w:pict w14:anchorId="5902BB1E">
          <v:rect id="_x0000_i1067" style="width:415.3pt;height:1.5pt" o:hralign="center" o:hrstd="t" o:hr="t" fillcolor="#a0a0a0" stroked="f"/>
        </w:pict>
      </w:r>
    </w:p>
    <w:p w14:paraId="59029C21" w14:textId="77777777" w:rsidR="0084406A" w:rsidRDefault="0084406A"/>
    <w:p w14:paraId="59029C22" w14:textId="77777777" w:rsidR="0084406A" w:rsidRDefault="002B18AF">
      <w:pPr>
        <w:spacing w:before="180"/>
        <w:jc w:val="both"/>
      </w:pPr>
      <w:r>
        <w:rPr>
          <w:rFonts w:ascii="Arial" w:eastAsia="宋体" w:hAnsi="Arial" w:cs="Arial"/>
          <w:color w:val="000000"/>
          <w:sz w:val="20"/>
          <w:szCs w:val="20"/>
        </w:rPr>
        <w:t>Our estimates of neces</w:t>
      </w:r>
      <w:r>
        <w:rPr>
          <w:rFonts w:ascii="Arial" w:eastAsia="宋体" w:hAnsi="Arial" w:cs="Arial"/>
          <w:color w:val="000000"/>
          <w:sz w:val="20"/>
          <w:szCs w:val="20"/>
        </w:rPr>
        <w:t>sary adjustments for distributor price incentives and price protection on unsold products held by distributors are based on actual historical incentives provided to distributor customers and known future price movements based on our internal and external m</w:t>
      </w:r>
      <w:r>
        <w:rPr>
          <w:rFonts w:ascii="Arial" w:eastAsia="宋体" w:hAnsi="Arial" w:cs="Arial"/>
          <w:color w:val="000000"/>
          <w:sz w:val="20"/>
          <w:szCs w:val="20"/>
        </w:rPr>
        <w:t>arket data analysis.</w:t>
      </w:r>
    </w:p>
    <w:p w14:paraId="59029C23" w14:textId="77777777" w:rsidR="0084406A" w:rsidRDefault="002B18AF">
      <w:pPr>
        <w:spacing w:before="180"/>
        <w:jc w:val="both"/>
      </w:pPr>
      <w:r>
        <w:rPr>
          <w:rFonts w:ascii="Arial" w:eastAsia="宋体" w:hAnsi="Arial" w:cs="Arial"/>
          <w:color w:val="000000"/>
          <w:sz w:val="20"/>
          <w:szCs w:val="20"/>
        </w:rPr>
        <w:t>Our estimates of necessary adjustments for OEM price incentives utilize, in addition to known pricing agreements, actual historical rebate attainment rates and estimates of future OEM rebate program attainment based on internal and ext</w:t>
      </w:r>
      <w:r>
        <w:rPr>
          <w:rFonts w:ascii="Arial" w:eastAsia="宋体" w:hAnsi="Arial" w:cs="Arial"/>
          <w:color w:val="000000"/>
          <w:sz w:val="20"/>
          <w:szCs w:val="20"/>
        </w:rPr>
        <w:t>ernal market data analysis.</w:t>
      </w:r>
    </w:p>
    <w:p w14:paraId="59029C24" w14:textId="77777777" w:rsidR="0084406A" w:rsidRDefault="002B18AF">
      <w:pPr>
        <w:spacing w:before="180"/>
        <w:jc w:val="both"/>
      </w:pPr>
      <w:r>
        <w:rPr>
          <w:rFonts w:ascii="Arial" w:eastAsia="宋体" w:hAnsi="Arial" w:cs="Arial"/>
          <w:color w:val="000000"/>
          <w:sz w:val="20"/>
          <w:szCs w:val="20"/>
        </w:rPr>
        <w:t>We offer incentive programs through cooperative advertising and marketing promotions. Where funds provided for such programs can be estimated, we recognize a reduction to revenue at the time the related revenue is recognized; ot</w:t>
      </w:r>
      <w:r>
        <w:rPr>
          <w:rFonts w:ascii="Arial" w:eastAsia="宋体" w:hAnsi="Arial" w:cs="Arial"/>
          <w:color w:val="000000"/>
          <w:sz w:val="20"/>
          <w:szCs w:val="20"/>
        </w:rPr>
        <w:t xml:space="preserve">herwise, we recognize such reduction to revenue at the later of when: i) the related revenue transaction occurs; or ii) the program is offered. For transactions where we reimburse a customer for a portion of the customer’s cost to perform specific product </w:t>
      </w:r>
      <w:r>
        <w:rPr>
          <w:rFonts w:ascii="Arial" w:eastAsia="宋体" w:hAnsi="Arial" w:cs="Arial"/>
          <w:color w:val="000000"/>
          <w:sz w:val="20"/>
          <w:szCs w:val="20"/>
        </w:rPr>
        <w:t>advertising or marketing and promotional activities, such amounts are recognized as a reduction to revenue unless they qualify for expense recognition.</w:t>
      </w:r>
    </w:p>
    <w:p w14:paraId="59029C25" w14:textId="77777777" w:rsidR="0084406A" w:rsidRDefault="002B18AF">
      <w:pPr>
        <w:spacing w:before="180"/>
        <w:jc w:val="both"/>
      </w:pPr>
      <w:r>
        <w:rPr>
          <w:rFonts w:ascii="Arial" w:eastAsia="宋体" w:hAnsi="Arial" w:cs="Arial"/>
          <w:color w:val="000000"/>
          <w:sz w:val="20"/>
          <w:szCs w:val="20"/>
        </w:rPr>
        <w:t xml:space="preserve">We also provide limited product return rights to certain OEMs and to most distribution </w:t>
      </w:r>
      <w:r>
        <w:rPr>
          <w:rFonts w:ascii="Arial" w:eastAsia="宋体" w:hAnsi="Arial" w:cs="Arial"/>
          <w:color w:val="000000"/>
          <w:sz w:val="20"/>
          <w:szCs w:val="20"/>
        </w:rPr>
        <w:t>customers. These return rights are generally limited to a contractual percentage of the customer’s prior quarter shipments, although, from time to time we may approve additional product returns beyond the contractual arrangements based on the applicable fa</w:t>
      </w:r>
      <w:r>
        <w:rPr>
          <w:rFonts w:ascii="Arial" w:eastAsia="宋体" w:hAnsi="Arial" w:cs="Arial"/>
          <w:color w:val="000000"/>
          <w:sz w:val="20"/>
          <w:szCs w:val="20"/>
        </w:rPr>
        <w:t>cts and circumstances. In order to estimate adjustments to revenue to account for these returns, including product restocking rights provided to distributor and OEM customers, we utilize relevant, trended actual historical product return rate information g</w:t>
      </w:r>
      <w:r>
        <w:rPr>
          <w:rFonts w:ascii="Arial" w:eastAsia="宋体" w:hAnsi="Arial" w:cs="Arial"/>
          <w:color w:val="000000"/>
          <w:sz w:val="20"/>
          <w:szCs w:val="20"/>
        </w:rPr>
        <w:t>athered, adjusted for actual known information or events, as applicable.</w:t>
      </w:r>
    </w:p>
    <w:p w14:paraId="59029C26" w14:textId="77777777" w:rsidR="0084406A" w:rsidRDefault="002B18AF">
      <w:pPr>
        <w:spacing w:before="180"/>
        <w:jc w:val="both"/>
      </w:pPr>
      <w:r>
        <w:rPr>
          <w:rFonts w:ascii="Arial" w:eastAsia="宋体" w:hAnsi="Arial" w:cs="Arial"/>
          <w:color w:val="000000"/>
          <w:sz w:val="20"/>
          <w:szCs w:val="20"/>
        </w:rPr>
        <w:t>Overall, our estimates of adjustments to contract price due to variable consideration under our contracts with OEM and distributor customers, based on our assumptions and include adju</w:t>
      </w:r>
      <w:r>
        <w:rPr>
          <w:rFonts w:ascii="Arial" w:eastAsia="宋体" w:hAnsi="Arial" w:cs="Arial"/>
          <w:color w:val="000000"/>
          <w:sz w:val="20"/>
          <w:szCs w:val="20"/>
        </w:rPr>
        <w:t>stments, if any, for known events, have been materially consistent with actual results; however, these estimates are subject to management’s judgment and actual provisions could be different from our estimates and current provisions, resulting in future ad</w:t>
      </w:r>
      <w:r>
        <w:rPr>
          <w:rFonts w:ascii="Arial" w:eastAsia="宋体" w:hAnsi="Arial" w:cs="Arial"/>
          <w:color w:val="000000"/>
          <w:sz w:val="20"/>
          <w:szCs w:val="20"/>
        </w:rPr>
        <w:t>justments to our revenue and operating results.</w:t>
      </w:r>
    </w:p>
    <w:p w14:paraId="59029C27" w14:textId="77777777" w:rsidR="0084406A" w:rsidRDefault="002B18AF">
      <w:pPr>
        <w:spacing w:before="180"/>
        <w:jc w:val="both"/>
      </w:pPr>
      <w:r>
        <w:rPr>
          <w:rFonts w:ascii="Arial" w:eastAsia="宋体" w:hAnsi="Arial" w:cs="Arial"/>
          <w:i/>
          <w:iCs/>
          <w:color w:val="000000"/>
          <w:sz w:val="20"/>
          <w:szCs w:val="20"/>
        </w:rPr>
        <w:t>Inventory Valuation.</w:t>
      </w:r>
      <w:r>
        <w:rPr>
          <w:rFonts w:ascii="Arial" w:eastAsia="宋体" w:hAnsi="Arial" w:cs="Arial"/>
          <w:color w:val="000000"/>
          <w:sz w:val="20"/>
          <w:szCs w:val="20"/>
        </w:rPr>
        <w:t> We value inventory at standard cost, adjusted to approximate the lower of actual cost or estimated net realizable value using assumptions about future demand and market conditions. Materi</w:t>
      </w:r>
      <w:r>
        <w:rPr>
          <w:rFonts w:ascii="Arial" w:eastAsia="宋体" w:hAnsi="Arial" w:cs="Arial"/>
          <w:color w:val="000000"/>
          <w:sz w:val="20"/>
          <w:szCs w:val="20"/>
        </w:rPr>
        <w:t>al assumptions we use to estimate necessary inventory carrying value adjustments can be unique to each product and are based on specific facts and circumstances. In determining excess or obsolescence reserves for products, we consider assumptions such as c</w:t>
      </w:r>
      <w:r>
        <w:rPr>
          <w:rFonts w:ascii="Arial" w:eastAsia="宋体" w:hAnsi="Arial" w:cs="Arial"/>
          <w:color w:val="000000"/>
          <w:sz w:val="20"/>
          <w:szCs w:val="20"/>
        </w:rPr>
        <w:t>hanges in business and economic conditions, other-than-temporary decreases in demand for our products, and changes in technology or customer requirements. In determining the lower of cost or net realizable value reserves, we consider assumptions such as re</w:t>
      </w:r>
      <w:r>
        <w:rPr>
          <w:rFonts w:ascii="Arial" w:eastAsia="宋体" w:hAnsi="Arial" w:cs="Arial"/>
          <w:color w:val="000000"/>
          <w:sz w:val="20"/>
          <w:szCs w:val="20"/>
        </w:rPr>
        <w:t>cent historical sales activity and selling prices, as well as estimates of future selling prices. If in any period we anticipate a change in assumptions such as future demand or market conditions to be less favorable than our previous estimates, additional</w:t>
      </w:r>
      <w:r>
        <w:rPr>
          <w:rFonts w:ascii="Arial" w:eastAsia="宋体" w:hAnsi="Arial" w:cs="Arial"/>
          <w:color w:val="000000"/>
          <w:sz w:val="20"/>
          <w:szCs w:val="20"/>
        </w:rPr>
        <w:t xml:space="preserve"> inventory write-downs may be required and would be reflected in cost of sales, resulting in a negative impact to our gross margin in that period. If in any period we are able to sell inventories that had been written down to a level below the ultimate rea</w:t>
      </w:r>
      <w:r>
        <w:rPr>
          <w:rFonts w:ascii="Arial" w:eastAsia="宋体" w:hAnsi="Arial" w:cs="Arial"/>
          <w:color w:val="000000"/>
          <w:sz w:val="20"/>
          <w:szCs w:val="20"/>
        </w:rPr>
        <w:t xml:space="preserve">lized selling price in a previous period, related revenue would be recorded with a lower or no offsetting charge to cost of sales resulting in a net benefit to our gross margin in that period. Overall, our estimates of inventory carrying value adjustments </w:t>
      </w:r>
      <w:r>
        <w:rPr>
          <w:rFonts w:ascii="Arial" w:eastAsia="宋体" w:hAnsi="Arial" w:cs="Arial"/>
          <w:color w:val="000000"/>
          <w:sz w:val="20"/>
          <w:szCs w:val="20"/>
        </w:rPr>
        <w:t>have been materially consistent with actual results.</w:t>
      </w:r>
    </w:p>
    <w:p w14:paraId="59029C28" w14:textId="77777777" w:rsidR="0084406A" w:rsidRDefault="002B18AF">
      <w:pPr>
        <w:spacing w:before="180"/>
        <w:jc w:val="both"/>
      </w:pPr>
      <w:r>
        <w:rPr>
          <w:rFonts w:ascii="Arial" w:eastAsia="宋体" w:hAnsi="Arial" w:cs="Arial"/>
          <w:i/>
          <w:iCs/>
          <w:color w:val="000000"/>
          <w:sz w:val="20"/>
          <w:szCs w:val="20"/>
        </w:rPr>
        <w:t>Goodwill. </w:t>
      </w:r>
      <w:r>
        <w:rPr>
          <w:rFonts w:ascii="Arial" w:eastAsia="宋体" w:hAnsi="Arial" w:cs="Arial"/>
          <w:color w:val="000000"/>
          <w:sz w:val="20"/>
          <w:szCs w:val="20"/>
        </w:rPr>
        <w:t>We perform our goodwill impairment analysis as of the first day of the fourth quarter of each year and, if certain events or circumstances indicate that an impairment loss may have been incurre</w:t>
      </w:r>
      <w:r>
        <w:rPr>
          <w:rFonts w:ascii="Arial" w:eastAsia="宋体" w:hAnsi="Arial" w:cs="Arial"/>
          <w:color w:val="000000"/>
          <w:sz w:val="20"/>
          <w:szCs w:val="20"/>
        </w:rPr>
        <w:t>d, on a more frequent basis. The analysis may include both qualitative and quantitative factors to assess the likelihood of an impairment.</w:t>
      </w:r>
    </w:p>
    <w:p w14:paraId="59029C29" w14:textId="77777777" w:rsidR="0084406A" w:rsidRDefault="002B18AF">
      <w:pPr>
        <w:spacing w:before="180"/>
        <w:jc w:val="both"/>
      </w:pPr>
      <w:r>
        <w:rPr>
          <w:rFonts w:ascii="Arial" w:eastAsia="宋体" w:hAnsi="Arial" w:cs="Arial"/>
          <w:color w:val="000000"/>
          <w:sz w:val="20"/>
          <w:szCs w:val="20"/>
        </w:rPr>
        <w:t>We first analyze qualitative factors to determine if it is more likely than not that the fair value of a reporting un</w:t>
      </w:r>
      <w:r>
        <w:rPr>
          <w:rFonts w:ascii="Arial" w:eastAsia="宋体" w:hAnsi="Arial" w:cs="Arial"/>
          <w:color w:val="000000"/>
          <w:sz w:val="20"/>
          <w:szCs w:val="20"/>
        </w:rPr>
        <w:t>it exceeds its carrying amount. Qualitative factors include industry and market considerations, overall financial performance, share price trends and market capitalization and Company-specific events. If we conclude it is more likely than not that the fair</w:t>
      </w:r>
      <w:r>
        <w:rPr>
          <w:rFonts w:ascii="Arial" w:eastAsia="宋体" w:hAnsi="Arial" w:cs="Arial"/>
          <w:color w:val="000000"/>
          <w:sz w:val="20"/>
          <w:szCs w:val="20"/>
        </w:rPr>
        <w:t xml:space="preserve"> value of a reporting unit exceeds its carrying amount, we do not proceed to perform a quantitative impairment test. </w:t>
      </w:r>
    </w:p>
    <w:p w14:paraId="59029C2A" w14:textId="77777777" w:rsidR="0084406A" w:rsidRDefault="002B18AF">
      <w:pPr>
        <w:spacing w:before="180"/>
        <w:jc w:val="both"/>
      </w:pPr>
      <w:r>
        <w:rPr>
          <w:rFonts w:ascii="Arial" w:eastAsia="宋体" w:hAnsi="Arial" w:cs="Arial"/>
          <w:color w:val="000000"/>
          <w:sz w:val="20"/>
          <w:szCs w:val="20"/>
        </w:rPr>
        <w:t>If we conclude it is more likely than not that the fair value of the reporting unit is less than its carrying value, a quantitative goodwi</w:t>
      </w:r>
      <w:r>
        <w:rPr>
          <w:rFonts w:ascii="Arial" w:eastAsia="宋体" w:hAnsi="Arial" w:cs="Arial"/>
          <w:color w:val="000000"/>
          <w:sz w:val="20"/>
          <w:szCs w:val="20"/>
        </w:rPr>
        <w:t>ll impairment test will be performed by comparing the fair value of each reporting unit to its carrying value. A quantitative impairment analysis, if necessary, considers the income approach, which requires estimates of the present value of expected future</w:t>
      </w:r>
      <w:r>
        <w:rPr>
          <w:rFonts w:ascii="Arial" w:eastAsia="宋体" w:hAnsi="Arial" w:cs="Arial"/>
          <w:color w:val="000000"/>
          <w:sz w:val="20"/>
          <w:szCs w:val="20"/>
        </w:rPr>
        <w:t xml:space="preserve"> cash flows to determine a reporting unit’s fair value. Significant estimates include revenue growth rates and operating margins used to calculate projected future cash flows, discount rates, and future economic and market conditions. </w:t>
      </w:r>
    </w:p>
    <w:p w14:paraId="59029C2B" w14:textId="77777777" w:rsidR="0084406A" w:rsidRDefault="002B18AF">
      <w:pPr>
        <w:jc w:val="center"/>
      </w:pPr>
      <w:r>
        <w:rPr>
          <w:rFonts w:ascii="Arial" w:eastAsia="宋体" w:hAnsi="Arial" w:cs="Arial"/>
          <w:color w:val="000000"/>
          <w:sz w:val="20"/>
          <w:szCs w:val="20"/>
        </w:rPr>
        <w:t>41</w:t>
      </w:r>
    </w:p>
    <w:p w14:paraId="59029C2C" w14:textId="77777777" w:rsidR="0084406A" w:rsidRDefault="002B18AF">
      <w:r>
        <w:pict w14:anchorId="5902BB1F">
          <v:rect id="_x0000_i1068" style="width:415.3pt;height:1.5pt" o:hralign="center" o:hrstd="t" o:hr="t" fillcolor="#a0a0a0" stroked="f"/>
        </w:pict>
      </w:r>
    </w:p>
    <w:p w14:paraId="59029C2D" w14:textId="77777777" w:rsidR="0084406A" w:rsidRDefault="0084406A"/>
    <w:p w14:paraId="59029C2E" w14:textId="77777777" w:rsidR="0084406A" w:rsidRDefault="002B18AF">
      <w:pPr>
        <w:spacing w:before="180"/>
        <w:jc w:val="both"/>
      </w:pPr>
      <w:r>
        <w:rPr>
          <w:rFonts w:ascii="Arial" w:eastAsia="宋体" w:hAnsi="Arial" w:cs="Arial"/>
          <w:color w:val="000000"/>
          <w:sz w:val="20"/>
          <w:szCs w:val="20"/>
        </w:rPr>
        <w:t>A goodwill imp</w:t>
      </w:r>
      <w:r>
        <w:rPr>
          <w:rFonts w:ascii="Arial" w:eastAsia="宋体" w:hAnsi="Arial" w:cs="Arial"/>
          <w:color w:val="000000"/>
          <w:sz w:val="20"/>
          <w:szCs w:val="20"/>
        </w:rPr>
        <w:t>airment charge is recognized for the amount by which a reporting unit’s fair value is less than its carrying value, not to exceed the total amount of goodwill allocated to that reporting unit.</w:t>
      </w:r>
    </w:p>
    <w:p w14:paraId="59029C2F" w14:textId="77777777" w:rsidR="0084406A" w:rsidRDefault="002B18AF">
      <w:pPr>
        <w:spacing w:before="180"/>
        <w:jc w:val="both"/>
      </w:pPr>
      <w:r>
        <w:rPr>
          <w:rFonts w:ascii="Arial" w:eastAsia="宋体" w:hAnsi="Arial" w:cs="Arial"/>
          <w:i/>
          <w:iCs/>
          <w:color w:val="000000"/>
          <w:sz w:val="20"/>
          <w:szCs w:val="20"/>
        </w:rPr>
        <w:t>Income Taxes</w:t>
      </w:r>
      <w:r>
        <w:rPr>
          <w:rFonts w:ascii="Arial" w:eastAsia="宋体" w:hAnsi="Arial" w:cs="Arial"/>
          <w:color w:val="000000"/>
          <w:sz w:val="20"/>
          <w:szCs w:val="20"/>
        </w:rPr>
        <w:t>. In determining taxable income for financial state</w:t>
      </w:r>
      <w:r>
        <w:rPr>
          <w:rFonts w:ascii="Arial" w:eastAsia="宋体" w:hAnsi="Arial" w:cs="Arial"/>
          <w:color w:val="000000"/>
          <w:sz w:val="20"/>
          <w:szCs w:val="20"/>
        </w:rPr>
        <w:t xml:space="preserve">ment reporting purposes, we must make certain estimates and judgments. These estimates and judgments are applied in the calculation of certain tax liabilities and in the determination of the recoverability of deferred tax assets which arise from temporary </w:t>
      </w:r>
      <w:r>
        <w:rPr>
          <w:rFonts w:ascii="Arial" w:eastAsia="宋体" w:hAnsi="Arial" w:cs="Arial"/>
          <w:color w:val="000000"/>
          <w:sz w:val="20"/>
          <w:szCs w:val="20"/>
        </w:rPr>
        <w:t>differences between the recognition of assets and liabilities for tax and financial statement reporting purposes.</w:t>
      </w:r>
    </w:p>
    <w:p w14:paraId="59029C30" w14:textId="77777777" w:rsidR="0084406A" w:rsidRDefault="002B18AF">
      <w:pPr>
        <w:spacing w:before="180"/>
        <w:jc w:val="both"/>
      </w:pPr>
      <w:r>
        <w:rPr>
          <w:rFonts w:ascii="Arial" w:eastAsia="宋体" w:hAnsi="Arial" w:cs="Arial"/>
          <w:color w:val="000000"/>
          <w:sz w:val="20"/>
          <w:szCs w:val="20"/>
        </w:rPr>
        <w:t>We regularly assess the likelihood that we will be able to recover our deferred tax assets. Unless recovery is considered more-likely-than-not</w:t>
      </w:r>
      <w:r>
        <w:rPr>
          <w:rFonts w:ascii="Arial" w:eastAsia="宋体" w:hAnsi="Arial" w:cs="Arial"/>
          <w:color w:val="000000"/>
          <w:sz w:val="20"/>
          <w:szCs w:val="20"/>
        </w:rPr>
        <w:t xml:space="preserve"> (a probability level of more than 50%), we will record a charge to income tax expense in the form of a valuation allowance for the deferred tax assets that we estimate will not ultimately be recoverable or maintain the valuation allowance recorded in prio</w:t>
      </w:r>
      <w:r>
        <w:rPr>
          <w:rFonts w:ascii="Arial" w:eastAsia="宋体" w:hAnsi="Arial" w:cs="Arial"/>
          <w:color w:val="000000"/>
          <w:sz w:val="20"/>
          <w:szCs w:val="20"/>
        </w:rPr>
        <w:t>r periods. When considering all available evidence, if we determine it is more-likely-than-not we will realize our deferred tax assets, we will reverse some or all of the existing valuation allowance, which would result in a credit to income tax expense an</w:t>
      </w:r>
      <w:r>
        <w:rPr>
          <w:rFonts w:ascii="Arial" w:eastAsia="宋体" w:hAnsi="Arial" w:cs="Arial"/>
          <w:color w:val="000000"/>
          <w:sz w:val="20"/>
          <w:szCs w:val="20"/>
        </w:rPr>
        <w:t>d the establishment of an asset in the period of reversal.</w:t>
      </w:r>
    </w:p>
    <w:p w14:paraId="59029C31" w14:textId="77777777" w:rsidR="0084406A" w:rsidRDefault="002B18AF">
      <w:pPr>
        <w:spacing w:before="180"/>
        <w:jc w:val="both"/>
      </w:pPr>
      <w:r>
        <w:rPr>
          <w:rFonts w:ascii="Arial" w:eastAsia="宋体" w:hAnsi="Arial" w:cs="Arial"/>
          <w:color w:val="000000"/>
          <w:sz w:val="20"/>
          <w:szCs w:val="20"/>
        </w:rPr>
        <w:t>In determining the need to establish or maintain a valuation allowance, we consider the four sources of jurisdictional taxable income: (i) carryback of net operating losses to prior years; (ii) fut</w:t>
      </w:r>
      <w:r>
        <w:rPr>
          <w:rFonts w:ascii="Arial" w:eastAsia="宋体" w:hAnsi="Arial" w:cs="Arial"/>
          <w:color w:val="000000"/>
          <w:sz w:val="20"/>
          <w:szCs w:val="20"/>
        </w:rPr>
        <w:t xml:space="preserve">ure reversals of existing taxable temporary differences; (iii) viable and prudent tax planning strategies; and (iv) future taxable income exclusive of reversing temporary differences and carryforwards. </w:t>
      </w:r>
    </w:p>
    <w:p w14:paraId="59029C32" w14:textId="77777777" w:rsidR="0084406A" w:rsidRDefault="002B18AF">
      <w:pPr>
        <w:spacing w:before="180"/>
        <w:jc w:val="both"/>
      </w:pPr>
      <w:r>
        <w:rPr>
          <w:rFonts w:ascii="Arial" w:eastAsia="宋体" w:hAnsi="Arial" w:cs="Arial"/>
          <w:color w:val="000000"/>
          <w:sz w:val="20"/>
          <w:szCs w:val="20"/>
        </w:rPr>
        <w:t>Through the end of 2021, we continue to maintain a va</w:t>
      </w:r>
      <w:r>
        <w:rPr>
          <w:rFonts w:ascii="Arial" w:eastAsia="宋体" w:hAnsi="Arial" w:cs="Arial"/>
          <w:color w:val="000000"/>
          <w:sz w:val="20"/>
          <w:szCs w:val="20"/>
        </w:rPr>
        <w:t>luation allowance of approximately $1.7 billion for certain federal, state, and foreign tax attributes. The federal valuation allowance maintained is due to limitations, under Internal Revenue Code Section 382 or 383, separate return loss year rules, or du</w:t>
      </w:r>
      <w:r>
        <w:rPr>
          <w:rFonts w:ascii="Arial" w:eastAsia="宋体" w:hAnsi="Arial" w:cs="Arial"/>
          <w:color w:val="000000"/>
          <w:sz w:val="20"/>
          <w:szCs w:val="20"/>
        </w:rPr>
        <w:t>al consolidated loss rules. Certain state and foreign valuation allowances are maintained due to a lack of sufficient sources of future taxable income.</w:t>
      </w:r>
    </w:p>
    <w:p w14:paraId="59029C33" w14:textId="77777777" w:rsidR="0084406A" w:rsidRDefault="002B18AF">
      <w:pPr>
        <w:spacing w:before="180"/>
        <w:jc w:val="both"/>
      </w:pPr>
      <w:r>
        <w:rPr>
          <w:rFonts w:ascii="Arial" w:eastAsia="宋体" w:hAnsi="Arial" w:cs="Arial"/>
          <w:color w:val="000000"/>
          <w:sz w:val="20"/>
          <w:szCs w:val="20"/>
        </w:rPr>
        <w:t>In addition, the calculation of our tax liabilities involves addressing uncertainties in the application</w:t>
      </w:r>
      <w:r>
        <w:rPr>
          <w:rFonts w:ascii="Arial" w:eastAsia="宋体" w:hAnsi="Arial" w:cs="Arial"/>
          <w:color w:val="000000"/>
          <w:sz w:val="20"/>
          <w:szCs w:val="20"/>
        </w:rPr>
        <w:t xml:space="preserve"> of complex, multi-jurisdictional tax rules and the potential for future adjustment of our uncertain tax positions by the Internal Revenue Service or other taxing authorities. </w:t>
      </w:r>
    </w:p>
    <w:p w14:paraId="59029C34" w14:textId="77777777" w:rsidR="0084406A" w:rsidRDefault="002B18AF">
      <w:pPr>
        <w:spacing w:before="180"/>
      </w:pPr>
      <w:r>
        <w:rPr>
          <w:rFonts w:ascii="Arial" w:eastAsia="宋体" w:hAnsi="Arial" w:cs="Arial"/>
          <w:b/>
          <w:bCs/>
          <w:color w:val="000000"/>
          <w:sz w:val="20"/>
          <w:szCs w:val="20"/>
        </w:rPr>
        <w:t>Results of Operations</w:t>
      </w:r>
    </w:p>
    <w:p w14:paraId="59029C35" w14:textId="77777777" w:rsidR="0084406A" w:rsidRDefault="002B18AF">
      <w:pPr>
        <w:spacing w:before="180"/>
        <w:jc w:val="both"/>
      </w:pPr>
      <w:r>
        <w:rPr>
          <w:rFonts w:ascii="Arial" w:eastAsia="宋体" w:hAnsi="Arial" w:cs="Arial"/>
          <w:color w:val="000000"/>
          <w:sz w:val="20"/>
          <w:szCs w:val="20"/>
        </w:rPr>
        <w:t>We report our financial performance based on the followin</w:t>
      </w:r>
      <w:r>
        <w:rPr>
          <w:rFonts w:ascii="Arial" w:eastAsia="宋体" w:hAnsi="Arial" w:cs="Arial"/>
          <w:color w:val="000000"/>
          <w:sz w:val="20"/>
          <w:szCs w:val="20"/>
        </w:rPr>
        <w:t>g two reportable segments: Computing and Graphics, and Enterprise, Embedded and Semi-Custom.</w:t>
      </w:r>
    </w:p>
    <w:p w14:paraId="59029C36" w14:textId="77777777" w:rsidR="0084406A" w:rsidRDefault="002B18AF">
      <w:pPr>
        <w:spacing w:before="180"/>
        <w:jc w:val="both"/>
      </w:pPr>
      <w:r>
        <w:rPr>
          <w:rFonts w:ascii="Arial" w:eastAsia="宋体" w:hAnsi="Arial" w:cs="Arial"/>
          <w:color w:val="000000"/>
          <w:sz w:val="20"/>
          <w:szCs w:val="20"/>
        </w:rPr>
        <w:t xml:space="preserve">Additional information on our reportable segments is contained in Note 14 </w:t>
      </w:r>
      <w:r>
        <w:rPr>
          <w:rFonts w:ascii="Times New Roman" w:eastAsia="宋体" w:hAnsi="Times New Roman"/>
          <w:color w:val="000000"/>
          <w:sz w:val="20"/>
          <w:szCs w:val="20"/>
        </w:rPr>
        <w:t>–</w:t>
      </w:r>
      <w:r>
        <w:rPr>
          <w:rFonts w:ascii="Arial" w:eastAsia="宋体" w:hAnsi="Arial" w:cs="Arial"/>
          <w:color w:val="000000"/>
          <w:sz w:val="20"/>
          <w:szCs w:val="20"/>
        </w:rPr>
        <w:t xml:space="preserve"> Segment Reporting of the Notes to Financial Statements (Part II, Item 8 of this Form 10</w:t>
      </w:r>
      <w:r>
        <w:rPr>
          <w:rFonts w:ascii="Arial" w:eastAsia="宋体" w:hAnsi="Arial" w:cs="Arial"/>
          <w:color w:val="000000"/>
          <w:sz w:val="20"/>
          <w:szCs w:val="20"/>
        </w:rPr>
        <w:t>-K).</w:t>
      </w:r>
    </w:p>
    <w:p w14:paraId="59029C37" w14:textId="77777777" w:rsidR="0084406A" w:rsidRDefault="002B18AF">
      <w:pPr>
        <w:spacing w:before="180"/>
        <w:jc w:val="both"/>
      </w:pPr>
      <w:r>
        <w:rPr>
          <w:rFonts w:ascii="Arial" w:eastAsia="宋体" w:hAnsi="Arial" w:cs="Arial"/>
          <w:color w:val="000000"/>
          <w:sz w:val="20"/>
          <w:szCs w:val="20"/>
        </w:rPr>
        <w:t xml:space="preserve">Our operating results tend to vary seasonally. Historically, our net revenue has been generally higher in the second half of the year than in the first half of the year, although market conditions and product transitions could impact these </w:t>
      </w:r>
      <w:r>
        <w:rPr>
          <w:rFonts w:ascii="Arial" w:eastAsia="宋体" w:hAnsi="Arial" w:cs="Arial"/>
          <w:color w:val="000000"/>
          <w:sz w:val="20"/>
          <w:szCs w:val="20"/>
        </w:rPr>
        <w:t>trends.</w:t>
      </w:r>
    </w:p>
    <w:p w14:paraId="59029C38" w14:textId="77777777" w:rsidR="0084406A" w:rsidRDefault="002B18AF">
      <w:pPr>
        <w:spacing w:before="180"/>
      </w:pPr>
      <w:r>
        <w:rPr>
          <w:rFonts w:ascii="Arial" w:eastAsia="宋体" w:hAnsi="Arial" w:cs="Arial"/>
          <w:color w:val="000000"/>
          <w:sz w:val="20"/>
          <w:szCs w:val="20"/>
        </w:rPr>
        <w:t>The following table provides a summary of net revenue and operating income (loss) by segment for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282"/>
        <w:gridCol w:w="37"/>
        <w:gridCol w:w="132"/>
        <w:gridCol w:w="1180"/>
        <w:gridCol w:w="36"/>
        <w:gridCol w:w="36"/>
        <w:gridCol w:w="36"/>
        <w:gridCol w:w="36"/>
        <w:gridCol w:w="133"/>
        <w:gridCol w:w="1137"/>
        <w:gridCol w:w="36"/>
        <w:gridCol w:w="36"/>
        <w:gridCol w:w="36"/>
        <w:gridCol w:w="36"/>
        <w:gridCol w:w="36"/>
        <w:gridCol w:w="36"/>
        <w:gridCol w:w="36"/>
      </w:tblGrid>
      <w:tr w:rsidR="0084406A" w14:paraId="59029C47" w14:textId="77777777">
        <w:tc>
          <w:tcPr>
            <w:tcW w:w="50" w:type="pct"/>
            <w:shd w:val="clear" w:color="auto" w:fill="auto"/>
            <w:vAlign w:val="bottom"/>
          </w:tcPr>
          <w:p w14:paraId="59029C39" w14:textId="77777777" w:rsidR="0084406A" w:rsidRDefault="0084406A">
            <w:pPr>
              <w:rPr>
                <w:rFonts w:ascii="宋体"/>
              </w:rPr>
            </w:pPr>
          </w:p>
        </w:tc>
        <w:tc>
          <w:tcPr>
            <w:tcW w:w="3285" w:type="pct"/>
            <w:shd w:val="clear" w:color="auto" w:fill="auto"/>
            <w:vAlign w:val="bottom"/>
          </w:tcPr>
          <w:p w14:paraId="59029C3A" w14:textId="77777777" w:rsidR="0084406A" w:rsidRDefault="0084406A">
            <w:pPr>
              <w:rPr>
                <w:rFonts w:ascii="宋体"/>
              </w:rPr>
            </w:pPr>
          </w:p>
        </w:tc>
        <w:tc>
          <w:tcPr>
            <w:tcW w:w="5" w:type="pct"/>
            <w:shd w:val="clear" w:color="auto" w:fill="auto"/>
            <w:vAlign w:val="bottom"/>
          </w:tcPr>
          <w:p w14:paraId="59029C3B" w14:textId="77777777" w:rsidR="0084406A" w:rsidRDefault="0084406A">
            <w:pPr>
              <w:rPr>
                <w:rFonts w:ascii="宋体"/>
              </w:rPr>
            </w:pPr>
          </w:p>
        </w:tc>
        <w:tc>
          <w:tcPr>
            <w:tcW w:w="50" w:type="pct"/>
            <w:shd w:val="clear" w:color="auto" w:fill="auto"/>
            <w:vAlign w:val="bottom"/>
          </w:tcPr>
          <w:p w14:paraId="59029C3C" w14:textId="77777777" w:rsidR="0084406A" w:rsidRDefault="0084406A">
            <w:pPr>
              <w:rPr>
                <w:rFonts w:ascii="宋体"/>
              </w:rPr>
            </w:pPr>
          </w:p>
        </w:tc>
        <w:tc>
          <w:tcPr>
            <w:tcW w:w="756" w:type="pct"/>
            <w:shd w:val="clear" w:color="auto" w:fill="auto"/>
            <w:vAlign w:val="bottom"/>
          </w:tcPr>
          <w:p w14:paraId="59029C3D" w14:textId="77777777" w:rsidR="0084406A" w:rsidRDefault="0084406A">
            <w:pPr>
              <w:rPr>
                <w:rFonts w:ascii="宋体"/>
              </w:rPr>
            </w:pPr>
          </w:p>
        </w:tc>
        <w:tc>
          <w:tcPr>
            <w:tcW w:w="5" w:type="pct"/>
            <w:shd w:val="clear" w:color="auto" w:fill="auto"/>
            <w:vAlign w:val="bottom"/>
          </w:tcPr>
          <w:p w14:paraId="59029C3E" w14:textId="77777777" w:rsidR="0084406A" w:rsidRDefault="0084406A">
            <w:pPr>
              <w:rPr>
                <w:rFonts w:ascii="宋体"/>
              </w:rPr>
            </w:pPr>
          </w:p>
        </w:tc>
        <w:tc>
          <w:tcPr>
            <w:tcW w:w="5" w:type="pct"/>
            <w:shd w:val="clear" w:color="auto" w:fill="auto"/>
            <w:vAlign w:val="bottom"/>
          </w:tcPr>
          <w:p w14:paraId="59029C3F" w14:textId="77777777" w:rsidR="0084406A" w:rsidRDefault="0084406A">
            <w:pPr>
              <w:rPr>
                <w:rFonts w:ascii="宋体"/>
              </w:rPr>
            </w:pPr>
          </w:p>
        </w:tc>
        <w:tc>
          <w:tcPr>
            <w:tcW w:w="26" w:type="pct"/>
            <w:shd w:val="clear" w:color="auto" w:fill="auto"/>
            <w:vAlign w:val="bottom"/>
          </w:tcPr>
          <w:p w14:paraId="59029C40" w14:textId="77777777" w:rsidR="0084406A" w:rsidRDefault="0084406A">
            <w:pPr>
              <w:rPr>
                <w:rFonts w:ascii="宋体"/>
              </w:rPr>
            </w:pPr>
          </w:p>
        </w:tc>
        <w:tc>
          <w:tcPr>
            <w:tcW w:w="5" w:type="pct"/>
            <w:shd w:val="clear" w:color="auto" w:fill="auto"/>
            <w:vAlign w:val="bottom"/>
          </w:tcPr>
          <w:p w14:paraId="59029C41" w14:textId="77777777" w:rsidR="0084406A" w:rsidRDefault="0084406A">
            <w:pPr>
              <w:rPr>
                <w:rFonts w:ascii="宋体"/>
              </w:rPr>
            </w:pPr>
          </w:p>
        </w:tc>
        <w:tc>
          <w:tcPr>
            <w:tcW w:w="50" w:type="pct"/>
            <w:shd w:val="clear" w:color="auto" w:fill="auto"/>
            <w:vAlign w:val="bottom"/>
          </w:tcPr>
          <w:p w14:paraId="59029C42" w14:textId="77777777" w:rsidR="0084406A" w:rsidRDefault="0084406A">
            <w:pPr>
              <w:rPr>
                <w:rFonts w:ascii="宋体"/>
              </w:rPr>
            </w:pPr>
          </w:p>
        </w:tc>
        <w:tc>
          <w:tcPr>
            <w:tcW w:w="756" w:type="pct"/>
            <w:shd w:val="clear" w:color="auto" w:fill="auto"/>
            <w:vAlign w:val="bottom"/>
          </w:tcPr>
          <w:p w14:paraId="59029C43" w14:textId="77777777" w:rsidR="0084406A" w:rsidRDefault="0084406A">
            <w:pPr>
              <w:rPr>
                <w:rFonts w:ascii="宋体"/>
              </w:rPr>
            </w:pPr>
          </w:p>
        </w:tc>
        <w:tc>
          <w:tcPr>
            <w:tcW w:w="5" w:type="pct"/>
            <w:shd w:val="clear" w:color="auto" w:fill="auto"/>
            <w:vAlign w:val="bottom"/>
          </w:tcPr>
          <w:p w14:paraId="59029C44" w14:textId="77777777" w:rsidR="0084406A" w:rsidRDefault="0084406A">
            <w:pPr>
              <w:rPr>
                <w:rFonts w:ascii="宋体"/>
              </w:rPr>
            </w:pPr>
          </w:p>
        </w:tc>
        <w:tc>
          <w:tcPr>
            <w:tcW w:w="0" w:type="auto"/>
            <w:gridSpan w:val="3"/>
            <w:shd w:val="clear" w:color="auto" w:fill="auto"/>
            <w:vAlign w:val="bottom"/>
          </w:tcPr>
          <w:p w14:paraId="59029C45" w14:textId="77777777" w:rsidR="0084406A" w:rsidRDefault="0084406A">
            <w:pPr>
              <w:rPr>
                <w:rFonts w:ascii="宋体"/>
                <w:vanish/>
              </w:rPr>
            </w:pPr>
          </w:p>
        </w:tc>
        <w:tc>
          <w:tcPr>
            <w:tcW w:w="0" w:type="auto"/>
            <w:gridSpan w:val="3"/>
            <w:shd w:val="clear" w:color="auto" w:fill="auto"/>
            <w:vAlign w:val="bottom"/>
          </w:tcPr>
          <w:p w14:paraId="59029C46" w14:textId="77777777" w:rsidR="0084406A" w:rsidRDefault="0084406A">
            <w:pPr>
              <w:rPr>
                <w:rFonts w:ascii="宋体"/>
                <w:vanish/>
              </w:rPr>
            </w:pPr>
          </w:p>
        </w:tc>
      </w:tr>
      <w:tr w:rsidR="0084406A" w14:paraId="59029C4E" w14:textId="77777777">
        <w:tc>
          <w:tcPr>
            <w:tcW w:w="0" w:type="auto"/>
            <w:gridSpan w:val="3"/>
            <w:shd w:val="clear" w:color="auto" w:fill="auto"/>
            <w:tcMar>
              <w:top w:w="0" w:type="dxa"/>
              <w:left w:w="20" w:type="dxa"/>
              <w:bottom w:w="0" w:type="dxa"/>
              <w:right w:w="20" w:type="dxa"/>
            </w:tcMar>
            <w:vAlign w:val="bottom"/>
          </w:tcPr>
          <w:p w14:paraId="59029C4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9C49"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9C4A"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C4B"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vAlign w:val="bottom"/>
          </w:tcPr>
          <w:p w14:paraId="59029C4C" w14:textId="77777777" w:rsidR="0084406A" w:rsidRDefault="0084406A">
            <w:pPr>
              <w:rPr>
                <w:rFonts w:ascii="宋体"/>
                <w:vanish/>
              </w:rPr>
            </w:pPr>
          </w:p>
        </w:tc>
        <w:tc>
          <w:tcPr>
            <w:tcW w:w="0" w:type="auto"/>
            <w:gridSpan w:val="3"/>
            <w:shd w:val="clear" w:color="auto" w:fill="auto"/>
            <w:vAlign w:val="bottom"/>
          </w:tcPr>
          <w:p w14:paraId="59029C4D" w14:textId="77777777" w:rsidR="0084406A" w:rsidRDefault="0084406A">
            <w:pPr>
              <w:rPr>
                <w:rFonts w:ascii="宋体"/>
                <w:vanish/>
              </w:rPr>
            </w:pPr>
          </w:p>
        </w:tc>
      </w:tr>
      <w:tr w:rsidR="0084406A" w14:paraId="59029C57" w14:textId="77777777">
        <w:tc>
          <w:tcPr>
            <w:tcW w:w="0" w:type="auto"/>
            <w:gridSpan w:val="3"/>
            <w:shd w:val="clear" w:color="auto" w:fill="auto"/>
            <w:tcMar>
              <w:top w:w="40" w:type="dxa"/>
              <w:left w:w="20" w:type="dxa"/>
              <w:bottom w:w="40" w:type="dxa"/>
              <w:right w:w="20" w:type="dxa"/>
            </w:tcMar>
            <w:vAlign w:val="bottom"/>
          </w:tcPr>
          <w:p w14:paraId="59029C4F"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9C50" w14:textId="77777777" w:rsidR="0084406A" w:rsidRDefault="002B18AF">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59029C51" w14:textId="77777777" w:rsidR="0084406A" w:rsidRDefault="0084406A">
            <w:pPr>
              <w:rPr>
                <w:rFonts w:ascii="宋体"/>
              </w:rPr>
            </w:pPr>
          </w:p>
        </w:tc>
        <w:tc>
          <w:tcPr>
            <w:tcW w:w="0" w:type="auto"/>
            <w:shd w:val="clear" w:color="auto" w:fill="auto"/>
            <w:vAlign w:val="bottom"/>
          </w:tcPr>
          <w:p w14:paraId="59029C52" w14:textId="77777777" w:rsidR="0084406A" w:rsidRDefault="0084406A">
            <w:pPr>
              <w:rPr>
                <w:rFonts w:ascii="宋体"/>
              </w:rPr>
            </w:pPr>
          </w:p>
        </w:tc>
        <w:tc>
          <w:tcPr>
            <w:tcW w:w="0" w:type="auto"/>
            <w:shd w:val="clear" w:color="auto" w:fill="auto"/>
            <w:vAlign w:val="bottom"/>
          </w:tcPr>
          <w:p w14:paraId="59029C53" w14:textId="77777777" w:rsidR="0084406A" w:rsidRDefault="0084406A">
            <w:pPr>
              <w:rPr>
                <w:rFonts w:ascii="宋体"/>
              </w:rPr>
            </w:pPr>
          </w:p>
        </w:tc>
        <w:tc>
          <w:tcPr>
            <w:tcW w:w="0" w:type="auto"/>
            <w:shd w:val="clear" w:color="auto" w:fill="auto"/>
            <w:vAlign w:val="bottom"/>
          </w:tcPr>
          <w:p w14:paraId="59029C54" w14:textId="77777777" w:rsidR="0084406A" w:rsidRDefault="0084406A">
            <w:pPr>
              <w:rPr>
                <w:rFonts w:ascii="宋体"/>
              </w:rPr>
            </w:pPr>
          </w:p>
        </w:tc>
        <w:tc>
          <w:tcPr>
            <w:tcW w:w="0" w:type="auto"/>
            <w:shd w:val="clear" w:color="auto" w:fill="auto"/>
            <w:vAlign w:val="bottom"/>
          </w:tcPr>
          <w:p w14:paraId="59029C55" w14:textId="77777777" w:rsidR="0084406A" w:rsidRDefault="0084406A">
            <w:pPr>
              <w:rPr>
                <w:rFonts w:ascii="宋体"/>
              </w:rPr>
            </w:pPr>
          </w:p>
        </w:tc>
        <w:tc>
          <w:tcPr>
            <w:tcW w:w="0" w:type="auto"/>
            <w:shd w:val="clear" w:color="auto" w:fill="auto"/>
            <w:vAlign w:val="bottom"/>
          </w:tcPr>
          <w:p w14:paraId="59029C56" w14:textId="77777777" w:rsidR="0084406A" w:rsidRDefault="0084406A">
            <w:pPr>
              <w:rPr>
                <w:rFonts w:ascii="宋体"/>
              </w:rPr>
            </w:pPr>
          </w:p>
        </w:tc>
      </w:tr>
      <w:tr w:rsidR="0084406A" w14:paraId="59029C5E" w14:textId="77777777">
        <w:tc>
          <w:tcPr>
            <w:tcW w:w="0" w:type="auto"/>
            <w:gridSpan w:val="3"/>
            <w:shd w:val="clear" w:color="auto" w:fill="CCEEFF"/>
            <w:tcMar>
              <w:top w:w="40" w:type="dxa"/>
              <w:left w:w="20" w:type="dxa"/>
              <w:bottom w:w="40" w:type="dxa"/>
              <w:right w:w="20" w:type="dxa"/>
            </w:tcMar>
            <w:vAlign w:val="bottom"/>
          </w:tcPr>
          <w:p w14:paraId="59029C58" w14:textId="77777777" w:rsidR="0084406A" w:rsidRDefault="002B18AF">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59029C5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C5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C5B" w14:textId="77777777" w:rsidR="0084406A" w:rsidRDefault="0084406A">
            <w:pPr>
              <w:rPr>
                <w:rFonts w:ascii="宋体"/>
              </w:rPr>
            </w:pPr>
          </w:p>
        </w:tc>
        <w:tc>
          <w:tcPr>
            <w:tcW w:w="0" w:type="auto"/>
            <w:gridSpan w:val="3"/>
            <w:shd w:val="clear" w:color="auto" w:fill="auto"/>
            <w:vAlign w:val="bottom"/>
          </w:tcPr>
          <w:p w14:paraId="59029C5C" w14:textId="77777777" w:rsidR="0084406A" w:rsidRDefault="0084406A">
            <w:pPr>
              <w:rPr>
                <w:rFonts w:ascii="宋体"/>
                <w:vanish/>
              </w:rPr>
            </w:pPr>
          </w:p>
        </w:tc>
        <w:tc>
          <w:tcPr>
            <w:tcW w:w="0" w:type="auto"/>
            <w:gridSpan w:val="3"/>
            <w:shd w:val="clear" w:color="auto" w:fill="auto"/>
            <w:vAlign w:val="bottom"/>
          </w:tcPr>
          <w:p w14:paraId="59029C5D" w14:textId="77777777" w:rsidR="0084406A" w:rsidRDefault="0084406A">
            <w:pPr>
              <w:rPr>
                <w:rFonts w:ascii="宋体"/>
                <w:vanish/>
              </w:rPr>
            </w:pPr>
          </w:p>
        </w:tc>
      </w:tr>
      <w:tr w:rsidR="0084406A" w14:paraId="59029C69" w14:textId="77777777">
        <w:tc>
          <w:tcPr>
            <w:tcW w:w="0" w:type="auto"/>
            <w:gridSpan w:val="3"/>
            <w:shd w:val="clear" w:color="auto" w:fill="FFFFFF"/>
            <w:tcMar>
              <w:top w:w="40" w:type="dxa"/>
              <w:left w:w="380" w:type="dxa"/>
              <w:bottom w:w="40" w:type="dxa"/>
              <w:right w:w="20" w:type="dxa"/>
            </w:tcMar>
            <w:vAlign w:val="bottom"/>
          </w:tcPr>
          <w:p w14:paraId="59029C5F" w14:textId="77777777" w:rsidR="0084406A" w:rsidRDefault="002B18A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59029C6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C61" w14:textId="77777777" w:rsidR="0084406A" w:rsidRDefault="002B18AF">
            <w:pPr>
              <w:jc w:val="right"/>
              <w:textAlignment w:val="bottom"/>
            </w:pPr>
            <w:r>
              <w:rPr>
                <w:rFonts w:ascii="Arial" w:eastAsia="宋体" w:hAnsi="Arial" w:cs="Arial"/>
                <w:color w:val="000000"/>
                <w:sz w:val="20"/>
                <w:szCs w:val="20"/>
              </w:rPr>
              <w:t>9,332 </w:t>
            </w:r>
          </w:p>
        </w:tc>
        <w:tc>
          <w:tcPr>
            <w:tcW w:w="0" w:type="auto"/>
            <w:shd w:val="clear" w:color="auto" w:fill="FFFFFF"/>
            <w:tcMar>
              <w:top w:w="40" w:type="dxa"/>
              <w:left w:w="0" w:type="dxa"/>
              <w:bottom w:w="40" w:type="dxa"/>
              <w:right w:w="20" w:type="dxa"/>
            </w:tcMar>
            <w:vAlign w:val="bottom"/>
          </w:tcPr>
          <w:p w14:paraId="59029C6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C6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C6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C65" w14:textId="77777777" w:rsidR="0084406A" w:rsidRDefault="002B18AF">
            <w:pPr>
              <w:jc w:val="right"/>
              <w:textAlignment w:val="bottom"/>
            </w:pPr>
            <w:r>
              <w:rPr>
                <w:rFonts w:ascii="Arial" w:eastAsia="宋体" w:hAnsi="Arial" w:cs="Arial"/>
                <w:color w:val="000000"/>
                <w:sz w:val="20"/>
                <w:szCs w:val="20"/>
              </w:rPr>
              <w:t>6,432 </w:t>
            </w:r>
          </w:p>
        </w:tc>
        <w:tc>
          <w:tcPr>
            <w:tcW w:w="0" w:type="auto"/>
            <w:shd w:val="clear" w:color="auto" w:fill="FFFFFF"/>
            <w:tcMar>
              <w:top w:w="40" w:type="dxa"/>
              <w:left w:w="0" w:type="dxa"/>
              <w:bottom w:w="40" w:type="dxa"/>
              <w:right w:w="20" w:type="dxa"/>
            </w:tcMar>
            <w:vAlign w:val="bottom"/>
          </w:tcPr>
          <w:p w14:paraId="59029C66" w14:textId="77777777" w:rsidR="0084406A" w:rsidRDefault="0084406A">
            <w:pPr>
              <w:jc w:val="right"/>
              <w:rPr>
                <w:rFonts w:ascii="宋体"/>
              </w:rPr>
            </w:pPr>
          </w:p>
        </w:tc>
        <w:tc>
          <w:tcPr>
            <w:tcW w:w="0" w:type="auto"/>
            <w:gridSpan w:val="3"/>
            <w:shd w:val="clear" w:color="auto" w:fill="auto"/>
            <w:vAlign w:val="bottom"/>
          </w:tcPr>
          <w:p w14:paraId="59029C67" w14:textId="77777777" w:rsidR="0084406A" w:rsidRDefault="0084406A">
            <w:pPr>
              <w:rPr>
                <w:rFonts w:ascii="宋体"/>
                <w:vanish/>
              </w:rPr>
            </w:pPr>
          </w:p>
        </w:tc>
        <w:tc>
          <w:tcPr>
            <w:tcW w:w="0" w:type="auto"/>
            <w:gridSpan w:val="3"/>
            <w:shd w:val="clear" w:color="auto" w:fill="auto"/>
            <w:vAlign w:val="bottom"/>
          </w:tcPr>
          <w:p w14:paraId="59029C68" w14:textId="77777777" w:rsidR="0084406A" w:rsidRDefault="0084406A">
            <w:pPr>
              <w:rPr>
                <w:rFonts w:ascii="宋体"/>
                <w:vanish/>
              </w:rPr>
            </w:pPr>
          </w:p>
        </w:tc>
      </w:tr>
      <w:tr w:rsidR="0084406A" w14:paraId="59029C72" w14:textId="77777777">
        <w:tc>
          <w:tcPr>
            <w:tcW w:w="0" w:type="auto"/>
            <w:gridSpan w:val="3"/>
            <w:shd w:val="clear" w:color="auto" w:fill="CCEEFF"/>
            <w:tcMar>
              <w:top w:w="40" w:type="dxa"/>
              <w:left w:w="380" w:type="dxa"/>
              <w:bottom w:w="40" w:type="dxa"/>
              <w:right w:w="20" w:type="dxa"/>
            </w:tcMar>
            <w:vAlign w:val="bottom"/>
          </w:tcPr>
          <w:p w14:paraId="59029C6A" w14:textId="77777777" w:rsidR="0084406A" w:rsidRDefault="002B18A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59029C6B" w14:textId="77777777" w:rsidR="0084406A" w:rsidRDefault="002B18AF">
            <w:pPr>
              <w:jc w:val="right"/>
              <w:textAlignment w:val="bottom"/>
            </w:pPr>
            <w:r>
              <w:rPr>
                <w:rFonts w:ascii="Arial" w:eastAsia="宋体" w:hAnsi="Arial" w:cs="Arial"/>
                <w:color w:val="000000"/>
                <w:sz w:val="20"/>
                <w:szCs w:val="20"/>
              </w:rPr>
              <w:t>7,102 </w:t>
            </w:r>
          </w:p>
        </w:tc>
        <w:tc>
          <w:tcPr>
            <w:tcW w:w="0" w:type="auto"/>
            <w:shd w:val="clear" w:color="auto" w:fill="CCEEFF"/>
            <w:tcMar>
              <w:top w:w="40" w:type="dxa"/>
              <w:left w:w="0" w:type="dxa"/>
              <w:bottom w:w="40" w:type="dxa"/>
              <w:right w:w="20" w:type="dxa"/>
            </w:tcMar>
            <w:vAlign w:val="bottom"/>
          </w:tcPr>
          <w:p w14:paraId="59029C6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C6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C6E" w14:textId="77777777" w:rsidR="0084406A" w:rsidRDefault="002B18AF">
            <w:pPr>
              <w:jc w:val="right"/>
              <w:textAlignment w:val="bottom"/>
            </w:pPr>
            <w:r>
              <w:rPr>
                <w:rFonts w:ascii="Arial" w:eastAsia="宋体" w:hAnsi="Arial" w:cs="Arial"/>
                <w:color w:val="000000"/>
                <w:sz w:val="20"/>
                <w:szCs w:val="20"/>
              </w:rPr>
              <w:t>3,331 </w:t>
            </w:r>
          </w:p>
        </w:tc>
        <w:tc>
          <w:tcPr>
            <w:tcW w:w="0" w:type="auto"/>
            <w:shd w:val="clear" w:color="auto" w:fill="CCEEFF"/>
            <w:tcMar>
              <w:top w:w="40" w:type="dxa"/>
              <w:left w:w="0" w:type="dxa"/>
              <w:bottom w:w="40" w:type="dxa"/>
              <w:right w:w="20" w:type="dxa"/>
            </w:tcMar>
            <w:vAlign w:val="bottom"/>
          </w:tcPr>
          <w:p w14:paraId="59029C6F" w14:textId="77777777" w:rsidR="0084406A" w:rsidRDefault="0084406A">
            <w:pPr>
              <w:jc w:val="right"/>
              <w:rPr>
                <w:rFonts w:ascii="宋体"/>
              </w:rPr>
            </w:pPr>
          </w:p>
        </w:tc>
        <w:tc>
          <w:tcPr>
            <w:tcW w:w="0" w:type="auto"/>
            <w:gridSpan w:val="3"/>
            <w:shd w:val="clear" w:color="auto" w:fill="auto"/>
            <w:vAlign w:val="bottom"/>
          </w:tcPr>
          <w:p w14:paraId="59029C70" w14:textId="77777777" w:rsidR="0084406A" w:rsidRDefault="0084406A">
            <w:pPr>
              <w:rPr>
                <w:rFonts w:ascii="宋体"/>
                <w:vanish/>
              </w:rPr>
            </w:pPr>
          </w:p>
        </w:tc>
        <w:tc>
          <w:tcPr>
            <w:tcW w:w="0" w:type="auto"/>
            <w:gridSpan w:val="3"/>
            <w:shd w:val="clear" w:color="auto" w:fill="auto"/>
            <w:vAlign w:val="bottom"/>
          </w:tcPr>
          <w:p w14:paraId="59029C71" w14:textId="77777777" w:rsidR="0084406A" w:rsidRDefault="0084406A">
            <w:pPr>
              <w:rPr>
                <w:rFonts w:ascii="宋体"/>
                <w:vanish/>
              </w:rPr>
            </w:pPr>
          </w:p>
        </w:tc>
      </w:tr>
      <w:tr w:rsidR="0084406A" w14:paraId="59029C79" w14:textId="77777777">
        <w:trPr>
          <w:hidden/>
        </w:trPr>
        <w:tc>
          <w:tcPr>
            <w:tcW w:w="0" w:type="auto"/>
            <w:gridSpan w:val="3"/>
            <w:shd w:val="clear" w:color="auto" w:fill="auto"/>
            <w:vAlign w:val="bottom"/>
          </w:tcPr>
          <w:p w14:paraId="59029C73" w14:textId="77777777" w:rsidR="0084406A" w:rsidRDefault="0084406A">
            <w:pPr>
              <w:rPr>
                <w:rFonts w:ascii="宋体"/>
                <w:vanish/>
              </w:rPr>
            </w:pPr>
          </w:p>
        </w:tc>
        <w:tc>
          <w:tcPr>
            <w:tcW w:w="0" w:type="auto"/>
            <w:gridSpan w:val="3"/>
            <w:shd w:val="clear" w:color="auto" w:fill="auto"/>
            <w:vAlign w:val="bottom"/>
          </w:tcPr>
          <w:p w14:paraId="59029C74" w14:textId="77777777" w:rsidR="0084406A" w:rsidRDefault="0084406A">
            <w:pPr>
              <w:rPr>
                <w:rFonts w:ascii="宋体"/>
                <w:vanish/>
              </w:rPr>
            </w:pPr>
          </w:p>
        </w:tc>
        <w:tc>
          <w:tcPr>
            <w:tcW w:w="0" w:type="auto"/>
            <w:gridSpan w:val="3"/>
            <w:shd w:val="clear" w:color="auto" w:fill="auto"/>
            <w:vAlign w:val="bottom"/>
          </w:tcPr>
          <w:p w14:paraId="59029C75" w14:textId="77777777" w:rsidR="0084406A" w:rsidRDefault="0084406A">
            <w:pPr>
              <w:rPr>
                <w:rFonts w:ascii="宋体"/>
                <w:vanish/>
              </w:rPr>
            </w:pPr>
          </w:p>
        </w:tc>
        <w:tc>
          <w:tcPr>
            <w:tcW w:w="0" w:type="auto"/>
            <w:gridSpan w:val="3"/>
            <w:shd w:val="clear" w:color="auto" w:fill="auto"/>
            <w:vAlign w:val="bottom"/>
          </w:tcPr>
          <w:p w14:paraId="59029C76" w14:textId="77777777" w:rsidR="0084406A" w:rsidRDefault="0084406A">
            <w:pPr>
              <w:rPr>
                <w:rFonts w:ascii="宋体"/>
                <w:vanish/>
              </w:rPr>
            </w:pPr>
          </w:p>
        </w:tc>
        <w:tc>
          <w:tcPr>
            <w:tcW w:w="0" w:type="auto"/>
            <w:gridSpan w:val="3"/>
            <w:shd w:val="clear" w:color="auto" w:fill="auto"/>
            <w:vAlign w:val="bottom"/>
          </w:tcPr>
          <w:p w14:paraId="59029C77" w14:textId="77777777" w:rsidR="0084406A" w:rsidRDefault="0084406A">
            <w:pPr>
              <w:rPr>
                <w:rFonts w:ascii="宋体"/>
                <w:vanish/>
              </w:rPr>
            </w:pPr>
          </w:p>
        </w:tc>
        <w:tc>
          <w:tcPr>
            <w:tcW w:w="0" w:type="auto"/>
            <w:gridSpan w:val="3"/>
            <w:shd w:val="clear" w:color="auto" w:fill="auto"/>
            <w:vAlign w:val="bottom"/>
          </w:tcPr>
          <w:p w14:paraId="59029C78" w14:textId="77777777" w:rsidR="0084406A" w:rsidRDefault="0084406A">
            <w:pPr>
              <w:rPr>
                <w:rFonts w:ascii="宋体"/>
                <w:vanish/>
              </w:rPr>
            </w:pPr>
          </w:p>
        </w:tc>
      </w:tr>
      <w:tr w:rsidR="0084406A" w14:paraId="59029C84" w14:textId="77777777">
        <w:tc>
          <w:tcPr>
            <w:tcW w:w="0" w:type="auto"/>
            <w:gridSpan w:val="3"/>
            <w:shd w:val="clear" w:color="auto" w:fill="FFFFFF"/>
            <w:tcMar>
              <w:top w:w="40" w:type="dxa"/>
              <w:left w:w="20" w:type="dxa"/>
              <w:bottom w:w="40" w:type="dxa"/>
              <w:right w:w="20" w:type="dxa"/>
            </w:tcMar>
            <w:vAlign w:val="bottom"/>
          </w:tcPr>
          <w:p w14:paraId="59029C7A" w14:textId="77777777" w:rsidR="0084406A" w:rsidRDefault="002B18AF">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9C7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9C7C" w14:textId="77777777" w:rsidR="0084406A" w:rsidRDefault="002B18AF">
            <w:pPr>
              <w:jc w:val="right"/>
              <w:textAlignment w:val="bottom"/>
            </w:pPr>
            <w:r>
              <w:rPr>
                <w:rFonts w:ascii="Arial" w:eastAsia="宋体" w:hAnsi="Arial" w:cs="Arial"/>
                <w:color w:val="000000"/>
                <w:sz w:val="20"/>
                <w:szCs w:val="20"/>
              </w:rPr>
              <w:t>16,434 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C7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C7E"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9C7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9C80" w14:textId="77777777" w:rsidR="0084406A" w:rsidRDefault="002B18AF">
            <w:pPr>
              <w:jc w:val="right"/>
              <w:textAlignment w:val="bottom"/>
            </w:pPr>
            <w:r>
              <w:rPr>
                <w:rFonts w:ascii="Arial" w:eastAsia="宋体" w:hAnsi="Arial" w:cs="Arial"/>
                <w:color w:val="000000"/>
                <w:sz w:val="20"/>
                <w:szCs w:val="20"/>
              </w:rPr>
              <w:t>9,763 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C81" w14:textId="77777777" w:rsidR="0084406A" w:rsidRDefault="0084406A">
            <w:pPr>
              <w:jc w:val="right"/>
              <w:rPr>
                <w:rFonts w:ascii="宋体"/>
              </w:rPr>
            </w:pPr>
          </w:p>
        </w:tc>
        <w:tc>
          <w:tcPr>
            <w:tcW w:w="0" w:type="auto"/>
            <w:gridSpan w:val="3"/>
            <w:shd w:val="clear" w:color="auto" w:fill="auto"/>
            <w:vAlign w:val="bottom"/>
          </w:tcPr>
          <w:p w14:paraId="59029C82" w14:textId="77777777" w:rsidR="0084406A" w:rsidRDefault="0084406A">
            <w:pPr>
              <w:rPr>
                <w:rFonts w:ascii="宋体"/>
                <w:vanish/>
              </w:rPr>
            </w:pPr>
          </w:p>
        </w:tc>
        <w:tc>
          <w:tcPr>
            <w:tcW w:w="0" w:type="auto"/>
            <w:gridSpan w:val="3"/>
            <w:shd w:val="clear" w:color="auto" w:fill="auto"/>
            <w:vAlign w:val="bottom"/>
          </w:tcPr>
          <w:p w14:paraId="59029C83" w14:textId="77777777" w:rsidR="0084406A" w:rsidRDefault="0084406A">
            <w:pPr>
              <w:rPr>
                <w:rFonts w:ascii="宋体"/>
                <w:vanish/>
              </w:rPr>
            </w:pPr>
          </w:p>
        </w:tc>
      </w:tr>
      <w:tr w:rsidR="0084406A" w14:paraId="59029C8B" w14:textId="77777777">
        <w:tc>
          <w:tcPr>
            <w:tcW w:w="0" w:type="auto"/>
            <w:gridSpan w:val="3"/>
            <w:shd w:val="clear" w:color="auto" w:fill="CCEEFF"/>
            <w:tcMar>
              <w:top w:w="40" w:type="dxa"/>
              <w:left w:w="20" w:type="dxa"/>
              <w:bottom w:w="40" w:type="dxa"/>
              <w:right w:w="20" w:type="dxa"/>
            </w:tcMar>
            <w:vAlign w:val="bottom"/>
          </w:tcPr>
          <w:p w14:paraId="59029C85" w14:textId="77777777" w:rsidR="0084406A" w:rsidRDefault="002B18AF">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9C8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C87"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9C88" w14:textId="77777777" w:rsidR="0084406A" w:rsidRDefault="0084406A">
            <w:pPr>
              <w:rPr>
                <w:rFonts w:ascii="宋体"/>
              </w:rPr>
            </w:pPr>
          </w:p>
        </w:tc>
        <w:tc>
          <w:tcPr>
            <w:tcW w:w="0" w:type="auto"/>
            <w:gridSpan w:val="3"/>
            <w:shd w:val="clear" w:color="auto" w:fill="auto"/>
            <w:vAlign w:val="bottom"/>
          </w:tcPr>
          <w:p w14:paraId="59029C89" w14:textId="77777777" w:rsidR="0084406A" w:rsidRDefault="0084406A">
            <w:pPr>
              <w:rPr>
                <w:rFonts w:ascii="宋体"/>
                <w:vanish/>
              </w:rPr>
            </w:pPr>
          </w:p>
        </w:tc>
        <w:tc>
          <w:tcPr>
            <w:tcW w:w="0" w:type="auto"/>
            <w:gridSpan w:val="3"/>
            <w:shd w:val="clear" w:color="auto" w:fill="auto"/>
            <w:vAlign w:val="bottom"/>
          </w:tcPr>
          <w:p w14:paraId="59029C8A" w14:textId="77777777" w:rsidR="0084406A" w:rsidRDefault="0084406A">
            <w:pPr>
              <w:rPr>
                <w:rFonts w:ascii="宋体"/>
                <w:vanish/>
              </w:rPr>
            </w:pPr>
          </w:p>
        </w:tc>
      </w:tr>
      <w:tr w:rsidR="0084406A" w14:paraId="59029C96" w14:textId="77777777">
        <w:tc>
          <w:tcPr>
            <w:tcW w:w="0" w:type="auto"/>
            <w:gridSpan w:val="3"/>
            <w:shd w:val="clear" w:color="auto" w:fill="FFFFFF"/>
            <w:tcMar>
              <w:top w:w="40" w:type="dxa"/>
              <w:left w:w="380" w:type="dxa"/>
              <w:bottom w:w="40" w:type="dxa"/>
              <w:right w:w="20" w:type="dxa"/>
            </w:tcMar>
            <w:vAlign w:val="bottom"/>
          </w:tcPr>
          <w:p w14:paraId="59029C8C" w14:textId="77777777" w:rsidR="0084406A" w:rsidRDefault="002B18A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59029C8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C8E" w14:textId="77777777" w:rsidR="0084406A" w:rsidRDefault="002B18AF">
            <w:pPr>
              <w:jc w:val="right"/>
              <w:textAlignment w:val="bottom"/>
            </w:pPr>
            <w:r>
              <w:rPr>
                <w:rFonts w:ascii="Arial" w:eastAsia="宋体" w:hAnsi="Arial" w:cs="Arial"/>
                <w:color w:val="000000"/>
                <w:sz w:val="20"/>
                <w:szCs w:val="20"/>
              </w:rPr>
              <w:t>2,090 </w:t>
            </w:r>
          </w:p>
        </w:tc>
        <w:tc>
          <w:tcPr>
            <w:tcW w:w="0" w:type="auto"/>
            <w:shd w:val="clear" w:color="auto" w:fill="FFFFFF"/>
            <w:tcMar>
              <w:top w:w="40" w:type="dxa"/>
              <w:left w:w="0" w:type="dxa"/>
              <w:bottom w:w="40" w:type="dxa"/>
              <w:right w:w="20" w:type="dxa"/>
            </w:tcMar>
            <w:vAlign w:val="bottom"/>
          </w:tcPr>
          <w:p w14:paraId="59029C8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C90"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C9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C92" w14:textId="77777777" w:rsidR="0084406A" w:rsidRDefault="002B18AF">
            <w:pPr>
              <w:jc w:val="right"/>
              <w:textAlignment w:val="bottom"/>
            </w:pPr>
            <w:r>
              <w:rPr>
                <w:rFonts w:ascii="Arial" w:eastAsia="宋体" w:hAnsi="Arial" w:cs="Arial"/>
                <w:color w:val="000000"/>
                <w:sz w:val="20"/>
                <w:szCs w:val="20"/>
              </w:rPr>
              <w:t>1,266 </w:t>
            </w:r>
          </w:p>
        </w:tc>
        <w:tc>
          <w:tcPr>
            <w:tcW w:w="0" w:type="auto"/>
            <w:shd w:val="clear" w:color="auto" w:fill="FFFFFF"/>
            <w:tcMar>
              <w:top w:w="40" w:type="dxa"/>
              <w:left w:w="0" w:type="dxa"/>
              <w:bottom w:w="40" w:type="dxa"/>
              <w:right w:w="20" w:type="dxa"/>
            </w:tcMar>
            <w:vAlign w:val="bottom"/>
          </w:tcPr>
          <w:p w14:paraId="59029C93" w14:textId="77777777" w:rsidR="0084406A" w:rsidRDefault="0084406A">
            <w:pPr>
              <w:jc w:val="right"/>
              <w:rPr>
                <w:rFonts w:ascii="宋体"/>
              </w:rPr>
            </w:pPr>
          </w:p>
        </w:tc>
        <w:tc>
          <w:tcPr>
            <w:tcW w:w="0" w:type="auto"/>
            <w:gridSpan w:val="3"/>
            <w:shd w:val="clear" w:color="auto" w:fill="auto"/>
            <w:vAlign w:val="bottom"/>
          </w:tcPr>
          <w:p w14:paraId="59029C94" w14:textId="77777777" w:rsidR="0084406A" w:rsidRDefault="0084406A">
            <w:pPr>
              <w:rPr>
                <w:rFonts w:ascii="宋体"/>
                <w:vanish/>
              </w:rPr>
            </w:pPr>
          </w:p>
        </w:tc>
        <w:tc>
          <w:tcPr>
            <w:tcW w:w="0" w:type="auto"/>
            <w:gridSpan w:val="3"/>
            <w:shd w:val="clear" w:color="auto" w:fill="auto"/>
            <w:vAlign w:val="bottom"/>
          </w:tcPr>
          <w:p w14:paraId="59029C95" w14:textId="77777777" w:rsidR="0084406A" w:rsidRDefault="0084406A">
            <w:pPr>
              <w:rPr>
                <w:rFonts w:ascii="宋体"/>
                <w:vanish/>
              </w:rPr>
            </w:pPr>
          </w:p>
        </w:tc>
      </w:tr>
      <w:tr w:rsidR="0084406A" w14:paraId="59029C9F" w14:textId="77777777">
        <w:tc>
          <w:tcPr>
            <w:tcW w:w="0" w:type="auto"/>
            <w:gridSpan w:val="3"/>
            <w:shd w:val="clear" w:color="auto" w:fill="CCEEFF"/>
            <w:tcMar>
              <w:top w:w="40" w:type="dxa"/>
              <w:left w:w="380" w:type="dxa"/>
              <w:bottom w:w="40" w:type="dxa"/>
              <w:right w:w="20" w:type="dxa"/>
            </w:tcMar>
            <w:vAlign w:val="bottom"/>
          </w:tcPr>
          <w:p w14:paraId="59029C97" w14:textId="77777777" w:rsidR="0084406A" w:rsidRDefault="002B18A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59029C98" w14:textId="77777777" w:rsidR="0084406A" w:rsidRDefault="002B18AF">
            <w:pPr>
              <w:jc w:val="right"/>
              <w:textAlignment w:val="bottom"/>
            </w:pPr>
            <w:r>
              <w:rPr>
                <w:rFonts w:ascii="Arial" w:eastAsia="宋体" w:hAnsi="Arial" w:cs="Arial"/>
                <w:color w:val="000000"/>
                <w:sz w:val="20"/>
                <w:szCs w:val="20"/>
              </w:rPr>
              <w:t>1,979 </w:t>
            </w:r>
          </w:p>
        </w:tc>
        <w:tc>
          <w:tcPr>
            <w:tcW w:w="0" w:type="auto"/>
            <w:shd w:val="clear" w:color="auto" w:fill="CCEEFF"/>
            <w:tcMar>
              <w:top w:w="40" w:type="dxa"/>
              <w:left w:w="0" w:type="dxa"/>
              <w:bottom w:w="40" w:type="dxa"/>
              <w:right w:w="20" w:type="dxa"/>
            </w:tcMar>
            <w:vAlign w:val="bottom"/>
          </w:tcPr>
          <w:p w14:paraId="59029C9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C9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C9B" w14:textId="77777777" w:rsidR="0084406A" w:rsidRDefault="002B18AF">
            <w:pPr>
              <w:jc w:val="right"/>
              <w:textAlignment w:val="bottom"/>
            </w:pPr>
            <w:r>
              <w:rPr>
                <w:rFonts w:ascii="Arial" w:eastAsia="宋体" w:hAnsi="Arial" w:cs="Arial"/>
                <w:color w:val="000000"/>
                <w:sz w:val="20"/>
                <w:szCs w:val="20"/>
              </w:rPr>
              <w:t>391 </w:t>
            </w:r>
          </w:p>
        </w:tc>
        <w:tc>
          <w:tcPr>
            <w:tcW w:w="0" w:type="auto"/>
            <w:shd w:val="clear" w:color="auto" w:fill="CCEEFF"/>
            <w:tcMar>
              <w:top w:w="40" w:type="dxa"/>
              <w:left w:w="0" w:type="dxa"/>
              <w:bottom w:w="40" w:type="dxa"/>
              <w:right w:w="20" w:type="dxa"/>
            </w:tcMar>
            <w:vAlign w:val="bottom"/>
          </w:tcPr>
          <w:p w14:paraId="59029C9C" w14:textId="77777777" w:rsidR="0084406A" w:rsidRDefault="0084406A">
            <w:pPr>
              <w:jc w:val="right"/>
              <w:rPr>
                <w:rFonts w:ascii="宋体"/>
              </w:rPr>
            </w:pPr>
          </w:p>
        </w:tc>
        <w:tc>
          <w:tcPr>
            <w:tcW w:w="0" w:type="auto"/>
            <w:gridSpan w:val="3"/>
            <w:shd w:val="clear" w:color="auto" w:fill="auto"/>
            <w:vAlign w:val="bottom"/>
          </w:tcPr>
          <w:p w14:paraId="59029C9D" w14:textId="77777777" w:rsidR="0084406A" w:rsidRDefault="0084406A">
            <w:pPr>
              <w:rPr>
                <w:rFonts w:ascii="宋体"/>
                <w:vanish/>
              </w:rPr>
            </w:pPr>
          </w:p>
        </w:tc>
        <w:tc>
          <w:tcPr>
            <w:tcW w:w="0" w:type="auto"/>
            <w:gridSpan w:val="3"/>
            <w:shd w:val="clear" w:color="auto" w:fill="auto"/>
            <w:vAlign w:val="bottom"/>
          </w:tcPr>
          <w:p w14:paraId="59029C9E" w14:textId="77777777" w:rsidR="0084406A" w:rsidRDefault="0084406A">
            <w:pPr>
              <w:rPr>
                <w:rFonts w:ascii="宋体"/>
                <w:vanish/>
              </w:rPr>
            </w:pPr>
          </w:p>
        </w:tc>
      </w:tr>
      <w:tr w:rsidR="0084406A" w14:paraId="59029CA8" w14:textId="77777777">
        <w:tc>
          <w:tcPr>
            <w:tcW w:w="0" w:type="auto"/>
            <w:gridSpan w:val="3"/>
            <w:shd w:val="clear" w:color="auto" w:fill="FFFFFF"/>
            <w:tcMar>
              <w:top w:w="40" w:type="dxa"/>
              <w:left w:w="380" w:type="dxa"/>
              <w:bottom w:w="40" w:type="dxa"/>
              <w:right w:w="20" w:type="dxa"/>
            </w:tcMar>
            <w:vAlign w:val="bottom"/>
          </w:tcPr>
          <w:p w14:paraId="59029CA0" w14:textId="77777777" w:rsidR="0084406A" w:rsidRDefault="002B18AF">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59029CA1" w14:textId="77777777" w:rsidR="0084406A" w:rsidRDefault="002B18AF">
            <w:pPr>
              <w:jc w:val="right"/>
              <w:textAlignment w:val="bottom"/>
            </w:pPr>
            <w:r>
              <w:rPr>
                <w:rFonts w:ascii="Arial" w:eastAsia="宋体" w:hAnsi="Arial" w:cs="Arial"/>
                <w:color w:val="000000"/>
                <w:sz w:val="20"/>
                <w:szCs w:val="20"/>
              </w:rPr>
              <w:t>(421)</w:t>
            </w:r>
          </w:p>
        </w:tc>
        <w:tc>
          <w:tcPr>
            <w:tcW w:w="0" w:type="auto"/>
            <w:shd w:val="clear" w:color="auto" w:fill="FFFFFF"/>
            <w:tcMar>
              <w:top w:w="40" w:type="dxa"/>
              <w:left w:w="0" w:type="dxa"/>
              <w:bottom w:w="40" w:type="dxa"/>
              <w:right w:w="20" w:type="dxa"/>
            </w:tcMar>
            <w:vAlign w:val="bottom"/>
          </w:tcPr>
          <w:p w14:paraId="59029CA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CA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CA4" w14:textId="77777777" w:rsidR="0084406A" w:rsidRDefault="002B18AF">
            <w:pPr>
              <w:jc w:val="right"/>
              <w:textAlignment w:val="bottom"/>
            </w:pPr>
            <w:r>
              <w:rPr>
                <w:rFonts w:ascii="Arial" w:eastAsia="宋体" w:hAnsi="Arial" w:cs="Arial"/>
                <w:color w:val="000000"/>
                <w:sz w:val="20"/>
                <w:szCs w:val="20"/>
              </w:rPr>
              <w:t>(288)</w:t>
            </w:r>
          </w:p>
        </w:tc>
        <w:tc>
          <w:tcPr>
            <w:tcW w:w="0" w:type="auto"/>
            <w:shd w:val="clear" w:color="auto" w:fill="FFFFFF"/>
            <w:tcMar>
              <w:top w:w="40" w:type="dxa"/>
              <w:left w:w="0" w:type="dxa"/>
              <w:bottom w:w="40" w:type="dxa"/>
              <w:right w:w="20" w:type="dxa"/>
            </w:tcMar>
            <w:vAlign w:val="bottom"/>
          </w:tcPr>
          <w:p w14:paraId="59029CA5" w14:textId="77777777" w:rsidR="0084406A" w:rsidRDefault="0084406A">
            <w:pPr>
              <w:jc w:val="right"/>
              <w:rPr>
                <w:rFonts w:ascii="宋体"/>
              </w:rPr>
            </w:pPr>
          </w:p>
        </w:tc>
        <w:tc>
          <w:tcPr>
            <w:tcW w:w="0" w:type="auto"/>
            <w:gridSpan w:val="3"/>
            <w:shd w:val="clear" w:color="auto" w:fill="auto"/>
            <w:vAlign w:val="bottom"/>
          </w:tcPr>
          <w:p w14:paraId="59029CA6" w14:textId="77777777" w:rsidR="0084406A" w:rsidRDefault="0084406A">
            <w:pPr>
              <w:rPr>
                <w:rFonts w:ascii="宋体"/>
                <w:vanish/>
              </w:rPr>
            </w:pPr>
          </w:p>
        </w:tc>
        <w:tc>
          <w:tcPr>
            <w:tcW w:w="0" w:type="auto"/>
            <w:gridSpan w:val="3"/>
            <w:shd w:val="clear" w:color="auto" w:fill="auto"/>
            <w:vAlign w:val="bottom"/>
          </w:tcPr>
          <w:p w14:paraId="59029CA7" w14:textId="77777777" w:rsidR="0084406A" w:rsidRDefault="0084406A">
            <w:pPr>
              <w:rPr>
                <w:rFonts w:ascii="宋体"/>
                <w:vanish/>
              </w:rPr>
            </w:pPr>
          </w:p>
        </w:tc>
      </w:tr>
      <w:tr w:rsidR="0084406A" w14:paraId="59029CB3" w14:textId="77777777">
        <w:tc>
          <w:tcPr>
            <w:tcW w:w="0" w:type="auto"/>
            <w:gridSpan w:val="3"/>
            <w:shd w:val="clear" w:color="auto" w:fill="CCEEFF"/>
            <w:tcMar>
              <w:top w:w="40" w:type="dxa"/>
              <w:left w:w="20" w:type="dxa"/>
              <w:bottom w:w="40" w:type="dxa"/>
              <w:right w:w="20" w:type="dxa"/>
            </w:tcMar>
            <w:vAlign w:val="bottom"/>
          </w:tcPr>
          <w:p w14:paraId="59029CA9" w14:textId="77777777" w:rsidR="0084406A" w:rsidRDefault="002B18AF">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CA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CAB" w14:textId="77777777" w:rsidR="0084406A" w:rsidRDefault="002B18AF">
            <w:pPr>
              <w:jc w:val="right"/>
              <w:textAlignment w:val="bottom"/>
            </w:pPr>
            <w:r>
              <w:rPr>
                <w:rFonts w:ascii="Arial" w:eastAsia="宋体" w:hAnsi="Arial" w:cs="Arial"/>
                <w:color w:val="000000"/>
                <w:sz w:val="20"/>
                <w:szCs w:val="20"/>
              </w:rPr>
              <w:t>3,648 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CA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CAD"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CA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CAF" w14:textId="77777777" w:rsidR="0084406A" w:rsidRDefault="002B18AF">
            <w:pPr>
              <w:jc w:val="right"/>
              <w:textAlignment w:val="bottom"/>
            </w:pPr>
            <w:r>
              <w:rPr>
                <w:rFonts w:ascii="Arial" w:eastAsia="宋体" w:hAnsi="Arial" w:cs="Arial"/>
                <w:color w:val="000000"/>
                <w:sz w:val="20"/>
                <w:szCs w:val="20"/>
              </w:rPr>
              <w:t>1,369 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CB0" w14:textId="77777777" w:rsidR="0084406A" w:rsidRDefault="0084406A">
            <w:pPr>
              <w:jc w:val="right"/>
              <w:rPr>
                <w:rFonts w:ascii="宋体"/>
              </w:rPr>
            </w:pPr>
          </w:p>
        </w:tc>
        <w:tc>
          <w:tcPr>
            <w:tcW w:w="0" w:type="auto"/>
            <w:gridSpan w:val="3"/>
            <w:shd w:val="clear" w:color="auto" w:fill="auto"/>
            <w:vAlign w:val="bottom"/>
          </w:tcPr>
          <w:p w14:paraId="59029CB1" w14:textId="77777777" w:rsidR="0084406A" w:rsidRDefault="0084406A">
            <w:pPr>
              <w:rPr>
                <w:rFonts w:ascii="宋体"/>
                <w:vanish/>
              </w:rPr>
            </w:pPr>
          </w:p>
        </w:tc>
        <w:tc>
          <w:tcPr>
            <w:tcW w:w="0" w:type="auto"/>
            <w:gridSpan w:val="3"/>
            <w:shd w:val="clear" w:color="auto" w:fill="auto"/>
            <w:vAlign w:val="bottom"/>
          </w:tcPr>
          <w:p w14:paraId="59029CB2" w14:textId="77777777" w:rsidR="0084406A" w:rsidRDefault="0084406A">
            <w:pPr>
              <w:rPr>
                <w:rFonts w:ascii="宋体"/>
                <w:vanish/>
              </w:rPr>
            </w:pPr>
          </w:p>
        </w:tc>
      </w:tr>
    </w:tbl>
    <w:p w14:paraId="59029CB4" w14:textId="77777777" w:rsidR="0084406A" w:rsidRDefault="002B18AF">
      <w:pPr>
        <w:jc w:val="center"/>
      </w:pPr>
      <w:r>
        <w:rPr>
          <w:rFonts w:ascii="Arial" w:eastAsia="宋体" w:hAnsi="Arial" w:cs="Arial"/>
          <w:color w:val="000000"/>
          <w:sz w:val="20"/>
          <w:szCs w:val="20"/>
        </w:rPr>
        <w:t>42</w:t>
      </w:r>
    </w:p>
    <w:p w14:paraId="59029CB5" w14:textId="77777777" w:rsidR="0084406A" w:rsidRDefault="002B18AF">
      <w:r>
        <w:pict w14:anchorId="5902BB20">
          <v:rect id="_x0000_i1069" style="width:415.3pt;height:1.5pt" o:hralign="center" o:hrstd="t" o:hr="t" fillcolor="#a0a0a0" stroked="f"/>
        </w:pict>
      </w:r>
    </w:p>
    <w:p w14:paraId="59029CB6" w14:textId="77777777" w:rsidR="0084406A" w:rsidRDefault="0084406A"/>
    <w:p w14:paraId="59029CB7" w14:textId="77777777" w:rsidR="0084406A" w:rsidRDefault="002B18AF">
      <w:pPr>
        <w:spacing w:before="180"/>
      </w:pPr>
      <w:r>
        <w:rPr>
          <w:rFonts w:ascii="Arial" w:eastAsia="宋体" w:hAnsi="Arial" w:cs="Arial"/>
          <w:b/>
          <w:bCs/>
          <w:i/>
          <w:iCs/>
          <w:color w:val="000000"/>
          <w:sz w:val="20"/>
          <w:szCs w:val="20"/>
        </w:rPr>
        <w:t>Computing and Graphics</w:t>
      </w:r>
    </w:p>
    <w:p w14:paraId="59029CB8" w14:textId="77777777" w:rsidR="0084406A" w:rsidRDefault="002B18AF">
      <w:pPr>
        <w:spacing w:before="180"/>
        <w:jc w:val="both"/>
      </w:pPr>
      <w:r>
        <w:rPr>
          <w:rFonts w:ascii="Arial" w:eastAsia="宋体" w:hAnsi="Arial" w:cs="Arial"/>
          <w:color w:val="000000"/>
          <w:sz w:val="20"/>
          <w:szCs w:val="20"/>
        </w:rPr>
        <w:t xml:space="preserve">Computing and Graphics net revenue of $9.3 billion in 2021 increased by 45%, compared to $6.4 billion in 2020, primarily as a result of a 57% </w:t>
      </w:r>
      <w:r>
        <w:rPr>
          <w:rFonts w:ascii="Arial" w:eastAsia="宋体" w:hAnsi="Arial" w:cs="Arial"/>
          <w:color w:val="000000"/>
          <w:sz w:val="20"/>
          <w:szCs w:val="20"/>
        </w:rPr>
        <w:t>increase in average selling price, partially offset by an 8% decrease in unit shipments. The increase in average selling price was primarily driven by a richer mix of Ryzen, Radeon and AMD Instinct products. The lower unit shipments were primarily driven b</w:t>
      </w:r>
      <w:r>
        <w:rPr>
          <w:rFonts w:ascii="Arial" w:eastAsia="宋体" w:hAnsi="Arial" w:cs="Arial"/>
          <w:color w:val="000000"/>
          <w:sz w:val="20"/>
          <w:szCs w:val="20"/>
        </w:rPr>
        <w:t>y a strategic focus on premium and higher end products in a tight supply environment.</w:t>
      </w:r>
    </w:p>
    <w:p w14:paraId="59029CB9" w14:textId="77777777" w:rsidR="0084406A" w:rsidRDefault="002B18AF">
      <w:pPr>
        <w:spacing w:before="180"/>
        <w:jc w:val="both"/>
      </w:pPr>
      <w:r>
        <w:rPr>
          <w:rFonts w:ascii="Arial" w:eastAsia="宋体" w:hAnsi="Arial" w:cs="Arial"/>
          <w:color w:val="000000"/>
          <w:sz w:val="20"/>
          <w:szCs w:val="20"/>
        </w:rPr>
        <w:t>Computing and Graphics operating income was $2.1 billion in 2021 compared to $1.3 billion in 2020. The increase in operating income was primarily driven by higher revenue</w:t>
      </w:r>
      <w:r>
        <w:rPr>
          <w:rFonts w:ascii="Arial" w:eastAsia="宋体" w:hAnsi="Arial" w:cs="Arial"/>
          <w:color w:val="000000"/>
          <w:sz w:val="20"/>
          <w:szCs w:val="20"/>
        </w:rPr>
        <w:t xml:space="preserve"> and improved margin in the segment which more than offset higher operating expenses. Operating expenses increased for the reasons outlined under “Expenses” below.</w:t>
      </w:r>
    </w:p>
    <w:p w14:paraId="59029CBA" w14:textId="77777777" w:rsidR="0084406A" w:rsidRDefault="002B18AF">
      <w:pPr>
        <w:spacing w:before="180"/>
      </w:pPr>
      <w:r>
        <w:rPr>
          <w:rFonts w:ascii="Arial" w:eastAsia="宋体" w:hAnsi="Arial" w:cs="Arial"/>
          <w:b/>
          <w:bCs/>
          <w:i/>
          <w:iCs/>
          <w:color w:val="000000"/>
          <w:sz w:val="20"/>
          <w:szCs w:val="20"/>
        </w:rPr>
        <w:t>Enterprise, Embedded and Semi-Custom</w:t>
      </w:r>
    </w:p>
    <w:p w14:paraId="59029CBB" w14:textId="77777777" w:rsidR="0084406A" w:rsidRDefault="002B18AF">
      <w:pPr>
        <w:spacing w:before="180"/>
        <w:jc w:val="both"/>
      </w:pPr>
      <w:r>
        <w:rPr>
          <w:rFonts w:ascii="Arial" w:eastAsia="宋体" w:hAnsi="Arial" w:cs="Arial"/>
          <w:color w:val="000000"/>
          <w:sz w:val="20"/>
          <w:szCs w:val="20"/>
        </w:rPr>
        <w:t>Enterprise, Embedded and Semi-Custom net revenue of $7.</w:t>
      </w:r>
      <w:r>
        <w:rPr>
          <w:rFonts w:ascii="Arial" w:eastAsia="宋体" w:hAnsi="Arial" w:cs="Arial"/>
          <w:color w:val="000000"/>
          <w:sz w:val="20"/>
          <w:szCs w:val="20"/>
        </w:rPr>
        <w:t xml:space="preserve">1 billion in 2021 increased by 113% compared to net revenue of $3.3 billion in 2020, primarily driven by higher sales of our semi-custom products and EPYC server processors. </w:t>
      </w:r>
    </w:p>
    <w:p w14:paraId="59029CBC" w14:textId="77777777" w:rsidR="0084406A" w:rsidRDefault="002B18AF">
      <w:pPr>
        <w:spacing w:before="180"/>
        <w:jc w:val="both"/>
      </w:pPr>
      <w:r>
        <w:rPr>
          <w:rFonts w:ascii="Arial" w:eastAsia="宋体" w:hAnsi="Arial" w:cs="Arial"/>
          <w:color w:val="000000"/>
          <w:sz w:val="20"/>
          <w:szCs w:val="20"/>
        </w:rPr>
        <w:t>Enterprise, Embedded and Semi-Custom operating income was $2.0 billion in 2021 co</w:t>
      </w:r>
      <w:r>
        <w:rPr>
          <w:rFonts w:ascii="Arial" w:eastAsia="宋体" w:hAnsi="Arial" w:cs="Arial"/>
          <w:color w:val="000000"/>
          <w:sz w:val="20"/>
          <w:szCs w:val="20"/>
        </w:rPr>
        <w:t>mpared to $391 million in 2020. The increase in operating income was primarily due to the higher revenue and improved margin in the segment which more than offset higher operating expenses. Operating expenses increased for the reasons outlined under “Expen</w:t>
      </w:r>
      <w:r>
        <w:rPr>
          <w:rFonts w:ascii="Arial" w:eastAsia="宋体" w:hAnsi="Arial" w:cs="Arial"/>
          <w:color w:val="000000"/>
          <w:sz w:val="20"/>
          <w:szCs w:val="20"/>
        </w:rPr>
        <w:t>ses” below.</w:t>
      </w:r>
    </w:p>
    <w:p w14:paraId="59029CBD" w14:textId="77777777" w:rsidR="0084406A" w:rsidRDefault="002B18AF">
      <w:pPr>
        <w:spacing w:before="180"/>
      </w:pPr>
      <w:r>
        <w:rPr>
          <w:rFonts w:ascii="Arial" w:eastAsia="宋体" w:hAnsi="Arial" w:cs="Arial"/>
          <w:b/>
          <w:bCs/>
          <w:i/>
          <w:iCs/>
          <w:color w:val="000000"/>
          <w:sz w:val="20"/>
          <w:szCs w:val="20"/>
        </w:rPr>
        <w:t>All Other</w:t>
      </w:r>
    </w:p>
    <w:p w14:paraId="59029CBE" w14:textId="77777777" w:rsidR="0084406A" w:rsidRDefault="002B18AF">
      <w:pPr>
        <w:spacing w:before="180"/>
        <w:jc w:val="both"/>
      </w:pPr>
      <w:r>
        <w:rPr>
          <w:rFonts w:ascii="Arial" w:eastAsia="宋体" w:hAnsi="Arial" w:cs="Arial"/>
          <w:color w:val="000000"/>
          <w:sz w:val="20"/>
          <w:szCs w:val="20"/>
        </w:rPr>
        <w:t>All Other operating loss of $421 million in 2021 included stock-based compensation expense of $379 million and acquisition-related costs of $42 million.</w:t>
      </w:r>
    </w:p>
    <w:p w14:paraId="59029CBF" w14:textId="77777777" w:rsidR="0084406A" w:rsidRDefault="002B18AF">
      <w:pPr>
        <w:spacing w:before="180"/>
        <w:jc w:val="both"/>
      </w:pPr>
      <w:r>
        <w:rPr>
          <w:rFonts w:ascii="Arial" w:eastAsia="宋体" w:hAnsi="Arial" w:cs="Arial"/>
          <w:color w:val="000000"/>
          <w:sz w:val="20"/>
          <w:szCs w:val="20"/>
        </w:rPr>
        <w:t>All Other operating loss of $288 million in 2020 included stock-based compensatio</w:t>
      </w:r>
      <w:r>
        <w:rPr>
          <w:rFonts w:ascii="Arial" w:eastAsia="宋体" w:hAnsi="Arial" w:cs="Arial"/>
          <w:color w:val="000000"/>
          <w:sz w:val="20"/>
          <w:szCs w:val="20"/>
        </w:rPr>
        <w:t>n expense of $274 million and acquisition-related costs of $14 million.</w:t>
      </w:r>
    </w:p>
    <w:p w14:paraId="59029CC0" w14:textId="77777777" w:rsidR="0084406A" w:rsidRDefault="002B18AF">
      <w:pPr>
        <w:spacing w:before="180"/>
      </w:pPr>
      <w:r>
        <w:rPr>
          <w:rFonts w:ascii="Arial" w:eastAsia="宋体" w:hAnsi="Arial" w:cs="Arial"/>
          <w:b/>
          <w:bCs/>
          <w:color w:val="000000"/>
          <w:sz w:val="20"/>
          <w:szCs w:val="20"/>
        </w:rPr>
        <w:t>Comparison of Gross Margin, Expenses, Licensing Gain, Interest Expense, Other Income (Expense) and Income Taxes</w:t>
      </w:r>
    </w:p>
    <w:p w14:paraId="59029CC1" w14:textId="77777777" w:rsidR="0084406A" w:rsidRDefault="002B18AF">
      <w:pPr>
        <w:spacing w:before="180"/>
      </w:pPr>
      <w:r>
        <w:rPr>
          <w:rFonts w:ascii="Arial" w:eastAsia="宋体" w:hAnsi="Arial" w:cs="Arial"/>
          <w:color w:val="000000"/>
          <w:sz w:val="20"/>
          <w:szCs w:val="20"/>
        </w:rPr>
        <w:t xml:space="preserve">The following is a summary of certain consolidated statement of </w:t>
      </w:r>
      <w:r>
        <w:rPr>
          <w:rFonts w:ascii="Arial" w:eastAsia="宋体" w:hAnsi="Arial" w:cs="Arial"/>
          <w:color w:val="000000"/>
          <w:sz w:val="20"/>
          <w:szCs w:val="20"/>
        </w:rPr>
        <w:t>operations data for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4412"/>
        <w:gridCol w:w="38"/>
        <w:gridCol w:w="134"/>
        <w:gridCol w:w="1482"/>
        <w:gridCol w:w="200"/>
        <w:gridCol w:w="36"/>
        <w:gridCol w:w="36"/>
        <w:gridCol w:w="36"/>
        <w:gridCol w:w="134"/>
        <w:gridCol w:w="1373"/>
        <w:gridCol w:w="200"/>
        <w:gridCol w:w="36"/>
        <w:gridCol w:w="36"/>
        <w:gridCol w:w="36"/>
        <w:gridCol w:w="36"/>
        <w:gridCol w:w="36"/>
        <w:gridCol w:w="36"/>
      </w:tblGrid>
      <w:tr w:rsidR="0084406A" w14:paraId="59029CD0" w14:textId="77777777">
        <w:tc>
          <w:tcPr>
            <w:tcW w:w="50" w:type="pct"/>
            <w:shd w:val="clear" w:color="auto" w:fill="auto"/>
            <w:vAlign w:val="bottom"/>
          </w:tcPr>
          <w:p w14:paraId="59029CC2" w14:textId="77777777" w:rsidR="0084406A" w:rsidRDefault="0084406A">
            <w:pPr>
              <w:rPr>
                <w:rFonts w:ascii="宋体"/>
              </w:rPr>
            </w:pPr>
          </w:p>
        </w:tc>
        <w:tc>
          <w:tcPr>
            <w:tcW w:w="2832" w:type="pct"/>
            <w:shd w:val="clear" w:color="auto" w:fill="auto"/>
            <w:vAlign w:val="bottom"/>
          </w:tcPr>
          <w:p w14:paraId="59029CC3" w14:textId="77777777" w:rsidR="0084406A" w:rsidRDefault="0084406A">
            <w:pPr>
              <w:rPr>
                <w:rFonts w:ascii="宋体"/>
              </w:rPr>
            </w:pPr>
          </w:p>
        </w:tc>
        <w:tc>
          <w:tcPr>
            <w:tcW w:w="5" w:type="pct"/>
            <w:shd w:val="clear" w:color="auto" w:fill="auto"/>
            <w:vAlign w:val="bottom"/>
          </w:tcPr>
          <w:p w14:paraId="59029CC4" w14:textId="77777777" w:rsidR="0084406A" w:rsidRDefault="0084406A">
            <w:pPr>
              <w:rPr>
                <w:rFonts w:ascii="宋体"/>
              </w:rPr>
            </w:pPr>
          </w:p>
        </w:tc>
        <w:tc>
          <w:tcPr>
            <w:tcW w:w="50" w:type="pct"/>
            <w:shd w:val="clear" w:color="auto" w:fill="auto"/>
            <w:vAlign w:val="bottom"/>
          </w:tcPr>
          <w:p w14:paraId="59029CC5" w14:textId="77777777" w:rsidR="0084406A" w:rsidRDefault="0084406A">
            <w:pPr>
              <w:rPr>
                <w:rFonts w:ascii="宋体"/>
              </w:rPr>
            </w:pPr>
          </w:p>
        </w:tc>
        <w:tc>
          <w:tcPr>
            <w:tcW w:w="983" w:type="pct"/>
            <w:shd w:val="clear" w:color="auto" w:fill="auto"/>
            <w:vAlign w:val="bottom"/>
          </w:tcPr>
          <w:p w14:paraId="59029CC6" w14:textId="77777777" w:rsidR="0084406A" w:rsidRDefault="0084406A">
            <w:pPr>
              <w:rPr>
                <w:rFonts w:ascii="宋体"/>
              </w:rPr>
            </w:pPr>
          </w:p>
        </w:tc>
        <w:tc>
          <w:tcPr>
            <w:tcW w:w="5" w:type="pct"/>
            <w:shd w:val="clear" w:color="auto" w:fill="auto"/>
            <w:vAlign w:val="bottom"/>
          </w:tcPr>
          <w:p w14:paraId="59029CC7" w14:textId="77777777" w:rsidR="0084406A" w:rsidRDefault="0084406A">
            <w:pPr>
              <w:rPr>
                <w:rFonts w:ascii="宋体"/>
              </w:rPr>
            </w:pPr>
          </w:p>
        </w:tc>
        <w:tc>
          <w:tcPr>
            <w:tcW w:w="5" w:type="pct"/>
            <w:shd w:val="clear" w:color="auto" w:fill="auto"/>
            <w:vAlign w:val="bottom"/>
          </w:tcPr>
          <w:p w14:paraId="59029CC8" w14:textId="77777777" w:rsidR="0084406A" w:rsidRDefault="0084406A">
            <w:pPr>
              <w:rPr>
                <w:rFonts w:ascii="宋体"/>
              </w:rPr>
            </w:pPr>
          </w:p>
        </w:tc>
        <w:tc>
          <w:tcPr>
            <w:tcW w:w="26" w:type="pct"/>
            <w:shd w:val="clear" w:color="auto" w:fill="auto"/>
            <w:vAlign w:val="bottom"/>
          </w:tcPr>
          <w:p w14:paraId="59029CC9" w14:textId="77777777" w:rsidR="0084406A" w:rsidRDefault="0084406A">
            <w:pPr>
              <w:rPr>
                <w:rFonts w:ascii="宋体"/>
              </w:rPr>
            </w:pPr>
          </w:p>
        </w:tc>
        <w:tc>
          <w:tcPr>
            <w:tcW w:w="5" w:type="pct"/>
            <w:shd w:val="clear" w:color="auto" w:fill="auto"/>
            <w:vAlign w:val="bottom"/>
          </w:tcPr>
          <w:p w14:paraId="59029CCA" w14:textId="77777777" w:rsidR="0084406A" w:rsidRDefault="0084406A">
            <w:pPr>
              <w:rPr>
                <w:rFonts w:ascii="宋体"/>
              </w:rPr>
            </w:pPr>
          </w:p>
        </w:tc>
        <w:tc>
          <w:tcPr>
            <w:tcW w:w="50" w:type="pct"/>
            <w:shd w:val="clear" w:color="auto" w:fill="auto"/>
            <w:vAlign w:val="bottom"/>
          </w:tcPr>
          <w:p w14:paraId="59029CCB" w14:textId="77777777" w:rsidR="0084406A" w:rsidRDefault="0084406A">
            <w:pPr>
              <w:rPr>
                <w:rFonts w:ascii="宋体"/>
              </w:rPr>
            </w:pPr>
          </w:p>
        </w:tc>
        <w:tc>
          <w:tcPr>
            <w:tcW w:w="983" w:type="pct"/>
            <w:shd w:val="clear" w:color="auto" w:fill="auto"/>
            <w:vAlign w:val="bottom"/>
          </w:tcPr>
          <w:p w14:paraId="59029CCC" w14:textId="77777777" w:rsidR="0084406A" w:rsidRDefault="0084406A">
            <w:pPr>
              <w:rPr>
                <w:rFonts w:ascii="宋体"/>
              </w:rPr>
            </w:pPr>
          </w:p>
        </w:tc>
        <w:tc>
          <w:tcPr>
            <w:tcW w:w="5" w:type="pct"/>
            <w:shd w:val="clear" w:color="auto" w:fill="auto"/>
            <w:vAlign w:val="bottom"/>
          </w:tcPr>
          <w:p w14:paraId="59029CCD" w14:textId="77777777" w:rsidR="0084406A" w:rsidRDefault="0084406A">
            <w:pPr>
              <w:rPr>
                <w:rFonts w:ascii="宋体"/>
              </w:rPr>
            </w:pPr>
          </w:p>
        </w:tc>
        <w:tc>
          <w:tcPr>
            <w:tcW w:w="0" w:type="auto"/>
            <w:gridSpan w:val="3"/>
            <w:shd w:val="clear" w:color="auto" w:fill="auto"/>
            <w:vAlign w:val="bottom"/>
          </w:tcPr>
          <w:p w14:paraId="59029CCE" w14:textId="77777777" w:rsidR="0084406A" w:rsidRDefault="0084406A">
            <w:pPr>
              <w:rPr>
                <w:rFonts w:ascii="宋体"/>
                <w:vanish/>
              </w:rPr>
            </w:pPr>
          </w:p>
        </w:tc>
        <w:tc>
          <w:tcPr>
            <w:tcW w:w="0" w:type="auto"/>
            <w:gridSpan w:val="3"/>
            <w:shd w:val="clear" w:color="auto" w:fill="auto"/>
            <w:vAlign w:val="bottom"/>
          </w:tcPr>
          <w:p w14:paraId="59029CCF" w14:textId="77777777" w:rsidR="0084406A" w:rsidRDefault="0084406A">
            <w:pPr>
              <w:rPr>
                <w:rFonts w:ascii="宋体"/>
                <w:vanish/>
              </w:rPr>
            </w:pPr>
          </w:p>
        </w:tc>
      </w:tr>
      <w:tr w:rsidR="0084406A" w14:paraId="59029CD7" w14:textId="77777777">
        <w:tc>
          <w:tcPr>
            <w:tcW w:w="0" w:type="auto"/>
            <w:gridSpan w:val="3"/>
            <w:shd w:val="clear" w:color="auto" w:fill="auto"/>
            <w:tcMar>
              <w:top w:w="0" w:type="dxa"/>
              <w:left w:w="20" w:type="dxa"/>
              <w:bottom w:w="0" w:type="dxa"/>
              <w:right w:w="20" w:type="dxa"/>
            </w:tcMar>
            <w:vAlign w:val="bottom"/>
          </w:tcPr>
          <w:p w14:paraId="59029CD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9CD2"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9CD3"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CD4"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vAlign w:val="bottom"/>
          </w:tcPr>
          <w:p w14:paraId="59029CD5" w14:textId="77777777" w:rsidR="0084406A" w:rsidRDefault="0084406A">
            <w:pPr>
              <w:rPr>
                <w:rFonts w:ascii="宋体"/>
                <w:vanish/>
              </w:rPr>
            </w:pPr>
          </w:p>
        </w:tc>
        <w:tc>
          <w:tcPr>
            <w:tcW w:w="0" w:type="auto"/>
            <w:gridSpan w:val="3"/>
            <w:shd w:val="clear" w:color="auto" w:fill="auto"/>
            <w:vAlign w:val="bottom"/>
          </w:tcPr>
          <w:p w14:paraId="59029CD6" w14:textId="77777777" w:rsidR="0084406A" w:rsidRDefault="0084406A">
            <w:pPr>
              <w:rPr>
                <w:rFonts w:ascii="宋体"/>
                <w:vanish/>
              </w:rPr>
            </w:pPr>
          </w:p>
        </w:tc>
      </w:tr>
      <w:tr w:rsidR="0084406A" w14:paraId="59029CE0" w14:textId="77777777">
        <w:tc>
          <w:tcPr>
            <w:tcW w:w="0" w:type="auto"/>
            <w:gridSpan w:val="3"/>
            <w:shd w:val="clear" w:color="auto" w:fill="auto"/>
            <w:tcMar>
              <w:top w:w="40" w:type="dxa"/>
              <w:left w:w="20" w:type="dxa"/>
              <w:bottom w:w="40" w:type="dxa"/>
              <w:right w:w="20" w:type="dxa"/>
            </w:tcMar>
            <w:vAlign w:val="bottom"/>
          </w:tcPr>
          <w:p w14:paraId="59029CD8"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9CD9" w14:textId="77777777" w:rsidR="0084406A" w:rsidRDefault="002B18AF">
            <w:pPr>
              <w:jc w:val="center"/>
              <w:textAlignment w:val="bottom"/>
            </w:pPr>
            <w:r>
              <w:rPr>
                <w:rFonts w:ascii="Arial" w:eastAsia="宋体" w:hAnsi="Arial" w:cs="Arial"/>
                <w:b/>
                <w:bCs/>
                <w:color w:val="000000"/>
                <w:sz w:val="16"/>
                <w:szCs w:val="16"/>
              </w:rPr>
              <w:t>(In millions, except for percentages)</w:t>
            </w:r>
          </w:p>
        </w:tc>
        <w:tc>
          <w:tcPr>
            <w:tcW w:w="0" w:type="auto"/>
            <w:shd w:val="clear" w:color="auto" w:fill="auto"/>
            <w:vAlign w:val="bottom"/>
          </w:tcPr>
          <w:p w14:paraId="59029CDA" w14:textId="77777777" w:rsidR="0084406A" w:rsidRDefault="0084406A">
            <w:pPr>
              <w:rPr>
                <w:rFonts w:ascii="宋体"/>
              </w:rPr>
            </w:pPr>
          </w:p>
        </w:tc>
        <w:tc>
          <w:tcPr>
            <w:tcW w:w="0" w:type="auto"/>
            <w:shd w:val="clear" w:color="auto" w:fill="auto"/>
            <w:vAlign w:val="bottom"/>
          </w:tcPr>
          <w:p w14:paraId="59029CDB" w14:textId="77777777" w:rsidR="0084406A" w:rsidRDefault="0084406A">
            <w:pPr>
              <w:rPr>
                <w:rFonts w:ascii="宋体"/>
              </w:rPr>
            </w:pPr>
          </w:p>
        </w:tc>
        <w:tc>
          <w:tcPr>
            <w:tcW w:w="0" w:type="auto"/>
            <w:shd w:val="clear" w:color="auto" w:fill="auto"/>
            <w:vAlign w:val="bottom"/>
          </w:tcPr>
          <w:p w14:paraId="59029CDC" w14:textId="77777777" w:rsidR="0084406A" w:rsidRDefault="0084406A">
            <w:pPr>
              <w:rPr>
                <w:rFonts w:ascii="宋体"/>
              </w:rPr>
            </w:pPr>
          </w:p>
        </w:tc>
        <w:tc>
          <w:tcPr>
            <w:tcW w:w="0" w:type="auto"/>
            <w:shd w:val="clear" w:color="auto" w:fill="auto"/>
            <w:vAlign w:val="bottom"/>
          </w:tcPr>
          <w:p w14:paraId="59029CDD" w14:textId="77777777" w:rsidR="0084406A" w:rsidRDefault="0084406A">
            <w:pPr>
              <w:rPr>
                <w:rFonts w:ascii="宋体"/>
              </w:rPr>
            </w:pPr>
          </w:p>
        </w:tc>
        <w:tc>
          <w:tcPr>
            <w:tcW w:w="0" w:type="auto"/>
            <w:shd w:val="clear" w:color="auto" w:fill="auto"/>
            <w:vAlign w:val="bottom"/>
          </w:tcPr>
          <w:p w14:paraId="59029CDE" w14:textId="77777777" w:rsidR="0084406A" w:rsidRDefault="0084406A">
            <w:pPr>
              <w:rPr>
                <w:rFonts w:ascii="宋体"/>
              </w:rPr>
            </w:pPr>
          </w:p>
        </w:tc>
        <w:tc>
          <w:tcPr>
            <w:tcW w:w="0" w:type="auto"/>
            <w:shd w:val="clear" w:color="auto" w:fill="auto"/>
            <w:vAlign w:val="bottom"/>
          </w:tcPr>
          <w:p w14:paraId="59029CDF" w14:textId="77777777" w:rsidR="0084406A" w:rsidRDefault="0084406A">
            <w:pPr>
              <w:rPr>
                <w:rFonts w:ascii="宋体"/>
              </w:rPr>
            </w:pPr>
          </w:p>
        </w:tc>
      </w:tr>
      <w:tr w:rsidR="0084406A" w14:paraId="59029CEB" w14:textId="77777777">
        <w:tc>
          <w:tcPr>
            <w:tcW w:w="0" w:type="auto"/>
            <w:gridSpan w:val="3"/>
            <w:shd w:val="clear" w:color="auto" w:fill="CCEEFF"/>
            <w:tcMar>
              <w:top w:w="40" w:type="dxa"/>
              <w:left w:w="20" w:type="dxa"/>
              <w:bottom w:w="40" w:type="dxa"/>
              <w:right w:w="20" w:type="dxa"/>
            </w:tcMar>
            <w:vAlign w:val="bottom"/>
          </w:tcPr>
          <w:p w14:paraId="59029CE1" w14:textId="77777777" w:rsidR="0084406A" w:rsidRDefault="002B18AF">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59029CE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CE3" w14:textId="77777777" w:rsidR="0084406A" w:rsidRDefault="002B18AF">
            <w:pPr>
              <w:jc w:val="right"/>
              <w:textAlignment w:val="bottom"/>
            </w:pPr>
            <w:r>
              <w:rPr>
                <w:rFonts w:ascii="Arial" w:eastAsia="宋体" w:hAnsi="Arial" w:cs="Arial"/>
                <w:color w:val="000000"/>
                <w:sz w:val="20"/>
                <w:szCs w:val="20"/>
              </w:rPr>
              <w:t>16,434 </w:t>
            </w:r>
          </w:p>
        </w:tc>
        <w:tc>
          <w:tcPr>
            <w:tcW w:w="0" w:type="auto"/>
            <w:shd w:val="clear" w:color="auto" w:fill="CCEEFF"/>
            <w:tcMar>
              <w:top w:w="40" w:type="dxa"/>
              <w:left w:w="0" w:type="dxa"/>
              <w:bottom w:w="40" w:type="dxa"/>
              <w:right w:w="20" w:type="dxa"/>
            </w:tcMar>
            <w:vAlign w:val="bottom"/>
          </w:tcPr>
          <w:p w14:paraId="59029CE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CE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CE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CE7" w14:textId="77777777" w:rsidR="0084406A" w:rsidRDefault="002B18AF">
            <w:pPr>
              <w:jc w:val="right"/>
              <w:textAlignment w:val="bottom"/>
            </w:pPr>
            <w:r>
              <w:rPr>
                <w:rFonts w:ascii="Arial" w:eastAsia="宋体" w:hAnsi="Arial" w:cs="Arial"/>
                <w:color w:val="000000"/>
                <w:sz w:val="20"/>
                <w:szCs w:val="20"/>
              </w:rPr>
              <w:t>9,763 </w:t>
            </w:r>
          </w:p>
        </w:tc>
        <w:tc>
          <w:tcPr>
            <w:tcW w:w="0" w:type="auto"/>
            <w:shd w:val="clear" w:color="auto" w:fill="CCEEFF"/>
            <w:tcMar>
              <w:top w:w="40" w:type="dxa"/>
              <w:left w:w="0" w:type="dxa"/>
              <w:bottom w:w="40" w:type="dxa"/>
              <w:right w:w="20" w:type="dxa"/>
            </w:tcMar>
            <w:vAlign w:val="bottom"/>
          </w:tcPr>
          <w:p w14:paraId="59029CE8" w14:textId="77777777" w:rsidR="0084406A" w:rsidRDefault="0084406A">
            <w:pPr>
              <w:jc w:val="right"/>
              <w:rPr>
                <w:rFonts w:ascii="宋体"/>
              </w:rPr>
            </w:pPr>
          </w:p>
        </w:tc>
        <w:tc>
          <w:tcPr>
            <w:tcW w:w="0" w:type="auto"/>
            <w:gridSpan w:val="3"/>
            <w:shd w:val="clear" w:color="auto" w:fill="auto"/>
            <w:vAlign w:val="bottom"/>
          </w:tcPr>
          <w:p w14:paraId="59029CE9" w14:textId="77777777" w:rsidR="0084406A" w:rsidRDefault="0084406A">
            <w:pPr>
              <w:rPr>
                <w:rFonts w:ascii="宋体"/>
                <w:vanish/>
              </w:rPr>
            </w:pPr>
          </w:p>
        </w:tc>
        <w:tc>
          <w:tcPr>
            <w:tcW w:w="0" w:type="auto"/>
            <w:gridSpan w:val="3"/>
            <w:shd w:val="clear" w:color="auto" w:fill="auto"/>
            <w:vAlign w:val="bottom"/>
          </w:tcPr>
          <w:p w14:paraId="59029CEA" w14:textId="77777777" w:rsidR="0084406A" w:rsidRDefault="0084406A">
            <w:pPr>
              <w:rPr>
                <w:rFonts w:ascii="宋体"/>
                <w:vanish/>
              </w:rPr>
            </w:pPr>
          </w:p>
        </w:tc>
      </w:tr>
      <w:tr w:rsidR="0084406A" w14:paraId="59029CF4" w14:textId="77777777">
        <w:tc>
          <w:tcPr>
            <w:tcW w:w="0" w:type="auto"/>
            <w:gridSpan w:val="3"/>
            <w:shd w:val="clear" w:color="auto" w:fill="FFFFFF"/>
            <w:tcMar>
              <w:top w:w="40" w:type="dxa"/>
              <w:left w:w="20" w:type="dxa"/>
              <w:bottom w:w="40" w:type="dxa"/>
              <w:right w:w="20" w:type="dxa"/>
            </w:tcMar>
            <w:vAlign w:val="bottom"/>
          </w:tcPr>
          <w:p w14:paraId="59029CEC" w14:textId="77777777" w:rsidR="0084406A" w:rsidRDefault="002B18AF">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59029CED" w14:textId="77777777" w:rsidR="0084406A" w:rsidRDefault="002B18AF">
            <w:pPr>
              <w:jc w:val="right"/>
              <w:textAlignment w:val="bottom"/>
            </w:pPr>
            <w:r>
              <w:rPr>
                <w:rFonts w:ascii="Arial" w:eastAsia="宋体" w:hAnsi="Arial" w:cs="Arial"/>
                <w:color w:val="000000"/>
                <w:sz w:val="20"/>
                <w:szCs w:val="20"/>
              </w:rPr>
              <w:t>8,505 </w:t>
            </w:r>
          </w:p>
        </w:tc>
        <w:tc>
          <w:tcPr>
            <w:tcW w:w="0" w:type="auto"/>
            <w:shd w:val="clear" w:color="auto" w:fill="FFFFFF"/>
            <w:tcMar>
              <w:top w:w="40" w:type="dxa"/>
              <w:left w:w="0" w:type="dxa"/>
              <w:bottom w:w="40" w:type="dxa"/>
              <w:right w:w="20" w:type="dxa"/>
            </w:tcMar>
            <w:vAlign w:val="bottom"/>
          </w:tcPr>
          <w:p w14:paraId="59029CE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CE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CF0" w14:textId="77777777" w:rsidR="0084406A" w:rsidRDefault="002B18AF">
            <w:pPr>
              <w:jc w:val="right"/>
              <w:textAlignment w:val="bottom"/>
            </w:pPr>
            <w:r>
              <w:rPr>
                <w:rFonts w:ascii="Arial" w:eastAsia="宋体" w:hAnsi="Arial" w:cs="Arial"/>
                <w:color w:val="000000"/>
                <w:sz w:val="20"/>
                <w:szCs w:val="20"/>
              </w:rPr>
              <w:t>5,416 </w:t>
            </w:r>
          </w:p>
        </w:tc>
        <w:tc>
          <w:tcPr>
            <w:tcW w:w="0" w:type="auto"/>
            <w:shd w:val="clear" w:color="auto" w:fill="FFFFFF"/>
            <w:tcMar>
              <w:top w:w="40" w:type="dxa"/>
              <w:left w:w="0" w:type="dxa"/>
              <w:bottom w:w="40" w:type="dxa"/>
              <w:right w:w="20" w:type="dxa"/>
            </w:tcMar>
            <w:vAlign w:val="bottom"/>
          </w:tcPr>
          <w:p w14:paraId="59029CF1" w14:textId="77777777" w:rsidR="0084406A" w:rsidRDefault="0084406A">
            <w:pPr>
              <w:jc w:val="right"/>
              <w:rPr>
                <w:rFonts w:ascii="宋体"/>
              </w:rPr>
            </w:pPr>
          </w:p>
        </w:tc>
        <w:tc>
          <w:tcPr>
            <w:tcW w:w="0" w:type="auto"/>
            <w:gridSpan w:val="3"/>
            <w:shd w:val="clear" w:color="auto" w:fill="auto"/>
            <w:vAlign w:val="bottom"/>
          </w:tcPr>
          <w:p w14:paraId="59029CF2" w14:textId="77777777" w:rsidR="0084406A" w:rsidRDefault="0084406A">
            <w:pPr>
              <w:rPr>
                <w:rFonts w:ascii="宋体"/>
                <w:vanish/>
              </w:rPr>
            </w:pPr>
          </w:p>
        </w:tc>
        <w:tc>
          <w:tcPr>
            <w:tcW w:w="0" w:type="auto"/>
            <w:gridSpan w:val="3"/>
            <w:shd w:val="clear" w:color="auto" w:fill="auto"/>
            <w:vAlign w:val="bottom"/>
          </w:tcPr>
          <w:p w14:paraId="59029CF3" w14:textId="77777777" w:rsidR="0084406A" w:rsidRDefault="0084406A">
            <w:pPr>
              <w:rPr>
                <w:rFonts w:ascii="宋体"/>
                <w:vanish/>
              </w:rPr>
            </w:pPr>
          </w:p>
        </w:tc>
      </w:tr>
      <w:tr w:rsidR="0084406A" w14:paraId="59029CFD" w14:textId="77777777">
        <w:tc>
          <w:tcPr>
            <w:tcW w:w="0" w:type="auto"/>
            <w:gridSpan w:val="3"/>
            <w:shd w:val="clear" w:color="auto" w:fill="CCEEFF"/>
            <w:tcMar>
              <w:top w:w="40" w:type="dxa"/>
              <w:left w:w="20" w:type="dxa"/>
              <w:bottom w:w="40" w:type="dxa"/>
              <w:right w:w="20" w:type="dxa"/>
            </w:tcMar>
            <w:vAlign w:val="bottom"/>
          </w:tcPr>
          <w:p w14:paraId="59029CF5" w14:textId="77777777" w:rsidR="0084406A" w:rsidRDefault="002B18AF">
            <w:pPr>
              <w:textAlignment w:val="bottom"/>
            </w:pPr>
            <w:r>
              <w:rPr>
                <w:rFonts w:ascii="Arial" w:eastAsia="宋体" w:hAnsi="Arial" w:cs="Arial"/>
                <w:color w:val="000000"/>
                <w:sz w:val="20"/>
                <w:szCs w:val="20"/>
              </w:rPr>
              <w:t>Gross profit</w:t>
            </w:r>
          </w:p>
        </w:tc>
        <w:tc>
          <w:tcPr>
            <w:tcW w:w="0" w:type="auto"/>
            <w:gridSpan w:val="2"/>
            <w:shd w:val="clear" w:color="auto" w:fill="CCEEFF"/>
            <w:tcMar>
              <w:top w:w="40" w:type="dxa"/>
              <w:left w:w="20" w:type="dxa"/>
              <w:bottom w:w="40" w:type="dxa"/>
              <w:right w:w="0" w:type="dxa"/>
            </w:tcMar>
            <w:vAlign w:val="bottom"/>
          </w:tcPr>
          <w:p w14:paraId="59029CF6" w14:textId="77777777" w:rsidR="0084406A" w:rsidRDefault="002B18AF">
            <w:pPr>
              <w:jc w:val="right"/>
              <w:textAlignment w:val="bottom"/>
            </w:pPr>
            <w:r>
              <w:rPr>
                <w:rFonts w:ascii="Arial" w:eastAsia="宋体" w:hAnsi="Arial" w:cs="Arial"/>
                <w:color w:val="000000"/>
                <w:sz w:val="20"/>
                <w:szCs w:val="20"/>
              </w:rPr>
              <w:t>7,929 </w:t>
            </w:r>
          </w:p>
        </w:tc>
        <w:tc>
          <w:tcPr>
            <w:tcW w:w="0" w:type="auto"/>
            <w:shd w:val="clear" w:color="auto" w:fill="CCEEFF"/>
            <w:tcMar>
              <w:top w:w="40" w:type="dxa"/>
              <w:left w:w="0" w:type="dxa"/>
              <w:bottom w:w="40" w:type="dxa"/>
              <w:right w:w="20" w:type="dxa"/>
            </w:tcMar>
            <w:vAlign w:val="bottom"/>
          </w:tcPr>
          <w:p w14:paraId="59029CF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CF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CF9" w14:textId="77777777" w:rsidR="0084406A" w:rsidRDefault="002B18AF">
            <w:pPr>
              <w:jc w:val="right"/>
              <w:textAlignment w:val="bottom"/>
            </w:pPr>
            <w:r>
              <w:rPr>
                <w:rFonts w:ascii="Arial" w:eastAsia="宋体" w:hAnsi="Arial" w:cs="Arial"/>
                <w:color w:val="000000"/>
                <w:sz w:val="20"/>
                <w:szCs w:val="20"/>
              </w:rPr>
              <w:t>4,347 </w:t>
            </w:r>
          </w:p>
        </w:tc>
        <w:tc>
          <w:tcPr>
            <w:tcW w:w="0" w:type="auto"/>
            <w:shd w:val="clear" w:color="auto" w:fill="CCEEFF"/>
            <w:tcMar>
              <w:top w:w="40" w:type="dxa"/>
              <w:left w:w="0" w:type="dxa"/>
              <w:bottom w:w="40" w:type="dxa"/>
              <w:right w:w="20" w:type="dxa"/>
            </w:tcMar>
            <w:vAlign w:val="bottom"/>
          </w:tcPr>
          <w:p w14:paraId="59029CFA" w14:textId="77777777" w:rsidR="0084406A" w:rsidRDefault="0084406A">
            <w:pPr>
              <w:jc w:val="right"/>
              <w:rPr>
                <w:rFonts w:ascii="宋体"/>
              </w:rPr>
            </w:pPr>
          </w:p>
        </w:tc>
        <w:tc>
          <w:tcPr>
            <w:tcW w:w="0" w:type="auto"/>
            <w:gridSpan w:val="3"/>
            <w:shd w:val="clear" w:color="auto" w:fill="auto"/>
            <w:vAlign w:val="bottom"/>
          </w:tcPr>
          <w:p w14:paraId="59029CFB" w14:textId="77777777" w:rsidR="0084406A" w:rsidRDefault="0084406A">
            <w:pPr>
              <w:rPr>
                <w:rFonts w:ascii="宋体"/>
                <w:vanish/>
              </w:rPr>
            </w:pPr>
          </w:p>
        </w:tc>
        <w:tc>
          <w:tcPr>
            <w:tcW w:w="0" w:type="auto"/>
            <w:gridSpan w:val="3"/>
            <w:shd w:val="clear" w:color="auto" w:fill="auto"/>
            <w:vAlign w:val="bottom"/>
          </w:tcPr>
          <w:p w14:paraId="59029CFC" w14:textId="77777777" w:rsidR="0084406A" w:rsidRDefault="0084406A">
            <w:pPr>
              <w:rPr>
                <w:rFonts w:ascii="宋体"/>
                <w:vanish/>
              </w:rPr>
            </w:pPr>
          </w:p>
        </w:tc>
      </w:tr>
      <w:tr w:rsidR="0084406A" w14:paraId="59029D06" w14:textId="77777777">
        <w:tc>
          <w:tcPr>
            <w:tcW w:w="0" w:type="auto"/>
            <w:gridSpan w:val="3"/>
            <w:shd w:val="clear" w:color="auto" w:fill="FFFFFF"/>
            <w:tcMar>
              <w:top w:w="40" w:type="dxa"/>
              <w:left w:w="20" w:type="dxa"/>
              <w:bottom w:w="40" w:type="dxa"/>
              <w:right w:w="20" w:type="dxa"/>
            </w:tcMar>
            <w:vAlign w:val="bottom"/>
          </w:tcPr>
          <w:p w14:paraId="59029CFE" w14:textId="77777777" w:rsidR="0084406A" w:rsidRDefault="002B18AF">
            <w:pPr>
              <w:textAlignment w:val="bottom"/>
            </w:pPr>
            <w:r>
              <w:rPr>
                <w:rFonts w:ascii="Arial" w:eastAsia="宋体" w:hAnsi="Arial" w:cs="Arial"/>
                <w:color w:val="000000"/>
                <w:sz w:val="20"/>
                <w:szCs w:val="20"/>
              </w:rPr>
              <w:t xml:space="preserve">Gross </w:t>
            </w:r>
            <w:r>
              <w:rPr>
                <w:rFonts w:ascii="Arial" w:eastAsia="宋体" w:hAnsi="Arial" w:cs="Arial"/>
                <w:color w:val="000000"/>
                <w:sz w:val="20"/>
                <w:szCs w:val="20"/>
              </w:rPr>
              <w:t>margin</w:t>
            </w:r>
          </w:p>
        </w:tc>
        <w:tc>
          <w:tcPr>
            <w:tcW w:w="0" w:type="auto"/>
            <w:gridSpan w:val="2"/>
            <w:shd w:val="clear" w:color="auto" w:fill="FFFFFF"/>
            <w:tcMar>
              <w:top w:w="40" w:type="dxa"/>
              <w:left w:w="20" w:type="dxa"/>
              <w:bottom w:w="40" w:type="dxa"/>
              <w:right w:w="0" w:type="dxa"/>
            </w:tcMar>
            <w:vAlign w:val="bottom"/>
          </w:tcPr>
          <w:p w14:paraId="59029CFF" w14:textId="77777777" w:rsidR="0084406A" w:rsidRDefault="002B18AF">
            <w:pPr>
              <w:jc w:val="right"/>
              <w:textAlignment w:val="bottom"/>
            </w:pPr>
            <w:r>
              <w:rPr>
                <w:rFonts w:ascii="Arial" w:eastAsia="宋体"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59029D00"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59029D0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D02" w14:textId="77777777" w:rsidR="0084406A" w:rsidRDefault="002B18AF">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59029D03"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auto"/>
            <w:vAlign w:val="bottom"/>
          </w:tcPr>
          <w:p w14:paraId="59029D04" w14:textId="77777777" w:rsidR="0084406A" w:rsidRDefault="0084406A">
            <w:pPr>
              <w:rPr>
                <w:rFonts w:ascii="宋体"/>
                <w:vanish/>
              </w:rPr>
            </w:pPr>
          </w:p>
        </w:tc>
        <w:tc>
          <w:tcPr>
            <w:tcW w:w="0" w:type="auto"/>
            <w:gridSpan w:val="3"/>
            <w:shd w:val="clear" w:color="auto" w:fill="auto"/>
            <w:vAlign w:val="bottom"/>
          </w:tcPr>
          <w:p w14:paraId="59029D05" w14:textId="77777777" w:rsidR="0084406A" w:rsidRDefault="0084406A">
            <w:pPr>
              <w:rPr>
                <w:rFonts w:ascii="宋体"/>
                <w:vanish/>
              </w:rPr>
            </w:pPr>
          </w:p>
        </w:tc>
      </w:tr>
      <w:tr w:rsidR="0084406A" w14:paraId="59029D0F" w14:textId="77777777">
        <w:tc>
          <w:tcPr>
            <w:tcW w:w="0" w:type="auto"/>
            <w:gridSpan w:val="3"/>
            <w:shd w:val="clear" w:color="auto" w:fill="CCEEFF"/>
            <w:tcMar>
              <w:top w:w="40" w:type="dxa"/>
              <w:left w:w="20" w:type="dxa"/>
              <w:bottom w:w="40" w:type="dxa"/>
              <w:right w:w="20" w:type="dxa"/>
            </w:tcMar>
            <w:vAlign w:val="bottom"/>
          </w:tcPr>
          <w:p w14:paraId="59029D07" w14:textId="77777777" w:rsidR="0084406A" w:rsidRDefault="002B18AF">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59029D08" w14:textId="77777777" w:rsidR="0084406A" w:rsidRDefault="002B18AF">
            <w:pPr>
              <w:jc w:val="right"/>
              <w:textAlignment w:val="bottom"/>
            </w:pPr>
            <w:r>
              <w:rPr>
                <w:rFonts w:ascii="Arial" w:eastAsia="宋体" w:hAnsi="Arial" w:cs="Arial"/>
                <w:color w:val="000000"/>
                <w:sz w:val="20"/>
                <w:szCs w:val="20"/>
              </w:rPr>
              <w:t>2,845 </w:t>
            </w:r>
          </w:p>
        </w:tc>
        <w:tc>
          <w:tcPr>
            <w:tcW w:w="0" w:type="auto"/>
            <w:shd w:val="clear" w:color="auto" w:fill="CCEEFF"/>
            <w:tcMar>
              <w:top w:w="40" w:type="dxa"/>
              <w:left w:w="0" w:type="dxa"/>
              <w:bottom w:w="40" w:type="dxa"/>
              <w:right w:w="20" w:type="dxa"/>
            </w:tcMar>
            <w:vAlign w:val="bottom"/>
          </w:tcPr>
          <w:p w14:paraId="59029D0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D0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D0B" w14:textId="77777777" w:rsidR="0084406A" w:rsidRDefault="002B18AF">
            <w:pPr>
              <w:jc w:val="right"/>
              <w:textAlignment w:val="bottom"/>
            </w:pPr>
            <w:r>
              <w:rPr>
                <w:rFonts w:ascii="Arial" w:eastAsia="宋体" w:hAnsi="Arial" w:cs="Arial"/>
                <w:color w:val="000000"/>
                <w:sz w:val="20"/>
                <w:szCs w:val="20"/>
              </w:rPr>
              <w:t>1,983 </w:t>
            </w:r>
          </w:p>
        </w:tc>
        <w:tc>
          <w:tcPr>
            <w:tcW w:w="0" w:type="auto"/>
            <w:shd w:val="clear" w:color="auto" w:fill="CCEEFF"/>
            <w:tcMar>
              <w:top w:w="40" w:type="dxa"/>
              <w:left w:w="0" w:type="dxa"/>
              <w:bottom w:w="40" w:type="dxa"/>
              <w:right w:w="20" w:type="dxa"/>
            </w:tcMar>
            <w:vAlign w:val="bottom"/>
          </w:tcPr>
          <w:p w14:paraId="59029D0C" w14:textId="77777777" w:rsidR="0084406A" w:rsidRDefault="0084406A">
            <w:pPr>
              <w:jc w:val="right"/>
              <w:rPr>
                <w:rFonts w:ascii="宋体"/>
              </w:rPr>
            </w:pPr>
          </w:p>
        </w:tc>
        <w:tc>
          <w:tcPr>
            <w:tcW w:w="0" w:type="auto"/>
            <w:gridSpan w:val="3"/>
            <w:shd w:val="clear" w:color="auto" w:fill="auto"/>
            <w:vAlign w:val="bottom"/>
          </w:tcPr>
          <w:p w14:paraId="59029D0D" w14:textId="77777777" w:rsidR="0084406A" w:rsidRDefault="0084406A">
            <w:pPr>
              <w:rPr>
                <w:rFonts w:ascii="宋体"/>
                <w:vanish/>
              </w:rPr>
            </w:pPr>
          </w:p>
        </w:tc>
        <w:tc>
          <w:tcPr>
            <w:tcW w:w="0" w:type="auto"/>
            <w:gridSpan w:val="3"/>
            <w:shd w:val="clear" w:color="auto" w:fill="auto"/>
            <w:vAlign w:val="bottom"/>
          </w:tcPr>
          <w:p w14:paraId="59029D0E" w14:textId="77777777" w:rsidR="0084406A" w:rsidRDefault="0084406A">
            <w:pPr>
              <w:rPr>
                <w:rFonts w:ascii="宋体"/>
                <w:vanish/>
              </w:rPr>
            </w:pPr>
          </w:p>
        </w:tc>
      </w:tr>
      <w:tr w:rsidR="0084406A" w14:paraId="59029D18" w14:textId="77777777">
        <w:tc>
          <w:tcPr>
            <w:tcW w:w="0" w:type="auto"/>
            <w:gridSpan w:val="3"/>
            <w:shd w:val="clear" w:color="auto" w:fill="FFFFFF"/>
            <w:tcMar>
              <w:top w:w="40" w:type="dxa"/>
              <w:left w:w="20" w:type="dxa"/>
              <w:bottom w:w="40" w:type="dxa"/>
              <w:right w:w="20" w:type="dxa"/>
            </w:tcMar>
            <w:vAlign w:val="bottom"/>
          </w:tcPr>
          <w:p w14:paraId="59029D10" w14:textId="77777777" w:rsidR="0084406A" w:rsidRDefault="002B18AF">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59029D11" w14:textId="77777777" w:rsidR="0084406A" w:rsidRDefault="002B18AF">
            <w:pPr>
              <w:jc w:val="right"/>
              <w:textAlignment w:val="bottom"/>
            </w:pPr>
            <w:r>
              <w:rPr>
                <w:rFonts w:ascii="Arial" w:eastAsia="宋体" w:hAnsi="Arial" w:cs="Arial"/>
                <w:color w:val="000000"/>
                <w:sz w:val="20"/>
                <w:szCs w:val="20"/>
              </w:rPr>
              <w:t>1,448 </w:t>
            </w:r>
          </w:p>
        </w:tc>
        <w:tc>
          <w:tcPr>
            <w:tcW w:w="0" w:type="auto"/>
            <w:shd w:val="clear" w:color="auto" w:fill="FFFFFF"/>
            <w:tcMar>
              <w:top w:w="40" w:type="dxa"/>
              <w:left w:w="0" w:type="dxa"/>
              <w:bottom w:w="40" w:type="dxa"/>
              <w:right w:w="20" w:type="dxa"/>
            </w:tcMar>
            <w:vAlign w:val="bottom"/>
          </w:tcPr>
          <w:p w14:paraId="59029D1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D1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D14" w14:textId="77777777" w:rsidR="0084406A" w:rsidRDefault="002B18AF">
            <w:pPr>
              <w:jc w:val="right"/>
              <w:textAlignment w:val="bottom"/>
            </w:pPr>
            <w:r>
              <w:rPr>
                <w:rFonts w:ascii="Arial" w:eastAsia="宋体" w:hAnsi="Arial" w:cs="Arial"/>
                <w:color w:val="000000"/>
                <w:sz w:val="20"/>
                <w:szCs w:val="20"/>
              </w:rPr>
              <w:t>995 </w:t>
            </w:r>
          </w:p>
        </w:tc>
        <w:tc>
          <w:tcPr>
            <w:tcW w:w="0" w:type="auto"/>
            <w:shd w:val="clear" w:color="auto" w:fill="FFFFFF"/>
            <w:tcMar>
              <w:top w:w="40" w:type="dxa"/>
              <w:left w:w="0" w:type="dxa"/>
              <w:bottom w:w="40" w:type="dxa"/>
              <w:right w:w="20" w:type="dxa"/>
            </w:tcMar>
            <w:vAlign w:val="bottom"/>
          </w:tcPr>
          <w:p w14:paraId="59029D15" w14:textId="77777777" w:rsidR="0084406A" w:rsidRDefault="0084406A">
            <w:pPr>
              <w:jc w:val="right"/>
              <w:rPr>
                <w:rFonts w:ascii="宋体"/>
              </w:rPr>
            </w:pPr>
          </w:p>
        </w:tc>
        <w:tc>
          <w:tcPr>
            <w:tcW w:w="0" w:type="auto"/>
            <w:gridSpan w:val="3"/>
            <w:shd w:val="clear" w:color="auto" w:fill="auto"/>
            <w:vAlign w:val="bottom"/>
          </w:tcPr>
          <w:p w14:paraId="59029D16" w14:textId="77777777" w:rsidR="0084406A" w:rsidRDefault="0084406A">
            <w:pPr>
              <w:rPr>
                <w:rFonts w:ascii="宋体"/>
                <w:vanish/>
              </w:rPr>
            </w:pPr>
          </w:p>
        </w:tc>
        <w:tc>
          <w:tcPr>
            <w:tcW w:w="0" w:type="auto"/>
            <w:gridSpan w:val="3"/>
            <w:shd w:val="clear" w:color="auto" w:fill="auto"/>
            <w:vAlign w:val="bottom"/>
          </w:tcPr>
          <w:p w14:paraId="59029D17" w14:textId="77777777" w:rsidR="0084406A" w:rsidRDefault="0084406A">
            <w:pPr>
              <w:rPr>
                <w:rFonts w:ascii="宋体"/>
                <w:vanish/>
              </w:rPr>
            </w:pPr>
          </w:p>
        </w:tc>
      </w:tr>
      <w:tr w:rsidR="0084406A" w14:paraId="59029D1F" w14:textId="77777777">
        <w:trPr>
          <w:hidden/>
        </w:trPr>
        <w:tc>
          <w:tcPr>
            <w:tcW w:w="0" w:type="auto"/>
            <w:gridSpan w:val="3"/>
            <w:shd w:val="clear" w:color="auto" w:fill="auto"/>
            <w:vAlign w:val="bottom"/>
          </w:tcPr>
          <w:p w14:paraId="59029D19" w14:textId="77777777" w:rsidR="0084406A" w:rsidRDefault="0084406A">
            <w:pPr>
              <w:rPr>
                <w:rFonts w:ascii="宋体"/>
                <w:vanish/>
              </w:rPr>
            </w:pPr>
          </w:p>
        </w:tc>
        <w:tc>
          <w:tcPr>
            <w:tcW w:w="0" w:type="auto"/>
            <w:gridSpan w:val="3"/>
            <w:shd w:val="clear" w:color="auto" w:fill="auto"/>
            <w:vAlign w:val="bottom"/>
          </w:tcPr>
          <w:p w14:paraId="59029D1A" w14:textId="77777777" w:rsidR="0084406A" w:rsidRDefault="0084406A">
            <w:pPr>
              <w:rPr>
                <w:rFonts w:ascii="宋体"/>
                <w:vanish/>
              </w:rPr>
            </w:pPr>
          </w:p>
        </w:tc>
        <w:tc>
          <w:tcPr>
            <w:tcW w:w="0" w:type="auto"/>
            <w:gridSpan w:val="3"/>
            <w:shd w:val="clear" w:color="auto" w:fill="auto"/>
            <w:vAlign w:val="bottom"/>
          </w:tcPr>
          <w:p w14:paraId="59029D1B" w14:textId="77777777" w:rsidR="0084406A" w:rsidRDefault="0084406A">
            <w:pPr>
              <w:rPr>
                <w:rFonts w:ascii="宋体"/>
                <w:vanish/>
              </w:rPr>
            </w:pPr>
          </w:p>
        </w:tc>
        <w:tc>
          <w:tcPr>
            <w:tcW w:w="0" w:type="auto"/>
            <w:gridSpan w:val="3"/>
            <w:shd w:val="clear" w:color="auto" w:fill="auto"/>
            <w:vAlign w:val="bottom"/>
          </w:tcPr>
          <w:p w14:paraId="59029D1C" w14:textId="77777777" w:rsidR="0084406A" w:rsidRDefault="0084406A">
            <w:pPr>
              <w:rPr>
                <w:rFonts w:ascii="宋体"/>
                <w:vanish/>
              </w:rPr>
            </w:pPr>
          </w:p>
        </w:tc>
        <w:tc>
          <w:tcPr>
            <w:tcW w:w="0" w:type="auto"/>
            <w:gridSpan w:val="3"/>
            <w:shd w:val="clear" w:color="auto" w:fill="auto"/>
            <w:vAlign w:val="bottom"/>
          </w:tcPr>
          <w:p w14:paraId="59029D1D" w14:textId="77777777" w:rsidR="0084406A" w:rsidRDefault="0084406A">
            <w:pPr>
              <w:rPr>
                <w:rFonts w:ascii="宋体"/>
                <w:vanish/>
              </w:rPr>
            </w:pPr>
          </w:p>
        </w:tc>
        <w:tc>
          <w:tcPr>
            <w:tcW w:w="0" w:type="auto"/>
            <w:gridSpan w:val="3"/>
            <w:shd w:val="clear" w:color="auto" w:fill="auto"/>
            <w:vAlign w:val="bottom"/>
          </w:tcPr>
          <w:p w14:paraId="59029D1E" w14:textId="77777777" w:rsidR="0084406A" w:rsidRDefault="0084406A">
            <w:pPr>
              <w:rPr>
                <w:rFonts w:ascii="宋体"/>
                <w:vanish/>
              </w:rPr>
            </w:pPr>
          </w:p>
        </w:tc>
      </w:tr>
      <w:tr w:rsidR="0084406A" w14:paraId="59029D26" w14:textId="77777777">
        <w:trPr>
          <w:hidden/>
        </w:trPr>
        <w:tc>
          <w:tcPr>
            <w:tcW w:w="0" w:type="auto"/>
            <w:gridSpan w:val="3"/>
            <w:shd w:val="clear" w:color="auto" w:fill="auto"/>
            <w:vAlign w:val="bottom"/>
          </w:tcPr>
          <w:p w14:paraId="59029D20" w14:textId="77777777" w:rsidR="0084406A" w:rsidRDefault="0084406A">
            <w:pPr>
              <w:rPr>
                <w:rFonts w:ascii="宋体"/>
                <w:vanish/>
              </w:rPr>
            </w:pPr>
          </w:p>
        </w:tc>
        <w:tc>
          <w:tcPr>
            <w:tcW w:w="0" w:type="auto"/>
            <w:gridSpan w:val="3"/>
            <w:shd w:val="clear" w:color="auto" w:fill="auto"/>
            <w:vAlign w:val="bottom"/>
          </w:tcPr>
          <w:p w14:paraId="59029D21" w14:textId="77777777" w:rsidR="0084406A" w:rsidRDefault="0084406A">
            <w:pPr>
              <w:rPr>
                <w:rFonts w:ascii="宋体"/>
                <w:vanish/>
              </w:rPr>
            </w:pPr>
          </w:p>
        </w:tc>
        <w:tc>
          <w:tcPr>
            <w:tcW w:w="0" w:type="auto"/>
            <w:gridSpan w:val="3"/>
            <w:shd w:val="clear" w:color="auto" w:fill="auto"/>
            <w:vAlign w:val="bottom"/>
          </w:tcPr>
          <w:p w14:paraId="59029D22" w14:textId="77777777" w:rsidR="0084406A" w:rsidRDefault="0084406A">
            <w:pPr>
              <w:rPr>
                <w:rFonts w:ascii="宋体"/>
                <w:vanish/>
              </w:rPr>
            </w:pPr>
          </w:p>
        </w:tc>
        <w:tc>
          <w:tcPr>
            <w:tcW w:w="0" w:type="auto"/>
            <w:gridSpan w:val="3"/>
            <w:shd w:val="clear" w:color="auto" w:fill="auto"/>
            <w:vAlign w:val="bottom"/>
          </w:tcPr>
          <w:p w14:paraId="59029D23" w14:textId="77777777" w:rsidR="0084406A" w:rsidRDefault="0084406A">
            <w:pPr>
              <w:rPr>
                <w:rFonts w:ascii="宋体"/>
                <w:vanish/>
              </w:rPr>
            </w:pPr>
          </w:p>
        </w:tc>
        <w:tc>
          <w:tcPr>
            <w:tcW w:w="0" w:type="auto"/>
            <w:gridSpan w:val="3"/>
            <w:shd w:val="clear" w:color="auto" w:fill="auto"/>
            <w:vAlign w:val="bottom"/>
          </w:tcPr>
          <w:p w14:paraId="59029D24" w14:textId="77777777" w:rsidR="0084406A" w:rsidRDefault="0084406A">
            <w:pPr>
              <w:rPr>
                <w:rFonts w:ascii="宋体"/>
                <w:vanish/>
              </w:rPr>
            </w:pPr>
          </w:p>
        </w:tc>
        <w:tc>
          <w:tcPr>
            <w:tcW w:w="0" w:type="auto"/>
            <w:gridSpan w:val="3"/>
            <w:shd w:val="clear" w:color="auto" w:fill="auto"/>
            <w:vAlign w:val="bottom"/>
          </w:tcPr>
          <w:p w14:paraId="59029D25" w14:textId="77777777" w:rsidR="0084406A" w:rsidRDefault="0084406A">
            <w:pPr>
              <w:rPr>
                <w:rFonts w:ascii="宋体"/>
                <w:vanish/>
              </w:rPr>
            </w:pPr>
          </w:p>
        </w:tc>
      </w:tr>
      <w:tr w:rsidR="0084406A" w14:paraId="59029D2F" w14:textId="77777777">
        <w:tc>
          <w:tcPr>
            <w:tcW w:w="0" w:type="auto"/>
            <w:gridSpan w:val="3"/>
            <w:shd w:val="clear" w:color="auto" w:fill="CCEEFF"/>
            <w:tcMar>
              <w:top w:w="40" w:type="dxa"/>
              <w:left w:w="20" w:type="dxa"/>
              <w:bottom w:w="40" w:type="dxa"/>
              <w:right w:w="20" w:type="dxa"/>
            </w:tcMar>
            <w:vAlign w:val="bottom"/>
          </w:tcPr>
          <w:p w14:paraId="59029D27" w14:textId="77777777" w:rsidR="0084406A" w:rsidRDefault="002B18AF">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59029D28" w14:textId="77777777" w:rsidR="0084406A" w:rsidRDefault="002B18AF">
            <w:pPr>
              <w:jc w:val="right"/>
              <w:textAlignment w:val="bottom"/>
            </w:pPr>
            <w:r>
              <w:rPr>
                <w:rFonts w:ascii="Arial" w:eastAsia="宋体" w:hAnsi="Arial" w:cs="Arial"/>
                <w:color w:val="000000"/>
                <w:sz w:val="20"/>
                <w:szCs w:val="20"/>
              </w:rPr>
              <w:t>(12)</w:t>
            </w:r>
          </w:p>
        </w:tc>
        <w:tc>
          <w:tcPr>
            <w:tcW w:w="0" w:type="auto"/>
            <w:shd w:val="clear" w:color="auto" w:fill="CCEEFF"/>
            <w:tcMar>
              <w:top w:w="40" w:type="dxa"/>
              <w:left w:w="0" w:type="dxa"/>
              <w:bottom w:w="40" w:type="dxa"/>
              <w:right w:w="20" w:type="dxa"/>
            </w:tcMar>
            <w:vAlign w:val="bottom"/>
          </w:tcPr>
          <w:p w14:paraId="59029D2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D2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D2B"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D2C" w14:textId="77777777" w:rsidR="0084406A" w:rsidRDefault="0084406A">
            <w:pPr>
              <w:jc w:val="right"/>
              <w:rPr>
                <w:rFonts w:ascii="宋体"/>
              </w:rPr>
            </w:pPr>
          </w:p>
        </w:tc>
        <w:tc>
          <w:tcPr>
            <w:tcW w:w="0" w:type="auto"/>
            <w:gridSpan w:val="3"/>
            <w:shd w:val="clear" w:color="auto" w:fill="auto"/>
            <w:vAlign w:val="bottom"/>
          </w:tcPr>
          <w:p w14:paraId="59029D2D" w14:textId="77777777" w:rsidR="0084406A" w:rsidRDefault="0084406A">
            <w:pPr>
              <w:rPr>
                <w:rFonts w:ascii="宋体"/>
                <w:vanish/>
              </w:rPr>
            </w:pPr>
          </w:p>
        </w:tc>
        <w:tc>
          <w:tcPr>
            <w:tcW w:w="0" w:type="auto"/>
            <w:gridSpan w:val="3"/>
            <w:shd w:val="clear" w:color="auto" w:fill="auto"/>
            <w:vAlign w:val="bottom"/>
          </w:tcPr>
          <w:p w14:paraId="59029D2E" w14:textId="77777777" w:rsidR="0084406A" w:rsidRDefault="0084406A">
            <w:pPr>
              <w:rPr>
                <w:rFonts w:ascii="宋体"/>
                <w:vanish/>
              </w:rPr>
            </w:pPr>
          </w:p>
        </w:tc>
      </w:tr>
      <w:tr w:rsidR="0084406A" w14:paraId="59029D36" w14:textId="77777777">
        <w:trPr>
          <w:hidden/>
        </w:trPr>
        <w:tc>
          <w:tcPr>
            <w:tcW w:w="0" w:type="auto"/>
            <w:gridSpan w:val="3"/>
            <w:shd w:val="clear" w:color="auto" w:fill="auto"/>
            <w:vAlign w:val="bottom"/>
          </w:tcPr>
          <w:p w14:paraId="59029D30" w14:textId="77777777" w:rsidR="0084406A" w:rsidRDefault="0084406A">
            <w:pPr>
              <w:rPr>
                <w:rFonts w:ascii="宋体"/>
                <w:vanish/>
              </w:rPr>
            </w:pPr>
          </w:p>
        </w:tc>
        <w:tc>
          <w:tcPr>
            <w:tcW w:w="0" w:type="auto"/>
            <w:gridSpan w:val="3"/>
            <w:shd w:val="clear" w:color="auto" w:fill="auto"/>
            <w:vAlign w:val="bottom"/>
          </w:tcPr>
          <w:p w14:paraId="59029D31" w14:textId="77777777" w:rsidR="0084406A" w:rsidRDefault="0084406A">
            <w:pPr>
              <w:rPr>
                <w:rFonts w:ascii="宋体"/>
                <w:vanish/>
              </w:rPr>
            </w:pPr>
          </w:p>
        </w:tc>
        <w:tc>
          <w:tcPr>
            <w:tcW w:w="0" w:type="auto"/>
            <w:gridSpan w:val="3"/>
            <w:shd w:val="clear" w:color="auto" w:fill="auto"/>
            <w:vAlign w:val="bottom"/>
          </w:tcPr>
          <w:p w14:paraId="59029D32" w14:textId="77777777" w:rsidR="0084406A" w:rsidRDefault="0084406A">
            <w:pPr>
              <w:rPr>
                <w:rFonts w:ascii="宋体"/>
                <w:vanish/>
              </w:rPr>
            </w:pPr>
          </w:p>
        </w:tc>
        <w:tc>
          <w:tcPr>
            <w:tcW w:w="0" w:type="auto"/>
            <w:gridSpan w:val="3"/>
            <w:shd w:val="clear" w:color="auto" w:fill="auto"/>
            <w:vAlign w:val="bottom"/>
          </w:tcPr>
          <w:p w14:paraId="59029D33" w14:textId="77777777" w:rsidR="0084406A" w:rsidRDefault="0084406A">
            <w:pPr>
              <w:rPr>
                <w:rFonts w:ascii="宋体"/>
                <w:vanish/>
              </w:rPr>
            </w:pPr>
          </w:p>
        </w:tc>
        <w:tc>
          <w:tcPr>
            <w:tcW w:w="0" w:type="auto"/>
            <w:gridSpan w:val="3"/>
            <w:shd w:val="clear" w:color="auto" w:fill="auto"/>
            <w:vAlign w:val="bottom"/>
          </w:tcPr>
          <w:p w14:paraId="59029D34" w14:textId="77777777" w:rsidR="0084406A" w:rsidRDefault="0084406A">
            <w:pPr>
              <w:rPr>
                <w:rFonts w:ascii="宋体"/>
                <w:vanish/>
              </w:rPr>
            </w:pPr>
          </w:p>
        </w:tc>
        <w:tc>
          <w:tcPr>
            <w:tcW w:w="0" w:type="auto"/>
            <w:gridSpan w:val="3"/>
            <w:shd w:val="clear" w:color="auto" w:fill="auto"/>
            <w:vAlign w:val="bottom"/>
          </w:tcPr>
          <w:p w14:paraId="59029D35" w14:textId="77777777" w:rsidR="0084406A" w:rsidRDefault="0084406A">
            <w:pPr>
              <w:rPr>
                <w:rFonts w:ascii="宋体"/>
                <w:vanish/>
              </w:rPr>
            </w:pPr>
          </w:p>
        </w:tc>
      </w:tr>
      <w:tr w:rsidR="0084406A" w14:paraId="59029D3F" w14:textId="77777777">
        <w:tc>
          <w:tcPr>
            <w:tcW w:w="0" w:type="auto"/>
            <w:gridSpan w:val="3"/>
            <w:shd w:val="clear" w:color="auto" w:fill="FFFFFF"/>
            <w:tcMar>
              <w:top w:w="40" w:type="dxa"/>
              <w:left w:w="20" w:type="dxa"/>
              <w:bottom w:w="40" w:type="dxa"/>
              <w:right w:w="20" w:type="dxa"/>
            </w:tcMar>
            <w:vAlign w:val="bottom"/>
          </w:tcPr>
          <w:p w14:paraId="59029D37" w14:textId="77777777" w:rsidR="0084406A" w:rsidRDefault="002B18AF">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59029D38" w14:textId="77777777" w:rsidR="0084406A" w:rsidRDefault="002B18AF">
            <w:pPr>
              <w:jc w:val="right"/>
              <w:textAlignment w:val="bottom"/>
            </w:pPr>
            <w:r>
              <w:rPr>
                <w:rFonts w:ascii="Arial" w:eastAsia="宋体" w:hAnsi="Arial" w:cs="Arial"/>
                <w:color w:val="000000"/>
                <w:sz w:val="20"/>
                <w:szCs w:val="20"/>
              </w:rPr>
              <w:t>(34)</w:t>
            </w:r>
          </w:p>
        </w:tc>
        <w:tc>
          <w:tcPr>
            <w:tcW w:w="0" w:type="auto"/>
            <w:shd w:val="clear" w:color="auto" w:fill="FFFFFF"/>
            <w:tcMar>
              <w:top w:w="40" w:type="dxa"/>
              <w:left w:w="0" w:type="dxa"/>
              <w:bottom w:w="40" w:type="dxa"/>
              <w:right w:w="20" w:type="dxa"/>
            </w:tcMar>
            <w:vAlign w:val="bottom"/>
          </w:tcPr>
          <w:p w14:paraId="59029D3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D3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D3B" w14:textId="77777777" w:rsidR="0084406A" w:rsidRDefault="002B18AF">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59029D3C" w14:textId="77777777" w:rsidR="0084406A" w:rsidRDefault="0084406A">
            <w:pPr>
              <w:jc w:val="right"/>
              <w:rPr>
                <w:rFonts w:ascii="宋体"/>
              </w:rPr>
            </w:pPr>
          </w:p>
        </w:tc>
        <w:tc>
          <w:tcPr>
            <w:tcW w:w="0" w:type="auto"/>
            <w:gridSpan w:val="3"/>
            <w:shd w:val="clear" w:color="auto" w:fill="auto"/>
            <w:vAlign w:val="bottom"/>
          </w:tcPr>
          <w:p w14:paraId="59029D3D" w14:textId="77777777" w:rsidR="0084406A" w:rsidRDefault="0084406A">
            <w:pPr>
              <w:rPr>
                <w:rFonts w:ascii="宋体"/>
                <w:vanish/>
              </w:rPr>
            </w:pPr>
          </w:p>
        </w:tc>
        <w:tc>
          <w:tcPr>
            <w:tcW w:w="0" w:type="auto"/>
            <w:gridSpan w:val="3"/>
            <w:shd w:val="clear" w:color="auto" w:fill="auto"/>
            <w:vAlign w:val="bottom"/>
          </w:tcPr>
          <w:p w14:paraId="59029D3E" w14:textId="77777777" w:rsidR="0084406A" w:rsidRDefault="0084406A">
            <w:pPr>
              <w:rPr>
                <w:rFonts w:ascii="宋体"/>
                <w:vanish/>
              </w:rPr>
            </w:pPr>
          </w:p>
        </w:tc>
      </w:tr>
      <w:tr w:rsidR="0084406A" w14:paraId="59029D48" w14:textId="77777777">
        <w:tc>
          <w:tcPr>
            <w:tcW w:w="0" w:type="auto"/>
            <w:gridSpan w:val="3"/>
            <w:shd w:val="clear" w:color="auto" w:fill="CCEEFF"/>
            <w:tcMar>
              <w:top w:w="40" w:type="dxa"/>
              <w:left w:w="20" w:type="dxa"/>
              <w:bottom w:w="40" w:type="dxa"/>
              <w:right w:w="20" w:type="dxa"/>
            </w:tcMar>
            <w:vAlign w:val="bottom"/>
          </w:tcPr>
          <w:p w14:paraId="59029D40" w14:textId="77777777" w:rsidR="0084406A" w:rsidRDefault="002B18AF">
            <w:pPr>
              <w:textAlignment w:val="bottom"/>
            </w:pPr>
            <w:r>
              <w:rPr>
                <w:rFonts w:ascii="Arial" w:eastAsia="宋体"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59029D41" w14:textId="77777777" w:rsidR="0084406A" w:rsidRDefault="002B18AF">
            <w:pPr>
              <w:jc w:val="right"/>
              <w:textAlignment w:val="bottom"/>
            </w:pPr>
            <w:r>
              <w:rPr>
                <w:rFonts w:ascii="Arial" w:eastAsia="宋体" w:hAnsi="Arial" w:cs="Arial"/>
                <w:color w:val="000000"/>
                <w:sz w:val="20"/>
                <w:szCs w:val="20"/>
              </w:rPr>
              <w:t>55 </w:t>
            </w:r>
          </w:p>
        </w:tc>
        <w:tc>
          <w:tcPr>
            <w:tcW w:w="0" w:type="auto"/>
            <w:shd w:val="clear" w:color="auto" w:fill="CCEEFF"/>
            <w:tcMar>
              <w:top w:w="40" w:type="dxa"/>
              <w:left w:w="0" w:type="dxa"/>
              <w:bottom w:w="40" w:type="dxa"/>
              <w:right w:w="20" w:type="dxa"/>
            </w:tcMar>
            <w:vAlign w:val="bottom"/>
          </w:tcPr>
          <w:p w14:paraId="59029D4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D4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D44" w14:textId="77777777" w:rsidR="0084406A" w:rsidRDefault="002B18AF">
            <w:pPr>
              <w:jc w:val="right"/>
              <w:textAlignment w:val="bottom"/>
            </w:pPr>
            <w:r>
              <w:rPr>
                <w:rFonts w:ascii="Arial" w:eastAsia="宋体" w:hAnsi="Arial" w:cs="Arial"/>
                <w:color w:val="000000"/>
                <w:sz w:val="20"/>
                <w:szCs w:val="20"/>
              </w:rPr>
              <w:t>(47)</w:t>
            </w:r>
          </w:p>
        </w:tc>
        <w:tc>
          <w:tcPr>
            <w:tcW w:w="0" w:type="auto"/>
            <w:shd w:val="clear" w:color="auto" w:fill="CCEEFF"/>
            <w:tcMar>
              <w:top w:w="40" w:type="dxa"/>
              <w:left w:w="0" w:type="dxa"/>
              <w:bottom w:w="40" w:type="dxa"/>
              <w:right w:w="20" w:type="dxa"/>
            </w:tcMar>
            <w:vAlign w:val="bottom"/>
          </w:tcPr>
          <w:p w14:paraId="59029D45" w14:textId="77777777" w:rsidR="0084406A" w:rsidRDefault="0084406A">
            <w:pPr>
              <w:jc w:val="right"/>
              <w:rPr>
                <w:rFonts w:ascii="宋体"/>
              </w:rPr>
            </w:pPr>
          </w:p>
        </w:tc>
        <w:tc>
          <w:tcPr>
            <w:tcW w:w="0" w:type="auto"/>
            <w:gridSpan w:val="3"/>
            <w:shd w:val="clear" w:color="auto" w:fill="auto"/>
            <w:vAlign w:val="bottom"/>
          </w:tcPr>
          <w:p w14:paraId="59029D46" w14:textId="77777777" w:rsidR="0084406A" w:rsidRDefault="0084406A">
            <w:pPr>
              <w:rPr>
                <w:rFonts w:ascii="宋体"/>
                <w:vanish/>
              </w:rPr>
            </w:pPr>
          </w:p>
        </w:tc>
        <w:tc>
          <w:tcPr>
            <w:tcW w:w="0" w:type="auto"/>
            <w:gridSpan w:val="3"/>
            <w:shd w:val="clear" w:color="auto" w:fill="auto"/>
            <w:vAlign w:val="bottom"/>
          </w:tcPr>
          <w:p w14:paraId="59029D47" w14:textId="77777777" w:rsidR="0084406A" w:rsidRDefault="0084406A">
            <w:pPr>
              <w:rPr>
                <w:rFonts w:ascii="宋体"/>
                <w:vanish/>
              </w:rPr>
            </w:pPr>
          </w:p>
        </w:tc>
      </w:tr>
      <w:tr w:rsidR="0084406A" w14:paraId="59029D51" w14:textId="77777777">
        <w:tc>
          <w:tcPr>
            <w:tcW w:w="0" w:type="auto"/>
            <w:gridSpan w:val="3"/>
            <w:shd w:val="clear" w:color="auto" w:fill="FFFFFF"/>
            <w:tcMar>
              <w:top w:w="40" w:type="dxa"/>
              <w:left w:w="20" w:type="dxa"/>
              <w:bottom w:w="40" w:type="dxa"/>
              <w:right w:w="20" w:type="dxa"/>
            </w:tcMar>
            <w:vAlign w:val="bottom"/>
          </w:tcPr>
          <w:p w14:paraId="59029D49" w14:textId="77777777" w:rsidR="0084406A" w:rsidRDefault="002B18AF">
            <w:pPr>
              <w:textAlignment w:val="bottom"/>
            </w:pPr>
            <w:r>
              <w:rPr>
                <w:rFonts w:ascii="Arial" w:eastAsia="宋体" w:hAnsi="Arial" w:cs="Arial"/>
                <w:color w:val="000000"/>
                <w:sz w:val="20"/>
                <w:szCs w:val="20"/>
              </w:rPr>
              <w:t>Income tax provision (benefit)</w:t>
            </w:r>
          </w:p>
        </w:tc>
        <w:tc>
          <w:tcPr>
            <w:tcW w:w="0" w:type="auto"/>
            <w:gridSpan w:val="2"/>
            <w:shd w:val="clear" w:color="auto" w:fill="FFFFFF"/>
            <w:tcMar>
              <w:top w:w="40" w:type="dxa"/>
              <w:left w:w="20" w:type="dxa"/>
              <w:bottom w:w="40" w:type="dxa"/>
              <w:right w:w="0" w:type="dxa"/>
            </w:tcMar>
            <w:vAlign w:val="bottom"/>
          </w:tcPr>
          <w:p w14:paraId="59029D4A" w14:textId="77777777" w:rsidR="0084406A" w:rsidRDefault="002B18AF">
            <w:pPr>
              <w:jc w:val="right"/>
              <w:textAlignment w:val="bottom"/>
            </w:pPr>
            <w:r>
              <w:rPr>
                <w:rFonts w:ascii="Arial" w:eastAsia="宋体"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59029D4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D4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D4D" w14:textId="77777777" w:rsidR="0084406A" w:rsidRDefault="002B18AF">
            <w:pPr>
              <w:jc w:val="right"/>
              <w:textAlignment w:val="bottom"/>
            </w:pPr>
            <w:r>
              <w:rPr>
                <w:rFonts w:ascii="Arial" w:eastAsia="宋体" w:hAnsi="Arial" w:cs="Arial"/>
                <w:color w:val="000000"/>
                <w:sz w:val="20"/>
                <w:szCs w:val="20"/>
              </w:rPr>
              <w:t>(1,210)</w:t>
            </w:r>
          </w:p>
        </w:tc>
        <w:tc>
          <w:tcPr>
            <w:tcW w:w="0" w:type="auto"/>
            <w:shd w:val="clear" w:color="auto" w:fill="FFFFFF"/>
            <w:tcMar>
              <w:top w:w="40" w:type="dxa"/>
              <w:left w:w="0" w:type="dxa"/>
              <w:bottom w:w="40" w:type="dxa"/>
              <w:right w:w="20" w:type="dxa"/>
            </w:tcMar>
            <w:vAlign w:val="bottom"/>
          </w:tcPr>
          <w:p w14:paraId="59029D4E" w14:textId="77777777" w:rsidR="0084406A" w:rsidRDefault="0084406A">
            <w:pPr>
              <w:jc w:val="right"/>
              <w:rPr>
                <w:rFonts w:ascii="宋体"/>
              </w:rPr>
            </w:pPr>
          </w:p>
        </w:tc>
        <w:tc>
          <w:tcPr>
            <w:tcW w:w="0" w:type="auto"/>
            <w:gridSpan w:val="3"/>
            <w:shd w:val="clear" w:color="auto" w:fill="auto"/>
            <w:vAlign w:val="bottom"/>
          </w:tcPr>
          <w:p w14:paraId="59029D4F" w14:textId="77777777" w:rsidR="0084406A" w:rsidRDefault="0084406A">
            <w:pPr>
              <w:rPr>
                <w:rFonts w:ascii="宋体"/>
                <w:vanish/>
              </w:rPr>
            </w:pPr>
          </w:p>
        </w:tc>
        <w:tc>
          <w:tcPr>
            <w:tcW w:w="0" w:type="auto"/>
            <w:gridSpan w:val="3"/>
            <w:shd w:val="clear" w:color="auto" w:fill="auto"/>
            <w:vAlign w:val="bottom"/>
          </w:tcPr>
          <w:p w14:paraId="59029D50" w14:textId="77777777" w:rsidR="0084406A" w:rsidRDefault="0084406A">
            <w:pPr>
              <w:rPr>
                <w:rFonts w:ascii="宋体"/>
                <w:vanish/>
              </w:rPr>
            </w:pPr>
          </w:p>
        </w:tc>
      </w:tr>
      <w:tr w:rsidR="0084406A" w14:paraId="59029D58" w14:textId="77777777">
        <w:trPr>
          <w:hidden/>
        </w:trPr>
        <w:tc>
          <w:tcPr>
            <w:tcW w:w="0" w:type="auto"/>
            <w:gridSpan w:val="3"/>
            <w:shd w:val="clear" w:color="auto" w:fill="auto"/>
            <w:vAlign w:val="bottom"/>
          </w:tcPr>
          <w:p w14:paraId="59029D52" w14:textId="77777777" w:rsidR="0084406A" w:rsidRDefault="0084406A">
            <w:pPr>
              <w:rPr>
                <w:rFonts w:ascii="宋体"/>
                <w:vanish/>
              </w:rPr>
            </w:pPr>
          </w:p>
        </w:tc>
        <w:tc>
          <w:tcPr>
            <w:tcW w:w="0" w:type="auto"/>
            <w:gridSpan w:val="3"/>
            <w:shd w:val="clear" w:color="auto" w:fill="auto"/>
            <w:vAlign w:val="bottom"/>
          </w:tcPr>
          <w:p w14:paraId="59029D53" w14:textId="77777777" w:rsidR="0084406A" w:rsidRDefault="0084406A">
            <w:pPr>
              <w:rPr>
                <w:rFonts w:ascii="宋体"/>
                <w:vanish/>
              </w:rPr>
            </w:pPr>
          </w:p>
        </w:tc>
        <w:tc>
          <w:tcPr>
            <w:tcW w:w="0" w:type="auto"/>
            <w:gridSpan w:val="3"/>
            <w:shd w:val="clear" w:color="auto" w:fill="auto"/>
            <w:vAlign w:val="bottom"/>
          </w:tcPr>
          <w:p w14:paraId="59029D54" w14:textId="77777777" w:rsidR="0084406A" w:rsidRDefault="0084406A">
            <w:pPr>
              <w:rPr>
                <w:rFonts w:ascii="宋体"/>
                <w:vanish/>
              </w:rPr>
            </w:pPr>
          </w:p>
        </w:tc>
        <w:tc>
          <w:tcPr>
            <w:tcW w:w="0" w:type="auto"/>
            <w:gridSpan w:val="3"/>
            <w:shd w:val="clear" w:color="auto" w:fill="auto"/>
            <w:vAlign w:val="bottom"/>
          </w:tcPr>
          <w:p w14:paraId="59029D55" w14:textId="77777777" w:rsidR="0084406A" w:rsidRDefault="0084406A">
            <w:pPr>
              <w:rPr>
                <w:rFonts w:ascii="宋体"/>
                <w:vanish/>
              </w:rPr>
            </w:pPr>
          </w:p>
        </w:tc>
        <w:tc>
          <w:tcPr>
            <w:tcW w:w="0" w:type="auto"/>
            <w:gridSpan w:val="3"/>
            <w:shd w:val="clear" w:color="auto" w:fill="auto"/>
            <w:vAlign w:val="bottom"/>
          </w:tcPr>
          <w:p w14:paraId="59029D56" w14:textId="77777777" w:rsidR="0084406A" w:rsidRDefault="0084406A">
            <w:pPr>
              <w:rPr>
                <w:rFonts w:ascii="宋体"/>
                <w:vanish/>
              </w:rPr>
            </w:pPr>
          </w:p>
        </w:tc>
        <w:tc>
          <w:tcPr>
            <w:tcW w:w="0" w:type="auto"/>
            <w:gridSpan w:val="3"/>
            <w:shd w:val="clear" w:color="auto" w:fill="auto"/>
            <w:vAlign w:val="bottom"/>
          </w:tcPr>
          <w:p w14:paraId="59029D57" w14:textId="77777777" w:rsidR="0084406A" w:rsidRDefault="0084406A">
            <w:pPr>
              <w:rPr>
                <w:rFonts w:ascii="宋体"/>
                <w:vanish/>
              </w:rPr>
            </w:pPr>
          </w:p>
        </w:tc>
      </w:tr>
      <w:tr w:rsidR="0084406A" w14:paraId="59029D5F" w14:textId="77777777">
        <w:trPr>
          <w:hidden/>
        </w:trPr>
        <w:tc>
          <w:tcPr>
            <w:tcW w:w="0" w:type="auto"/>
            <w:gridSpan w:val="3"/>
            <w:shd w:val="clear" w:color="auto" w:fill="auto"/>
            <w:vAlign w:val="bottom"/>
          </w:tcPr>
          <w:p w14:paraId="59029D59" w14:textId="77777777" w:rsidR="0084406A" w:rsidRDefault="0084406A">
            <w:pPr>
              <w:rPr>
                <w:rFonts w:ascii="宋体"/>
                <w:vanish/>
              </w:rPr>
            </w:pPr>
          </w:p>
        </w:tc>
        <w:tc>
          <w:tcPr>
            <w:tcW w:w="0" w:type="auto"/>
            <w:gridSpan w:val="3"/>
            <w:shd w:val="clear" w:color="auto" w:fill="auto"/>
            <w:vAlign w:val="bottom"/>
          </w:tcPr>
          <w:p w14:paraId="59029D5A" w14:textId="77777777" w:rsidR="0084406A" w:rsidRDefault="0084406A">
            <w:pPr>
              <w:rPr>
                <w:rFonts w:ascii="宋体"/>
                <w:vanish/>
              </w:rPr>
            </w:pPr>
          </w:p>
        </w:tc>
        <w:tc>
          <w:tcPr>
            <w:tcW w:w="0" w:type="auto"/>
            <w:gridSpan w:val="3"/>
            <w:shd w:val="clear" w:color="auto" w:fill="auto"/>
            <w:vAlign w:val="bottom"/>
          </w:tcPr>
          <w:p w14:paraId="59029D5B" w14:textId="77777777" w:rsidR="0084406A" w:rsidRDefault="0084406A">
            <w:pPr>
              <w:rPr>
                <w:rFonts w:ascii="宋体"/>
                <w:vanish/>
              </w:rPr>
            </w:pPr>
          </w:p>
        </w:tc>
        <w:tc>
          <w:tcPr>
            <w:tcW w:w="0" w:type="auto"/>
            <w:gridSpan w:val="3"/>
            <w:shd w:val="clear" w:color="auto" w:fill="auto"/>
            <w:vAlign w:val="bottom"/>
          </w:tcPr>
          <w:p w14:paraId="59029D5C" w14:textId="77777777" w:rsidR="0084406A" w:rsidRDefault="0084406A">
            <w:pPr>
              <w:rPr>
                <w:rFonts w:ascii="宋体"/>
                <w:vanish/>
              </w:rPr>
            </w:pPr>
          </w:p>
        </w:tc>
        <w:tc>
          <w:tcPr>
            <w:tcW w:w="0" w:type="auto"/>
            <w:gridSpan w:val="3"/>
            <w:shd w:val="clear" w:color="auto" w:fill="auto"/>
            <w:vAlign w:val="bottom"/>
          </w:tcPr>
          <w:p w14:paraId="59029D5D" w14:textId="77777777" w:rsidR="0084406A" w:rsidRDefault="0084406A">
            <w:pPr>
              <w:rPr>
                <w:rFonts w:ascii="宋体"/>
                <w:vanish/>
              </w:rPr>
            </w:pPr>
          </w:p>
        </w:tc>
        <w:tc>
          <w:tcPr>
            <w:tcW w:w="0" w:type="auto"/>
            <w:gridSpan w:val="3"/>
            <w:shd w:val="clear" w:color="auto" w:fill="auto"/>
            <w:vAlign w:val="bottom"/>
          </w:tcPr>
          <w:p w14:paraId="59029D5E" w14:textId="77777777" w:rsidR="0084406A" w:rsidRDefault="0084406A">
            <w:pPr>
              <w:rPr>
                <w:rFonts w:ascii="宋体"/>
                <w:vanish/>
              </w:rPr>
            </w:pPr>
          </w:p>
        </w:tc>
      </w:tr>
    </w:tbl>
    <w:p w14:paraId="59029D60" w14:textId="77777777" w:rsidR="0084406A" w:rsidRDefault="002B18AF">
      <w:pPr>
        <w:spacing w:before="180"/>
      </w:pPr>
      <w:r>
        <w:rPr>
          <w:rFonts w:ascii="Arial" w:eastAsia="宋体" w:hAnsi="Arial" w:cs="Arial"/>
          <w:b/>
          <w:bCs/>
          <w:color w:val="000000"/>
          <w:sz w:val="20"/>
          <w:szCs w:val="20"/>
        </w:rPr>
        <w:t>Gross Margin</w:t>
      </w:r>
    </w:p>
    <w:p w14:paraId="59029D61" w14:textId="77777777" w:rsidR="0084406A" w:rsidRDefault="002B18AF">
      <w:pPr>
        <w:spacing w:before="180"/>
        <w:jc w:val="both"/>
      </w:pPr>
      <w:r>
        <w:rPr>
          <w:rFonts w:ascii="Arial" w:eastAsia="宋体" w:hAnsi="Arial" w:cs="Arial"/>
          <w:color w:val="000000"/>
          <w:sz w:val="20"/>
          <w:szCs w:val="20"/>
        </w:rPr>
        <w:t xml:space="preserve">Gross margin as a percentage of net revenue was 48% in 2021 compared to 45% in 2020. The increase in gross margin was primarily driven by a richer mix of EPYC, Radeon and </w:t>
      </w:r>
      <w:r>
        <w:rPr>
          <w:rFonts w:ascii="Arial" w:eastAsia="宋体" w:hAnsi="Arial" w:cs="Arial"/>
          <w:color w:val="000000"/>
          <w:sz w:val="20"/>
          <w:szCs w:val="20"/>
        </w:rPr>
        <w:t>Ryzen processor sales.</w:t>
      </w:r>
    </w:p>
    <w:p w14:paraId="59029D62" w14:textId="77777777" w:rsidR="0084406A" w:rsidRDefault="002B18AF">
      <w:pPr>
        <w:spacing w:before="180"/>
      </w:pPr>
      <w:r>
        <w:rPr>
          <w:rFonts w:ascii="Arial" w:eastAsia="宋体" w:hAnsi="Arial" w:cs="Arial"/>
          <w:b/>
          <w:bCs/>
          <w:color w:val="000000"/>
          <w:sz w:val="20"/>
          <w:szCs w:val="20"/>
        </w:rPr>
        <w:t>Expenses</w:t>
      </w:r>
    </w:p>
    <w:p w14:paraId="59029D63" w14:textId="77777777" w:rsidR="0084406A" w:rsidRDefault="002B18AF">
      <w:pPr>
        <w:spacing w:before="180"/>
      </w:pPr>
      <w:r>
        <w:rPr>
          <w:rFonts w:ascii="Arial" w:eastAsia="宋体" w:hAnsi="Arial" w:cs="Arial"/>
          <w:b/>
          <w:bCs/>
          <w:i/>
          <w:iCs/>
          <w:color w:val="000000"/>
          <w:sz w:val="20"/>
          <w:szCs w:val="20"/>
        </w:rPr>
        <w:t>Research and Development Expenses</w:t>
      </w:r>
    </w:p>
    <w:p w14:paraId="59029D64" w14:textId="77777777" w:rsidR="0084406A" w:rsidRDefault="002B18AF">
      <w:pPr>
        <w:spacing w:before="180"/>
        <w:jc w:val="both"/>
      </w:pPr>
      <w:r>
        <w:rPr>
          <w:rFonts w:ascii="Arial" w:eastAsia="宋体" w:hAnsi="Arial" w:cs="Arial"/>
          <w:color w:val="000000"/>
          <w:sz w:val="20"/>
          <w:szCs w:val="20"/>
        </w:rPr>
        <w:t xml:space="preserve">Research and development expenses of $2.8 billion in 2021 increased by $862 million, or 43%, compared to $2.0 billion in 2020. The increase was primarily driven by an increase in </w:t>
      </w:r>
      <w:r>
        <w:rPr>
          <w:rFonts w:ascii="Arial" w:eastAsia="宋体" w:hAnsi="Arial" w:cs="Arial"/>
          <w:color w:val="000000"/>
          <w:sz w:val="20"/>
          <w:szCs w:val="20"/>
        </w:rPr>
        <w:t>product development costs due to an increase in headcount and higher annual employee incentives driven by improved financial performance.</w:t>
      </w:r>
    </w:p>
    <w:p w14:paraId="59029D65" w14:textId="77777777" w:rsidR="0084406A" w:rsidRDefault="002B18AF">
      <w:pPr>
        <w:jc w:val="center"/>
      </w:pPr>
      <w:r>
        <w:rPr>
          <w:rFonts w:ascii="Arial" w:eastAsia="宋体" w:hAnsi="Arial" w:cs="Arial"/>
          <w:color w:val="000000"/>
          <w:sz w:val="20"/>
          <w:szCs w:val="20"/>
        </w:rPr>
        <w:t>43</w:t>
      </w:r>
    </w:p>
    <w:p w14:paraId="59029D66" w14:textId="77777777" w:rsidR="0084406A" w:rsidRDefault="002B18AF">
      <w:r>
        <w:pict w14:anchorId="5902BB21">
          <v:rect id="_x0000_i1070" style="width:415.3pt;height:1.5pt" o:hralign="center" o:hrstd="t" o:hr="t" fillcolor="#a0a0a0" stroked="f"/>
        </w:pict>
      </w:r>
    </w:p>
    <w:p w14:paraId="59029D67" w14:textId="77777777" w:rsidR="0084406A" w:rsidRDefault="0084406A"/>
    <w:p w14:paraId="59029D68" w14:textId="77777777" w:rsidR="0084406A" w:rsidRDefault="002B18AF">
      <w:pPr>
        <w:spacing w:before="180"/>
        <w:jc w:val="both"/>
      </w:pPr>
      <w:r>
        <w:rPr>
          <w:rFonts w:ascii="Arial" w:eastAsia="宋体" w:hAnsi="Arial" w:cs="Arial"/>
          <w:b/>
          <w:bCs/>
          <w:i/>
          <w:iCs/>
          <w:color w:val="000000"/>
          <w:sz w:val="20"/>
          <w:szCs w:val="20"/>
        </w:rPr>
        <w:t>Marketing, General and Administrative Expenses</w:t>
      </w:r>
    </w:p>
    <w:p w14:paraId="59029D69" w14:textId="77777777" w:rsidR="0084406A" w:rsidRDefault="002B18AF">
      <w:pPr>
        <w:spacing w:before="180"/>
        <w:jc w:val="both"/>
      </w:pPr>
      <w:r>
        <w:rPr>
          <w:rFonts w:ascii="Arial" w:eastAsia="宋体" w:hAnsi="Arial" w:cs="Arial"/>
          <w:color w:val="000000"/>
          <w:sz w:val="20"/>
          <w:szCs w:val="20"/>
        </w:rPr>
        <w:t>Marketing, general and administrative expenses of $1.4 billion in 2021 increased by $453 million, or 46%, compared to $995 million in 2020. The increase was primarily due to an increase in go-to-market activities in both the Computing and Graphics and Ente</w:t>
      </w:r>
      <w:r>
        <w:rPr>
          <w:rFonts w:ascii="Arial" w:eastAsia="宋体" w:hAnsi="Arial" w:cs="Arial"/>
          <w:color w:val="000000"/>
          <w:sz w:val="20"/>
          <w:szCs w:val="20"/>
        </w:rPr>
        <w:t xml:space="preserve">rprise, Embedded and Semi-Custom segments, as well as an increase in headcount and higher annual employee incentives driven by improved financial performance. </w:t>
      </w:r>
    </w:p>
    <w:p w14:paraId="59029D6A" w14:textId="77777777" w:rsidR="0084406A" w:rsidRDefault="002B18AF">
      <w:pPr>
        <w:spacing w:before="180"/>
      </w:pPr>
      <w:r>
        <w:rPr>
          <w:rFonts w:ascii="Arial" w:eastAsia="宋体" w:hAnsi="Arial" w:cs="Arial"/>
          <w:b/>
          <w:bCs/>
          <w:color w:val="000000"/>
          <w:sz w:val="20"/>
          <w:szCs w:val="20"/>
        </w:rPr>
        <w:t>Licensing Gain</w:t>
      </w:r>
    </w:p>
    <w:p w14:paraId="59029D6B" w14:textId="77777777" w:rsidR="0084406A" w:rsidRDefault="002B18AF">
      <w:pPr>
        <w:spacing w:before="180"/>
        <w:jc w:val="both"/>
      </w:pPr>
      <w:r>
        <w:rPr>
          <w:rFonts w:ascii="Arial" w:eastAsia="宋体" w:hAnsi="Arial" w:cs="Arial"/>
          <w:color w:val="000000"/>
          <w:sz w:val="20"/>
          <w:szCs w:val="20"/>
        </w:rPr>
        <w:t>During 2021, we recognized $12 million of royalty income associated with the lice</w:t>
      </w:r>
      <w:r>
        <w:rPr>
          <w:rFonts w:ascii="Arial" w:eastAsia="宋体" w:hAnsi="Arial" w:cs="Arial"/>
          <w:color w:val="000000"/>
          <w:sz w:val="20"/>
          <w:szCs w:val="20"/>
        </w:rPr>
        <w:t xml:space="preserve">nsed IP to the THATIC JV, our two joint ventures with Higon Information Technology Co., Ltd., a third-party Chinese entity. We did not recognize a licensing gain for the year ended December 26, 2020. </w:t>
      </w:r>
    </w:p>
    <w:p w14:paraId="59029D6C" w14:textId="77777777" w:rsidR="0084406A" w:rsidRDefault="002B18AF">
      <w:pPr>
        <w:spacing w:before="180"/>
      </w:pPr>
      <w:r>
        <w:rPr>
          <w:rFonts w:ascii="Arial" w:eastAsia="宋体" w:hAnsi="Arial" w:cs="Arial"/>
          <w:b/>
          <w:bCs/>
          <w:color w:val="000000"/>
          <w:sz w:val="20"/>
          <w:szCs w:val="20"/>
        </w:rPr>
        <w:t>Interest Expense</w:t>
      </w:r>
    </w:p>
    <w:p w14:paraId="59029D6D" w14:textId="77777777" w:rsidR="0084406A" w:rsidRDefault="002B18AF">
      <w:pPr>
        <w:spacing w:before="180"/>
        <w:jc w:val="both"/>
      </w:pPr>
      <w:r>
        <w:rPr>
          <w:rFonts w:ascii="Arial" w:eastAsia="宋体" w:hAnsi="Arial" w:cs="Arial"/>
          <w:color w:val="000000"/>
          <w:sz w:val="20"/>
          <w:szCs w:val="20"/>
        </w:rPr>
        <w:t>Interest expense of $34 million in 202</w:t>
      </w:r>
      <w:r>
        <w:rPr>
          <w:rFonts w:ascii="Arial" w:eastAsia="宋体" w:hAnsi="Arial" w:cs="Arial"/>
          <w:color w:val="000000"/>
          <w:sz w:val="20"/>
          <w:szCs w:val="20"/>
        </w:rPr>
        <w:t>1 decreased by $13 million compared to $47 million in 2020, primarily due to lower debt balances as a result of conversions by holders of our 2.125% Convertible Senior Notes due 2026.</w:t>
      </w:r>
    </w:p>
    <w:p w14:paraId="59029D6E" w14:textId="77777777" w:rsidR="0084406A" w:rsidRDefault="002B18AF">
      <w:pPr>
        <w:spacing w:before="180"/>
      </w:pPr>
      <w:r>
        <w:rPr>
          <w:rFonts w:ascii="Arial" w:eastAsia="宋体" w:hAnsi="Arial" w:cs="Arial"/>
          <w:b/>
          <w:bCs/>
          <w:color w:val="000000"/>
          <w:sz w:val="20"/>
          <w:szCs w:val="20"/>
        </w:rPr>
        <w:t>Other Income (Expense), net</w:t>
      </w:r>
    </w:p>
    <w:p w14:paraId="59029D6F" w14:textId="77777777" w:rsidR="0084406A" w:rsidRDefault="002B18AF">
      <w:pPr>
        <w:spacing w:before="180"/>
        <w:jc w:val="both"/>
      </w:pPr>
      <w:r>
        <w:rPr>
          <w:rFonts w:ascii="Arial" w:eastAsia="宋体" w:hAnsi="Arial" w:cs="Arial"/>
          <w:color w:val="000000"/>
          <w:sz w:val="20"/>
          <w:szCs w:val="20"/>
        </w:rPr>
        <w:t>Other income, net was $55 million for the ye</w:t>
      </w:r>
      <w:r>
        <w:rPr>
          <w:rFonts w:ascii="Arial" w:eastAsia="宋体" w:hAnsi="Arial" w:cs="Arial"/>
          <w:color w:val="000000"/>
          <w:sz w:val="20"/>
          <w:szCs w:val="20"/>
        </w:rPr>
        <w:t xml:space="preserve">ar ended December 25, 2021 compared to $47 million of Other expense, net for the year ended December 26, 2020. The change was primarily due to a net gain of $56 million from an increase in fair value of equity investments in 2021 and lower losses from the </w:t>
      </w:r>
      <w:r>
        <w:rPr>
          <w:rFonts w:ascii="Arial" w:eastAsia="宋体" w:hAnsi="Arial" w:cs="Arial"/>
          <w:color w:val="000000"/>
          <w:sz w:val="20"/>
          <w:szCs w:val="20"/>
        </w:rPr>
        <w:t>conversion of our convertible debt of $47 million in 2020.</w:t>
      </w:r>
    </w:p>
    <w:p w14:paraId="59029D70" w14:textId="77777777" w:rsidR="0084406A" w:rsidRDefault="002B18AF">
      <w:pPr>
        <w:spacing w:before="180"/>
        <w:jc w:val="both"/>
      </w:pPr>
      <w:r>
        <w:rPr>
          <w:rFonts w:ascii="Arial" w:eastAsia="宋体" w:hAnsi="Arial" w:cs="Arial"/>
          <w:b/>
          <w:bCs/>
          <w:color w:val="000000"/>
          <w:sz w:val="20"/>
          <w:szCs w:val="20"/>
        </w:rPr>
        <w:t>Income Taxes Provision (Benefit)</w:t>
      </w:r>
    </w:p>
    <w:p w14:paraId="59029D71" w14:textId="77777777" w:rsidR="0084406A" w:rsidRDefault="002B18AF">
      <w:pPr>
        <w:spacing w:before="180"/>
        <w:jc w:val="both"/>
      </w:pPr>
      <w:r>
        <w:rPr>
          <w:rFonts w:ascii="Arial" w:eastAsia="宋体" w:hAnsi="Arial" w:cs="Arial"/>
          <w:color w:val="000000"/>
          <w:sz w:val="20"/>
          <w:szCs w:val="20"/>
        </w:rPr>
        <w:t>We recorded an income tax provision of $513 million in 2021 and an income tax benefit of $1.2 billion in 2020, representing effective tax rates of 14% and (95)% res</w:t>
      </w:r>
      <w:r>
        <w:rPr>
          <w:rFonts w:ascii="Arial" w:eastAsia="宋体" w:hAnsi="Arial" w:cs="Arial"/>
          <w:color w:val="000000"/>
          <w:sz w:val="20"/>
          <w:szCs w:val="20"/>
        </w:rPr>
        <w:t xml:space="preserve">pectively. The income tax provision of $513 million was due to higher income in the U.S. and increase in foreign taxes, partially offset by $147 million of foreign-derived intangible income tax benefit, $78 million of research and development tax credits, </w:t>
      </w:r>
      <w:r>
        <w:rPr>
          <w:rFonts w:ascii="Arial" w:eastAsia="宋体" w:hAnsi="Arial" w:cs="Arial"/>
          <w:color w:val="000000"/>
          <w:sz w:val="20"/>
          <w:szCs w:val="20"/>
        </w:rPr>
        <w:t>and $125 million of excess tax benefit for stock-based compensation net of non-deductible officers’ compensation.</w:t>
      </w:r>
    </w:p>
    <w:p w14:paraId="59029D72" w14:textId="77777777" w:rsidR="0084406A" w:rsidRDefault="002B18AF">
      <w:pPr>
        <w:spacing w:before="180"/>
        <w:jc w:val="both"/>
      </w:pPr>
      <w:r>
        <w:rPr>
          <w:rFonts w:ascii="Arial" w:eastAsia="宋体" w:hAnsi="Arial" w:cs="Arial"/>
          <w:color w:val="000000"/>
          <w:sz w:val="20"/>
          <w:szCs w:val="20"/>
        </w:rPr>
        <w:t xml:space="preserve">The income tax benefit in 2020 was primarily due to $1.3 billion of tax benefit from the valuation allowance release in the U.S. This benefit </w:t>
      </w:r>
      <w:r>
        <w:rPr>
          <w:rFonts w:ascii="Arial" w:eastAsia="宋体" w:hAnsi="Arial" w:cs="Arial"/>
          <w:color w:val="000000"/>
          <w:sz w:val="20"/>
          <w:szCs w:val="20"/>
        </w:rPr>
        <w:t>was partially offset by approximately $10 million of withholding tax expense related to cross-border transactions, $13 million of state and foreign taxes, and a $75 million increase in valuation allowance against certain state and foreign tax credits.</w:t>
      </w:r>
    </w:p>
    <w:p w14:paraId="59029D73" w14:textId="77777777" w:rsidR="0084406A" w:rsidRDefault="002B18AF">
      <w:pPr>
        <w:spacing w:before="180"/>
        <w:jc w:val="both"/>
      </w:pPr>
      <w:r>
        <w:rPr>
          <w:rFonts w:ascii="Arial" w:eastAsia="宋体" w:hAnsi="Arial" w:cs="Arial"/>
          <w:color w:val="000000"/>
          <w:sz w:val="20"/>
          <w:szCs w:val="20"/>
        </w:rPr>
        <w:t>Thro</w:t>
      </w:r>
      <w:r>
        <w:rPr>
          <w:rFonts w:ascii="Arial" w:eastAsia="宋体" w:hAnsi="Arial" w:cs="Arial"/>
          <w:color w:val="000000"/>
          <w:sz w:val="20"/>
          <w:szCs w:val="20"/>
        </w:rPr>
        <w:t>ugh the end of fiscal year 2021, we continued to maintain a valuation allowance of approximately $1.7 billion for certain federal, state, and foreign tax attributes. The federal valuation allowance maintained is due to limitations under Internal Revenue Co</w:t>
      </w:r>
      <w:r>
        <w:rPr>
          <w:rFonts w:ascii="Arial" w:eastAsia="宋体" w:hAnsi="Arial" w:cs="Arial"/>
          <w:color w:val="000000"/>
          <w:sz w:val="20"/>
          <w:szCs w:val="20"/>
        </w:rPr>
        <w:t>de Section 382 or 383, separate return loss year rules, or dual consolidated loss rules. Certain state and foreign valuation allowance maintained is due to lack of sufficient sources of future taxable income.</w:t>
      </w:r>
    </w:p>
    <w:p w14:paraId="59029D74" w14:textId="77777777" w:rsidR="0084406A" w:rsidRDefault="002B18AF">
      <w:pPr>
        <w:spacing w:before="180"/>
      </w:pPr>
      <w:r>
        <w:rPr>
          <w:rFonts w:ascii="Arial" w:eastAsia="宋体" w:hAnsi="Arial" w:cs="Arial"/>
          <w:b/>
          <w:bCs/>
          <w:color w:val="000000"/>
          <w:sz w:val="20"/>
          <w:szCs w:val="20"/>
        </w:rPr>
        <w:t>International Sales</w:t>
      </w:r>
    </w:p>
    <w:p w14:paraId="59029D75" w14:textId="77777777" w:rsidR="0084406A" w:rsidRDefault="002B18AF">
      <w:pPr>
        <w:spacing w:before="180"/>
        <w:jc w:val="both"/>
      </w:pPr>
      <w:r>
        <w:rPr>
          <w:rFonts w:ascii="Arial" w:eastAsia="宋体" w:hAnsi="Arial" w:cs="Arial"/>
          <w:color w:val="000000"/>
          <w:sz w:val="20"/>
          <w:szCs w:val="20"/>
        </w:rPr>
        <w:t>International sales as a pe</w:t>
      </w:r>
      <w:r>
        <w:rPr>
          <w:rFonts w:ascii="Arial" w:eastAsia="宋体" w:hAnsi="Arial" w:cs="Arial"/>
          <w:color w:val="000000"/>
          <w:sz w:val="20"/>
          <w:szCs w:val="20"/>
        </w:rPr>
        <w:t xml:space="preserve">rcentage of net revenue were </w:t>
      </w:r>
      <w:r>
        <w:rPr>
          <w:rFonts w:ascii="Arial" w:eastAsia="宋体" w:hAnsi="Arial" w:cs="Arial"/>
          <w:color w:val="000000"/>
          <w:sz w:val="20"/>
          <w:szCs w:val="20"/>
          <w:shd w:val="clear" w:color="auto" w:fill="FFFFFF"/>
        </w:rPr>
        <w:t>72%</w:t>
      </w:r>
      <w:r>
        <w:rPr>
          <w:rFonts w:ascii="Arial" w:eastAsia="宋体" w:hAnsi="Arial" w:cs="Arial"/>
          <w:color w:val="000000"/>
          <w:sz w:val="20"/>
          <w:szCs w:val="20"/>
        </w:rPr>
        <w:t xml:space="preserve"> in 2021 and 77% in 2020. We expect that international sales will continue to be a significant portion of total sales in the foreseeable future. Substantially all of our sales transactions are denominated in U.S. dollars.</w:t>
      </w:r>
    </w:p>
    <w:p w14:paraId="59029D76" w14:textId="77777777" w:rsidR="0084406A" w:rsidRDefault="002B18AF">
      <w:pPr>
        <w:spacing w:before="180"/>
      </w:pPr>
      <w:r>
        <w:rPr>
          <w:rFonts w:ascii="Arial" w:eastAsia="宋体" w:hAnsi="Arial" w:cs="Arial"/>
          <w:b/>
          <w:bCs/>
          <w:color w:val="000000"/>
          <w:sz w:val="20"/>
          <w:szCs w:val="20"/>
        </w:rPr>
        <w:t>FI</w:t>
      </w:r>
      <w:r>
        <w:rPr>
          <w:rFonts w:ascii="Arial" w:eastAsia="宋体" w:hAnsi="Arial" w:cs="Arial"/>
          <w:b/>
          <w:bCs/>
          <w:color w:val="000000"/>
          <w:sz w:val="20"/>
          <w:szCs w:val="20"/>
        </w:rPr>
        <w:t>NANCIAL CONDITION</w:t>
      </w:r>
    </w:p>
    <w:p w14:paraId="59029D77" w14:textId="77777777" w:rsidR="0084406A" w:rsidRDefault="002B18AF">
      <w:pPr>
        <w:spacing w:before="180"/>
      </w:pPr>
      <w:r>
        <w:rPr>
          <w:rFonts w:ascii="Arial" w:eastAsia="宋体" w:hAnsi="Arial" w:cs="Arial"/>
          <w:b/>
          <w:bCs/>
          <w:i/>
          <w:iCs/>
          <w:color w:val="000000"/>
          <w:sz w:val="20"/>
          <w:szCs w:val="20"/>
        </w:rPr>
        <w:t>Liquidity and Capital Resources</w:t>
      </w:r>
    </w:p>
    <w:p w14:paraId="59029D78" w14:textId="77777777" w:rsidR="0084406A" w:rsidRDefault="002B18AF">
      <w:pPr>
        <w:spacing w:before="180"/>
        <w:jc w:val="both"/>
      </w:pPr>
      <w:r>
        <w:rPr>
          <w:rFonts w:ascii="Arial" w:eastAsia="宋体" w:hAnsi="Arial" w:cs="Arial"/>
          <w:color w:val="000000"/>
          <w:sz w:val="20"/>
          <w:szCs w:val="20"/>
        </w:rPr>
        <w:t>As of December 25, 2021, our cash, cash equivalents and short-term investments were $3.6 billion compared to $2.3 billion as of December 26, 2020.</w:t>
      </w:r>
      <w:r>
        <w:rPr>
          <w:rFonts w:ascii="Arial" w:eastAsia="宋体" w:hAnsi="Arial" w:cs="Arial"/>
          <w:color w:val="FF0000"/>
          <w:sz w:val="20"/>
          <w:szCs w:val="20"/>
        </w:rPr>
        <w:t xml:space="preserve"> </w:t>
      </w:r>
      <w:r>
        <w:rPr>
          <w:rFonts w:ascii="Arial" w:eastAsia="宋体" w:hAnsi="Arial" w:cs="Arial"/>
          <w:color w:val="000000"/>
          <w:sz w:val="20"/>
          <w:szCs w:val="20"/>
        </w:rPr>
        <w:t>The percentage of cash and cash equivalents held domestical</w:t>
      </w:r>
      <w:r>
        <w:rPr>
          <w:rFonts w:ascii="Arial" w:eastAsia="宋体" w:hAnsi="Arial" w:cs="Arial"/>
          <w:color w:val="000000"/>
          <w:sz w:val="20"/>
          <w:szCs w:val="20"/>
        </w:rPr>
        <w:t xml:space="preserve">ly was </w:t>
      </w:r>
      <w:r>
        <w:rPr>
          <w:rFonts w:ascii="Arial" w:eastAsia="宋体" w:hAnsi="Arial" w:cs="Arial"/>
          <w:color w:val="000000"/>
          <w:sz w:val="20"/>
          <w:szCs w:val="20"/>
          <w:shd w:val="clear" w:color="auto" w:fill="FFFFFF"/>
        </w:rPr>
        <w:t>91%</w:t>
      </w:r>
      <w:r>
        <w:rPr>
          <w:rFonts w:ascii="Arial" w:eastAsia="宋体" w:hAnsi="Arial" w:cs="Arial"/>
          <w:color w:val="000000"/>
          <w:sz w:val="20"/>
          <w:szCs w:val="20"/>
        </w:rPr>
        <w:t xml:space="preserve"> as of December 25, 2021, and 94% as of December 26, 2020. Subsequent to December 25, 2021, we repurchased $1.0 billion of our common stock under our stock repurchase program. </w:t>
      </w:r>
    </w:p>
    <w:p w14:paraId="59029D79" w14:textId="77777777" w:rsidR="0084406A" w:rsidRDefault="002B18AF">
      <w:pPr>
        <w:jc w:val="center"/>
      </w:pPr>
      <w:r>
        <w:rPr>
          <w:rFonts w:ascii="Arial" w:eastAsia="宋体" w:hAnsi="Arial" w:cs="Arial"/>
          <w:color w:val="000000"/>
          <w:sz w:val="20"/>
          <w:szCs w:val="20"/>
        </w:rPr>
        <w:t>44</w:t>
      </w:r>
    </w:p>
    <w:p w14:paraId="59029D7A" w14:textId="77777777" w:rsidR="0084406A" w:rsidRDefault="002B18AF">
      <w:r>
        <w:pict w14:anchorId="5902BB22">
          <v:rect id="_x0000_i1071" style="width:415.3pt;height:1.5pt" o:hralign="center" o:hrstd="t" o:hr="t" fillcolor="#a0a0a0" stroked="f"/>
        </w:pict>
      </w:r>
    </w:p>
    <w:p w14:paraId="59029D7B" w14:textId="77777777" w:rsidR="0084406A" w:rsidRDefault="0084406A"/>
    <w:p w14:paraId="59029D7C" w14:textId="77777777" w:rsidR="0084406A" w:rsidRDefault="002B18AF">
      <w:pPr>
        <w:spacing w:before="180"/>
      </w:pPr>
      <w:r>
        <w:rPr>
          <w:rFonts w:ascii="Arial" w:eastAsia="宋体" w:hAnsi="Arial" w:cs="Arial"/>
          <w:color w:val="000000"/>
          <w:sz w:val="20"/>
          <w:szCs w:val="20"/>
        </w:rPr>
        <w:t xml:space="preserve">Our operating, investing and financing cash flow </w:t>
      </w:r>
      <w:r>
        <w:rPr>
          <w:rFonts w:ascii="Arial" w:eastAsia="宋体" w:hAnsi="Arial" w:cs="Arial"/>
          <w:color w:val="000000"/>
          <w:sz w:val="20"/>
          <w:szCs w:val="20"/>
        </w:rPr>
        <w:t>activities for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24"/>
        <w:gridCol w:w="38"/>
        <w:gridCol w:w="133"/>
        <w:gridCol w:w="1108"/>
        <w:gridCol w:w="36"/>
        <w:gridCol w:w="36"/>
        <w:gridCol w:w="36"/>
        <w:gridCol w:w="36"/>
        <w:gridCol w:w="133"/>
        <w:gridCol w:w="1065"/>
        <w:gridCol w:w="36"/>
        <w:gridCol w:w="36"/>
        <w:gridCol w:w="36"/>
        <w:gridCol w:w="36"/>
        <w:gridCol w:w="36"/>
        <w:gridCol w:w="36"/>
        <w:gridCol w:w="36"/>
      </w:tblGrid>
      <w:tr w:rsidR="0084406A" w14:paraId="59029D8B" w14:textId="77777777">
        <w:tc>
          <w:tcPr>
            <w:tcW w:w="50" w:type="pct"/>
            <w:shd w:val="clear" w:color="auto" w:fill="auto"/>
            <w:vAlign w:val="bottom"/>
          </w:tcPr>
          <w:p w14:paraId="59029D7D" w14:textId="77777777" w:rsidR="0084406A" w:rsidRDefault="0084406A">
            <w:pPr>
              <w:rPr>
                <w:rFonts w:ascii="宋体"/>
              </w:rPr>
            </w:pPr>
          </w:p>
        </w:tc>
        <w:tc>
          <w:tcPr>
            <w:tcW w:w="3373" w:type="pct"/>
            <w:shd w:val="clear" w:color="auto" w:fill="auto"/>
            <w:vAlign w:val="bottom"/>
          </w:tcPr>
          <w:p w14:paraId="59029D7E" w14:textId="77777777" w:rsidR="0084406A" w:rsidRDefault="0084406A">
            <w:pPr>
              <w:rPr>
                <w:rFonts w:ascii="宋体"/>
              </w:rPr>
            </w:pPr>
          </w:p>
        </w:tc>
        <w:tc>
          <w:tcPr>
            <w:tcW w:w="5" w:type="pct"/>
            <w:shd w:val="clear" w:color="auto" w:fill="auto"/>
            <w:vAlign w:val="bottom"/>
          </w:tcPr>
          <w:p w14:paraId="59029D7F" w14:textId="77777777" w:rsidR="0084406A" w:rsidRDefault="0084406A">
            <w:pPr>
              <w:rPr>
                <w:rFonts w:ascii="宋体"/>
              </w:rPr>
            </w:pPr>
          </w:p>
        </w:tc>
        <w:tc>
          <w:tcPr>
            <w:tcW w:w="50" w:type="pct"/>
            <w:shd w:val="clear" w:color="auto" w:fill="auto"/>
            <w:vAlign w:val="bottom"/>
          </w:tcPr>
          <w:p w14:paraId="59029D80" w14:textId="77777777" w:rsidR="0084406A" w:rsidRDefault="0084406A">
            <w:pPr>
              <w:rPr>
                <w:rFonts w:ascii="宋体"/>
              </w:rPr>
            </w:pPr>
          </w:p>
        </w:tc>
        <w:tc>
          <w:tcPr>
            <w:tcW w:w="712" w:type="pct"/>
            <w:shd w:val="clear" w:color="auto" w:fill="auto"/>
            <w:vAlign w:val="bottom"/>
          </w:tcPr>
          <w:p w14:paraId="59029D81" w14:textId="77777777" w:rsidR="0084406A" w:rsidRDefault="0084406A">
            <w:pPr>
              <w:rPr>
                <w:rFonts w:ascii="宋体"/>
              </w:rPr>
            </w:pPr>
          </w:p>
        </w:tc>
        <w:tc>
          <w:tcPr>
            <w:tcW w:w="5" w:type="pct"/>
            <w:shd w:val="clear" w:color="auto" w:fill="auto"/>
            <w:vAlign w:val="bottom"/>
          </w:tcPr>
          <w:p w14:paraId="59029D82" w14:textId="77777777" w:rsidR="0084406A" w:rsidRDefault="0084406A">
            <w:pPr>
              <w:rPr>
                <w:rFonts w:ascii="宋体"/>
              </w:rPr>
            </w:pPr>
          </w:p>
        </w:tc>
        <w:tc>
          <w:tcPr>
            <w:tcW w:w="5" w:type="pct"/>
            <w:shd w:val="clear" w:color="auto" w:fill="auto"/>
            <w:vAlign w:val="bottom"/>
          </w:tcPr>
          <w:p w14:paraId="59029D83" w14:textId="77777777" w:rsidR="0084406A" w:rsidRDefault="0084406A">
            <w:pPr>
              <w:rPr>
                <w:rFonts w:ascii="宋体"/>
              </w:rPr>
            </w:pPr>
          </w:p>
        </w:tc>
        <w:tc>
          <w:tcPr>
            <w:tcW w:w="26" w:type="pct"/>
            <w:shd w:val="clear" w:color="auto" w:fill="auto"/>
            <w:vAlign w:val="bottom"/>
          </w:tcPr>
          <w:p w14:paraId="59029D84" w14:textId="77777777" w:rsidR="0084406A" w:rsidRDefault="0084406A">
            <w:pPr>
              <w:rPr>
                <w:rFonts w:ascii="宋体"/>
              </w:rPr>
            </w:pPr>
          </w:p>
        </w:tc>
        <w:tc>
          <w:tcPr>
            <w:tcW w:w="5" w:type="pct"/>
            <w:shd w:val="clear" w:color="auto" w:fill="auto"/>
            <w:vAlign w:val="bottom"/>
          </w:tcPr>
          <w:p w14:paraId="59029D85" w14:textId="77777777" w:rsidR="0084406A" w:rsidRDefault="0084406A">
            <w:pPr>
              <w:rPr>
                <w:rFonts w:ascii="宋体"/>
              </w:rPr>
            </w:pPr>
          </w:p>
        </w:tc>
        <w:tc>
          <w:tcPr>
            <w:tcW w:w="50" w:type="pct"/>
            <w:shd w:val="clear" w:color="auto" w:fill="auto"/>
            <w:vAlign w:val="bottom"/>
          </w:tcPr>
          <w:p w14:paraId="59029D86" w14:textId="77777777" w:rsidR="0084406A" w:rsidRDefault="0084406A">
            <w:pPr>
              <w:rPr>
                <w:rFonts w:ascii="宋体"/>
              </w:rPr>
            </w:pPr>
          </w:p>
        </w:tc>
        <w:tc>
          <w:tcPr>
            <w:tcW w:w="712" w:type="pct"/>
            <w:shd w:val="clear" w:color="auto" w:fill="auto"/>
            <w:vAlign w:val="bottom"/>
          </w:tcPr>
          <w:p w14:paraId="59029D87" w14:textId="77777777" w:rsidR="0084406A" w:rsidRDefault="0084406A">
            <w:pPr>
              <w:rPr>
                <w:rFonts w:ascii="宋体"/>
              </w:rPr>
            </w:pPr>
          </w:p>
        </w:tc>
        <w:tc>
          <w:tcPr>
            <w:tcW w:w="5" w:type="pct"/>
            <w:shd w:val="clear" w:color="auto" w:fill="auto"/>
            <w:vAlign w:val="bottom"/>
          </w:tcPr>
          <w:p w14:paraId="59029D88" w14:textId="77777777" w:rsidR="0084406A" w:rsidRDefault="0084406A">
            <w:pPr>
              <w:rPr>
                <w:rFonts w:ascii="宋体"/>
              </w:rPr>
            </w:pPr>
          </w:p>
        </w:tc>
        <w:tc>
          <w:tcPr>
            <w:tcW w:w="0" w:type="auto"/>
            <w:gridSpan w:val="3"/>
            <w:shd w:val="clear" w:color="auto" w:fill="auto"/>
            <w:vAlign w:val="bottom"/>
          </w:tcPr>
          <w:p w14:paraId="59029D89" w14:textId="77777777" w:rsidR="0084406A" w:rsidRDefault="0084406A">
            <w:pPr>
              <w:rPr>
                <w:rFonts w:ascii="宋体"/>
                <w:vanish/>
              </w:rPr>
            </w:pPr>
          </w:p>
        </w:tc>
        <w:tc>
          <w:tcPr>
            <w:tcW w:w="0" w:type="auto"/>
            <w:gridSpan w:val="3"/>
            <w:shd w:val="clear" w:color="auto" w:fill="auto"/>
            <w:vAlign w:val="bottom"/>
          </w:tcPr>
          <w:p w14:paraId="59029D8A" w14:textId="77777777" w:rsidR="0084406A" w:rsidRDefault="0084406A">
            <w:pPr>
              <w:rPr>
                <w:rFonts w:ascii="宋体"/>
                <w:vanish/>
              </w:rPr>
            </w:pPr>
          </w:p>
        </w:tc>
      </w:tr>
      <w:tr w:rsidR="0084406A" w14:paraId="59029D92" w14:textId="77777777">
        <w:tc>
          <w:tcPr>
            <w:tcW w:w="0" w:type="auto"/>
            <w:gridSpan w:val="3"/>
            <w:shd w:val="clear" w:color="auto" w:fill="auto"/>
            <w:tcMar>
              <w:top w:w="0" w:type="dxa"/>
              <w:left w:w="20" w:type="dxa"/>
              <w:bottom w:w="0" w:type="dxa"/>
              <w:right w:w="20" w:type="dxa"/>
            </w:tcMar>
            <w:vAlign w:val="bottom"/>
          </w:tcPr>
          <w:p w14:paraId="59029D8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9D8D"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9D8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9D8F"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vAlign w:val="bottom"/>
          </w:tcPr>
          <w:p w14:paraId="59029D90" w14:textId="77777777" w:rsidR="0084406A" w:rsidRDefault="0084406A">
            <w:pPr>
              <w:rPr>
                <w:rFonts w:ascii="宋体"/>
                <w:vanish/>
              </w:rPr>
            </w:pPr>
          </w:p>
        </w:tc>
        <w:tc>
          <w:tcPr>
            <w:tcW w:w="0" w:type="auto"/>
            <w:gridSpan w:val="3"/>
            <w:shd w:val="clear" w:color="auto" w:fill="auto"/>
            <w:vAlign w:val="bottom"/>
          </w:tcPr>
          <w:p w14:paraId="59029D91" w14:textId="77777777" w:rsidR="0084406A" w:rsidRDefault="0084406A">
            <w:pPr>
              <w:rPr>
                <w:rFonts w:ascii="宋体"/>
                <w:vanish/>
              </w:rPr>
            </w:pPr>
          </w:p>
        </w:tc>
      </w:tr>
      <w:tr w:rsidR="0084406A" w14:paraId="59029D9B" w14:textId="77777777">
        <w:tc>
          <w:tcPr>
            <w:tcW w:w="0" w:type="auto"/>
            <w:gridSpan w:val="3"/>
            <w:shd w:val="clear" w:color="auto" w:fill="FFFFFF"/>
            <w:tcMar>
              <w:top w:w="40" w:type="dxa"/>
              <w:left w:w="20" w:type="dxa"/>
              <w:bottom w:w="40" w:type="dxa"/>
              <w:right w:w="20" w:type="dxa"/>
            </w:tcMar>
            <w:vAlign w:val="bottom"/>
          </w:tcPr>
          <w:p w14:paraId="59029D93" w14:textId="77777777" w:rsidR="0084406A" w:rsidRDefault="002B18AF">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9029D94" w14:textId="77777777" w:rsidR="0084406A" w:rsidRDefault="002B18AF">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59029D95" w14:textId="77777777" w:rsidR="0084406A" w:rsidRDefault="0084406A">
            <w:pPr>
              <w:rPr>
                <w:rFonts w:ascii="宋体"/>
              </w:rPr>
            </w:pPr>
          </w:p>
        </w:tc>
        <w:tc>
          <w:tcPr>
            <w:tcW w:w="0" w:type="auto"/>
            <w:shd w:val="clear" w:color="auto" w:fill="auto"/>
            <w:vAlign w:val="bottom"/>
          </w:tcPr>
          <w:p w14:paraId="59029D96" w14:textId="77777777" w:rsidR="0084406A" w:rsidRDefault="0084406A">
            <w:pPr>
              <w:rPr>
                <w:rFonts w:ascii="宋体"/>
              </w:rPr>
            </w:pPr>
          </w:p>
        </w:tc>
        <w:tc>
          <w:tcPr>
            <w:tcW w:w="0" w:type="auto"/>
            <w:shd w:val="clear" w:color="auto" w:fill="auto"/>
            <w:vAlign w:val="bottom"/>
          </w:tcPr>
          <w:p w14:paraId="59029D97" w14:textId="77777777" w:rsidR="0084406A" w:rsidRDefault="0084406A">
            <w:pPr>
              <w:rPr>
                <w:rFonts w:ascii="宋体"/>
              </w:rPr>
            </w:pPr>
          </w:p>
        </w:tc>
        <w:tc>
          <w:tcPr>
            <w:tcW w:w="0" w:type="auto"/>
            <w:shd w:val="clear" w:color="auto" w:fill="auto"/>
            <w:vAlign w:val="bottom"/>
          </w:tcPr>
          <w:p w14:paraId="59029D98" w14:textId="77777777" w:rsidR="0084406A" w:rsidRDefault="0084406A">
            <w:pPr>
              <w:rPr>
                <w:rFonts w:ascii="宋体"/>
              </w:rPr>
            </w:pPr>
          </w:p>
        </w:tc>
        <w:tc>
          <w:tcPr>
            <w:tcW w:w="0" w:type="auto"/>
            <w:shd w:val="clear" w:color="auto" w:fill="auto"/>
            <w:vAlign w:val="bottom"/>
          </w:tcPr>
          <w:p w14:paraId="59029D99" w14:textId="77777777" w:rsidR="0084406A" w:rsidRDefault="0084406A">
            <w:pPr>
              <w:rPr>
                <w:rFonts w:ascii="宋体"/>
              </w:rPr>
            </w:pPr>
          </w:p>
        </w:tc>
        <w:tc>
          <w:tcPr>
            <w:tcW w:w="0" w:type="auto"/>
            <w:shd w:val="clear" w:color="auto" w:fill="auto"/>
            <w:vAlign w:val="bottom"/>
          </w:tcPr>
          <w:p w14:paraId="59029D9A" w14:textId="77777777" w:rsidR="0084406A" w:rsidRDefault="0084406A">
            <w:pPr>
              <w:rPr>
                <w:rFonts w:ascii="宋体"/>
              </w:rPr>
            </w:pPr>
          </w:p>
        </w:tc>
      </w:tr>
      <w:tr w:rsidR="0084406A" w14:paraId="59029DA2" w14:textId="77777777">
        <w:tc>
          <w:tcPr>
            <w:tcW w:w="0" w:type="auto"/>
            <w:gridSpan w:val="3"/>
            <w:shd w:val="clear" w:color="auto" w:fill="CCEEFF"/>
            <w:tcMar>
              <w:top w:w="40" w:type="dxa"/>
              <w:left w:w="20" w:type="dxa"/>
              <w:bottom w:w="40" w:type="dxa"/>
              <w:right w:w="20" w:type="dxa"/>
            </w:tcMar>
            <w:vAlign w:val="bottom"/>
          </w:tcPr>
          <w:p w14:paraId="59029D9C" w14:textId="77777777" w:rsidR="0084406A" w:rsidRDefault="002B18AF">
            <w:pPr>
              <w:textAlignment w:val="bottom"/>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vAlign w:val="bottom"/>
          </w:tcPr>
          <w:p w14:paraId="59029D9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D9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D9F" w14:textId="77777777" w:rsidR="0084406A" w:rsidRDefault="0084406A">
            <w:pPr>
              <w:rPr>
                <w:rFonts w:ascii="宋体"/>
              </w:rPr>
            </w:pPr>
          </w:p>
        </w:tc>
        <w:tc>
          <w:tcPr>
            <w:tcW w:w="0" w:type="auto"/>
            <w:gridSpan w:val="3"/>
            <w:shd w:val="clear" w:color="auto" w:fill="auto"/>
            <w:vAlign w:val="bottom"/>
          </w:tcPr>
          <w:p w14:paraId="59029DA0" w14:textId="77777777" w:rsidR="0084406A" w:rsidRDefault="0084406A">
            <w:pPr>
              <w:rPr>
                <w:rFonts w:ascii="宋体"/>
                <w:vanish/>
              </w:rPr>
            </w:pPr>
          </w:p>
        </w:tc>
        <w:tc>
          <w:tcPr>
            <w:tcW w:w="0" w:type="auto"/>
            <w:gridSpan w:val="3"/>
            <w:shd w:val="clear" w:color="auto" w:fill="auto"/>
            <w:vAlign w:val="bottom"/>
          </w:tcPr>
          <w:p w14:paraId="59029DA1" w14:textId="77777777" w:rsidR="0084406A" w:rsidRDefault="0084406A">
            <w:pPr>
              <w:rPr>
                <w:rFonts w:ascii="宋体"/>
                <w:vanish/>
              </w:rPr>
            </w:pPr>
          </w:p>
        </w:tc>
      </w:tr>
      <w:tr w:rsidR="0084406A" w14:paraId="59029DAD" w14:textId="77777777">
        <w:tc>
          <w:tcPr>
            <w:tcW w:w="0" w:type="auto"/>
            <w:gridSpan w:val="3"/>
            <w:shd w:val="clear" w:color="auto" w:fill="FFFFFF"/>
            <w:tcMar>
              <w:top w:w="40" w:type="dxa"/>
              <w:left w:w="20" w:type="dxa"/>
              <w:bottom w:w="40" w:type="dxa"/>
              <w:right w:w="20" w:type="dxa"/>
            </w:tcMar>
            <w:vAlign w:val="bottom"/>
          </w:tcPr>
          <w:p w14:paraId="59029DA3" w14:textId="77777777" w:rsidR="0084406A" w:rsidRDefault="002B18AF">
            <w:pPr>
              <w:textAlignment w:val="bottom"/>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bottom"/>
          </w:tcPr>
          <w:p w14:paraId="59029DA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DA5" w14:textId="77777777" w:rsidR="0084406A" w:rsidRDefault="002B18AF">
            <w:pPr>
              <w:jc w:val="right"/>
              <w:textAlignment w:val="bottom"/>
            </w:pPr>
            <w:r>
              <w:rPr>
                <w:rFonts w:ascii="Arial" w:eastAsia="宋体" w:hAnsi="Arial" w:cs="Arial"/>
                <w:color w:val="000000"/>
                <w:sz w:val="20"/>
                <w:szCs w:val="20"/>
              </w:rPr>
              <w:t>3,521 </w:t>
            </w:r>
          </w:p>
        </w:tc>
        <w:tc>
          <w:tcPr>
            <w:tcW w:w="0" w:type="auto"/>
            <w:shd w:val="clear" w:color="auto" w:fill="FFFFFF"/>
            <w:tcMar>
              <w:top w:w="40" w:type="dxa"/>
              <w:left w:w="0" w:type="dxa"/>
              <w:bottom w:w="40" w:type="dxa"/>
              <w:right w:w="20" w:type="dxa"/>
            </w:tcMar>
            <w:vAlign w:val="bottom"/>
          </w:tcPr>
          <w:p w14:paraId="59029DA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DA7"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DA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DA9" w14:textId="77777777" w:rsidR="0084406A" w:rsidRDefault="002B18AF">
            <w:pPr>
              <w:jc w:val="right"/>
              <w:textAlignment w:val="bottom"/>
            </w:pPr>
            <w:r>
              <w:rPr>
                <w:rFonts w:ascii="Arial" w:eastAsia="宋体" w:hAnsi="Arial" w:cs="Arial"/>
                <w:color w:val="000000"/>
                <w:sz w:val="20"/>
                <w:szCs w:val="20"/>
              </w:rPr>
              <w:t>1,071 </w:t>
            </w:r>
          </w:p>
        </w:tc>
        <w:tc>
          <w:tcPr>
            <w:tcW w:w="0" w:type="auto"/>
            <w:shd w:val="clear" w:color="auto" w:fill="FFFFFF"/>
            <w:tcMar>
              <w:top w:w="40" w:type="dxa"/>
              <w:left w:w="0" w:type="dxa"/>
              <w:bottom w:w="40" w:type="dxa"/>
              <w:right w:w="20" w:type="dxa"/>
            </w:tcMar>
            <w:vAlign w:val="bottom"/>
          </w:tcPr>
          <w:p w14:paraId="59029DAA" w14:textId="77777777" w:rsidR="0084406A" w:rsidRDefault="0084406A">
            <w:pPr>
              <w:jc w:val="right"/>
              <w:rPr>
                <w:rFonts w:ascii="宋体"/>
              </w:rPr>
            </w:pPr>
          </w:p>
        </w:tc>
        <w:tc>
          <w:tcPr>
            <w:tcW w:w="0" w:type="auto"/>
            <w:gridSpan w:val="3"/>
            <w:shd w:val="clear" w:color="auto" w:fill="auto"/>
            <w:vAlign w:val="bottom"/>
          </w:tcPr>
          <w:p w14:paraId="59029DAB" w14:textId="77777777" w:rsidR="0084406A" w:rsidRDefault="0084406A">
            <w:pPr>
              <w:rPr>
                <w:rFonts w:ascii="宋体"/>
                <w:vanish/>
              </w:rPr>
            </w:pPr>
          </w:p>
        </w:tc>
        <w:tc>
          <w:tcPr>
            <w:tcW w:w="0" w:type="auto"/>
            <w:gridSpan w:val="3"/>
            <w:shd w:val="clear" w:color="auto" w:fill="auto"/>
            <w:vAlign w:val="bottom"/>
          </w:tcPr>
          <w:p w14:paraId="59029DAC" w14:textId="77777777" w:rsidR="0084406A" w:rsidRDefault="0084406A">
            <w:pPr>
              <w:rPr>
                <w:rFonts w:ascii="宋体"/>
                <w:vanish/>
              </w:rPr>
            </w:pPr>
          </w:p>
        </w:tc>
      </w:tr>
      <w:tr w:rsidR="0084406A" w14:paraId="59029DB6" w14:textId="77777777">
        <w:tc>
          <w:tcPr>
            <w:tcW w:w="0" w:type="auto"/>
            <w:gridSpan w:val="3"/>
            <w:shd w:val="clear" w:color="auto" w:fill="CCEEFF"/>
            <w:tcMar>
              <w:top w:w="40" w:type="dxa"/>
              <w:left w:w="20" w:type="dxa"/>
              <w:bottom w:w="40" w:type="dxa"/>
              <w:right w:w="20" w:type="dxa"/>
            </w:tcMar>
            <w:vAlign w:val="bottom"/>
          </w:tcPr>
          <w:p w14:paraId="59029DAE" w14:textId="77777777" w:rsidR="0084406A" w:rsidRDefault="002B18AF">
            <w:pPr>
              <w:textAlignment w:val="bottom"/>
            </w:pPr>
            <w:r>
              <w:rPr>
                <w:rFonts w:ascii="Arial" w:eastAsia="宋体"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14:paraId="59029DAF" w14:textId="77777777" w:rsidR="0084406A" w:rsidRDefault="002B18AF">
            <w:pPr>
              <w:jc w:val="right"/>
              <w:textAlignment w:val="bottom"/>
            </w:pPr>
            <w:r>
              <w:rPr>
                <w:rFonts w:ascii="Arial" w:eastAsia="宋体" w:hAnsi="Arial" w:cs="Arial"/>
                <w:color w:val="000000"/>
                <w:sz w:val="20"/>
                <w:szCs w:val="20"/>
              </w:rPr>
              <w:t>(686)</w:t>
            </w:r>
          </w:p>
        </w:tc>
        <w:tc>
          <w:tcPr>
            <w:tcW w:w="0" w:type="auto"/>
            <w:shd w:val="clear" w:color="auto" w:fill="CCEEFF"/>
            <w:tcMar>
              <w:top w:w="40" w:type="dxa"/>
              <w:left w:w="0" w:type="dxa"/>
              <w:bottom w:w="40" w:type="dxa"/>
              <w:right w:w="20" w:type="dxa"/>
            </w:tcMar>
            <w:vAlign w:val="bottom"/>
          </w:tcPr>
          <w:p w14:paraId="59029DB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DB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DB2" w14:textId="77777777" w:rsidR="0084406A" w:rsidRDefault="002B18AF">
            <w:pPr>
              <w:jc w:val="right"/>
              <w:textAlignment w:val="bottom"/>
            </w:pPr>
            <w:r>
              <w:rPr>
                <w:rFonts w:ascii="Arial" w:eastAsia="宋体" w:hAnsi="Arial" w:cs="Arial"/>
                <w:color w:val="000000"/>
                <w:sz w:val="20"/>
                <w:szCs w:val="20"/>
              </w:rPr>
              <w:t>(952)</w:t>
            </w:r>
          </w:p>
        </w:tc>
        <w:tc>
          <w:tcPr>
            <w:tcW w:w="0" w:type="auto"/>
            <w:shd w:val="clear" w:color="auto" w:fill="CCEEFF"/>
            <w:tcMar>
              <w:top w:w="40" w:type="dxa"/>
              <w:left w:w="0" w:type="dxa"/>
              <w:bottom w:w="40" w:type="dxa"/>
              <w:right w:w="20" w:type="dxa"/>
            </w:tcMar>
            <w:vAlign w:val="bottom"/>
          </w:tcPr>
          <w:p w14:paraId="59029DB3" w14:textId="77777777" w:rsidR="0084406A" w:rsidRDefault="0084406A">
            <w:pPr>
              <w:jc w:val="right"/>
              <w:rPr>
                <w:rFonts w:ascii="宋体"/>
              </w:rPr>
            </w:pPr>
          </w:p>
        </w:tc>
        <w:tc>
          <w:tcPr>
            <w:tcW w:w="0" w:type="auto"/>
            <w:gridSpan w:val="3"/>
            <w:shd w:val="clear" w:color="auto" w:fill="auto"/>
            <w:vAlign w:val="bottom"/>
          </w:tcPr>
          <w:p w14:paraId="59029DB4" w14:textId="77777777" w:rsidR="0084406A" w:rsidRDefault="0084406A">
            <w:pPr>
              <w:rPr>
                <w:rFonts w:ascii="宋体"/>
                <w:vanish/>
              </w:rPr>
            </w:pPr>
          </w:p>
        </w:tc>
        <w:tc>
          <w:tcPr>
            <w:tcW w:w="0" w:type="auto"/>
            <w:gridSpan w:val="3"/>
            <w:shd w:val="clear" w:color="auto" w:fill="auto"/>
            <w:vAlign w:val="bottom"/>
          </w:tcPr>
          <w:p w14:paraId="59029DB5" w14:textId="77777777" w:rsidR="0084406A" w:rsidRDefault="0084406A">
            <w:pPr>
              <w:rPr>
                <w:rFonts w:ascii="宋体"/>
                <w:vanish/>
              </w:rPr>
            </w:pPr>
          </w:p>
        </w:tc>
      </w:tr>
      <w:tr w:rsidR="0084406A" w14:paraId="59029DBF" w14:textId="77777777">
        <w:tc>
          <w:tcPr>
            <w:tcW w:w="0" w:type="auto"/>
            <w:gridSpan w:val="3"/>
            <w:shd w:val="clear" w:color="auto" w:fill="FFFFFF"/>
            <w:tcMar>
              <w:top w:w="40" w:type="dxa"/>
              <w:left w:w="20" w:type="dxa"/>
              <w:bottom w:w="40" w:type="dxa"/>
              <w:right w:w="20" w:type="dxa"/>
            </w:tcMar>
            <w:vAlign w:val="bottom"/>
          </w:tcPr>
          <w:p w14:paraId="59029DB7" w14:textId="77777777" w:rsidR="0084406A" w:rsidRDefault="002B18AF">
            <w:pPr>
              <w:textAlignment w:val="bottom"/>
            </w:pPr>
            <w:r>
              <w:rPr>
                <w:rFonts w:ascii="Arial" w:eastAsia="宋体"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14:paraId="59029DB8" w14:textId="77777777" w:rsidR="0084406A" w:rsidRDefault="002B18AF">
            <w:pPr>
              <w:jc w:val="right"/>
              <w:textAlignment w:val="bottom"/>
            </w:pPr>
            <w:r>
              <w:rPr>
                <w:rFonts w:ascii="Arial" w:eastAsia="宋体" w:hAnsi="Arial" w:cs="Arial"/>
                <w:color w:val="000000"/>
                <w:sz w:val="20"/>
                <w:szCs w:val="20"/>
              </w:rPr>
              <w:t>(1,895)</w:t>
            </w:r>
          </w:p>
        </w:tc>
        <w:tc>
          <w:tcPr>
            <w:tcW w:w="0" w:type="auto"/>
            <w:shd w:val="clear" w:color="auto" w:fill="FFFFFF"/>
            <w:tcMar>
              <w:top w:w="40" w:type="dxa"/>
              <w:left w:w="0" w:type="dxa"/>
              <w:bottom w:w="40" w:type="dxa"/>
              <w:right w:w="20" w:type="dxa"/>
            </w:tcMar>
            <w:vAlign w:val="bottom"/>
          </w:tcPr>
          <w:p w14:paraId="59029DB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DB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DBB"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59029DBC" w14:textId="77777777" w:rsidR="0084406A" w:rsidRDefault="0084406A">
            <w:pPr>
              <w:jc w:val="right"/>
              <w:rPr>
                <w:rFonts w:ascii="宋体"/>
              </w:rPr>
            </w:pPr>
          </w:p>
        </w:tc>
        <w:tc>
          <w:tcPr>
            <w:tcW w:w="0" w:type="auto"/>
            <w:gridSpan w:val="3"/>
            <w:shd w:val="clear" w:color="auto" w:fill="auto"/>
            <w:vAlign w:val="bottom"/>
          </w:tcPr>
          <w:p w14:paraId="59029DBD" w14:textId="77777777" w:rsidR="0084406A" w:rsidRDefault="0084406A">
            <w:pPr>
              <w:rPr>
                <w:rFonts w:ascii="宋体"/>
                <w:vanish/>
              </w:rPr>
            </w:pPr>
          </w:p>
        </w:tc>
        <w:tc>
          <w:tcPr>
            <w:tcW w:w="0" w:type="auto"/>
            <w:gridSpan w:val="3"/>
            <w:shd w:val="clear" w:color="auto" w:fill="auto"/>
            <w:vAlign w:val="bottom"/>
          </w:tcPr>
          <w:p w14:paraId="59029DBE" w14:textId="77777777" w:rsidR="0084406A" w:rsidRDefault="0084406A">
            <w:pPr>
              <w:rPr>
                <w:rFonts w:ascii="宋体"/>
                <w:vanish/>
              </w:rPr>
            </w:pPr>
          </w:p>
        </w:tc>
      </w:tr>
      <w:tr w:rsidR="0084406A" w14:paraId="59029DCA" w14:textId="77777777">
        <w:tc>
          <w:tcPr>
            <w:tcW w:w="0" w:type="auto"/>
            <w:gridSpan w:val="3"/>
            <w:shd w:val="clear" w:color="auto" w:fill="CCEEFF"/>
            <w:tcMar>
              <w:top w:w="40" w:type="dxa"/>
              <w:left w:w="20" w:type="dxa"/>
              <w:bottom w:w="40" w:type="dxa"/>
              <w:right w:w="20" w:type="dxa"/>
            </w:tcMar>
            <w:vAlign w:val="bottom"/>
          </w:tcPr>
          <w:p w14:paraId="59029DC0" w14:textId="77777777" w:rsidR="0084406A" w:rsidRDefault="002B18AF">
            <w:pPr>
              <w:textAlignment w:val="bottom"/>
            </w:pPr>
            <w:r>
              <w:rPr>
                <w:rFonts w:ascii="Arial" w:eastAsia="宋体" w:hAnsi="Arial" w:cs="Arial"/>
                <w:color w:val="000000"/>
                <w:sz w:val="20"/>
                <w:szCs w:val="20"/>
              </w:rPr>
              <w:t>Net increase in cash and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DC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DC2" w14:textId="77777777" w:rsidR="0084406A" w:rsidRDefault="002B18AF">
            <w:pPr>
              <w:jc w:val="right"/>
              <w:textAlignment w:val="bottom"/>
            </w:pPr>
            <w:r>
              <w:rPr>
                <w:rFonts w:ascii="Arial" w:eastAsia="宋体" w:hAnsi="Arial" w:cs="Arial"/>
                <w:color w:val="000000"/>
                <w:sz w:val="20"/>
                <w:szCs w:val="20"/>
              </w:rPr>
              <w:t>940 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DC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DC4"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DC5"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DC6" w14:textId="77777777" w:rsidR="0084406A" w:rsidRDefault="002B18AF">
            <w:pPr>
              <w:jc w:val="right"/>
              <w:textAlignment w:val="bottom"/>
            </w:pPr>
            <w:r>
              <w:rPr>
                <w:rFonts w:ascii="Arial" w:eastAsia="宋体" w:hAnsi="Arial" w:cs="Arial"/>
                <w:color w:val="000000"/>
                <w:sz w:val="20"/>
                <w:szCs w:val="20"/>
              </w:rPr>
              <w:t>125 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DC7" w14:textId="77777777" w:rsidR="0084406A" w:rsidRDefault="0084406A">
            <w:pPr>
              <w:jc w:val="right"/>
              <w:rPr>
                <w:rFonts w:ascii="宋体"/>
              </w:rPr>
            </w:pPr>
          </w:p>
        </w:tc>
        <w:tc>
          <w:tcPr>
            <w:tcW w:w="0" w:type="auto"/>
            <w:gridSpan w:val="3"/>
            <w:shd w:val="clear" w:color="auto" w:fill="auto"/>
            <w:vAlign w:val="bottom"/>
          </w:tcPr>
          <w:p w14:paraId="59029DC8" w14:textId="77777777" w:rsidR="0084406A" w:rsidRDefault="0084406A">
            <w:pPr>
              <w:rPr>
                <w:rFonts w:ascii="宋体"/>
                <w:vanish/>
              </w:rPr>
            </w:pPr>
          </w:p>
        </w:tc>
        <w:tc>
          <w:tcPr>
            <w:tcW w:w="0" w:type="auto"/>
            <w:gridSpan w:val="3"/>
            <w:shd w:val="clear" w:color="auto" w:fill="auto"/>
            <w:vAlign w:val="bottom"/>
          </w:tcPr>
          <w:p w14:paraId="59029DC9" w14:textId="77777777" w:rsidR="0084406A" w:rsidRDefault="0084406A">
            <w:pPr>
              <w:rPr>
                <w:rFonts w:ascii="宋体"/>
                <w:vanish/>
              </w:rPr>
            </w:pPr>
          </w:p>
        </w:tc>
      </w:tr>
    </w:tbl>
    <w:p w14:paraId="59029DCB" w14:textId="77777777" w:rsidR="0084406A" w:rsidRDefault="002B18AF">
      <w:pPr>
        <w:spacing w:before="180"/>
        <w:jc w:val="both"/>
      </w:pPr>
      <w:r>
        <w:rPr>
          <w:rFonts w:ascii="Arial" w:eastAsia="宋体" w:hAnsi="Arial" w:cs="Arial"/>
          <w:color w:val="000000"/>
          <w:sz w:val="20"/>
          <w:szCs w:val="20"/>
        </w:rPr>
        <w:t xml:space="preserve">Our aggregate principal debt obligations were $313 million and $338 million as of December 25, 2021 and December 26, 2020, </w:t>
      </w:r>
      <w:r>
        <w:rPr>
          <w:rFonts w:ascii="Arial" w:eastAsia="宋体" w:hAnsi="Arial" w:cs="Arial"/>
          <w:color w:val="000000"/>
          <w:sz w:val="20"/>
          <w:szCs w:val="20"/>
        </w:rPr>
        <w:t>respectively.</w:t>
      </w:r>
    </w:p>
    <w:p w14:paraId="59029DCC" w14:textId="77777777" w:rsidR="0084406A" w:rsidRDefault="002B18AF">
      <w:pPr>
        <w:spacing w:before="180"/>
        <w:jc w:val="both"/>
      </w:pPr>
      <w:r>
        <w:rPr>
          <w:rFonts w:ascii="Arial" w:eastAsia="宋体" w:hAnsi="Arial" w:cs="Arial"/>
          <w:color w:val="000000"/>
          <w:sz w:val="20"/>
          <w:szCs w:val="20"/>
        </w:rPr>
        <w:t>We believe our cash, cash equivalents, short-term investments and cash flows from operations along with our Revolving Credit Facility will be sufficient to fund operations, including capital expenditures and purchase commitments, over the nex</w:t>
      </w:r>
      <w:r>
        <w:rPr>
          <w:rFonts w:ascii="Arial" w:eastAsia="宋体" w:hAnsi="Arial" w:cs="Arial"/>
          <w:color w:val="000000"/>
          <w:sz w:val="20"/>
          <w:szCs w:val="20"/>
        </w:rPr>
        <w:t>t 12 months and beyond. We believe we will be able to access the capital markets should we require additional funds. However, we cannot assure that such funds will be available on favorable terms, or at all.</w:t>
      </w:r>
    </w:p>
    <w:p w14:paraId="59029DCD" w14:textId="77777777" w:rsidR="0084406A" w:rsidRDefault="002B18AF">
      <w:pPr>
        <w:spacing w:before="180"/>
        <w:jc w:val="both"/>
      </w:pPr>
      <w:r>
        <w:rPr>
          <w:rFonts w:ascii="Arial" w:eastAsia="宋体" w:hAnsi="Arial" w:cs="Arial"/>
          <w:b/>
          <w:bCs/>
          <w:i/>
          <w:iCs/>
          <w:color w:val="000000"/>
          <w:sz w:val="20"/>
          <w:szCs w:val="20"/>
        </w:rPr>
        <w:t>Operating Activities</w:t>
      </w:r>
    </w:p>
    <w:p w14:paraId="59029DCE" w14:textId="77777777" w:rsidR="0084406A" w:rsidRDefault="002B18AF">
      <w:pPr>
        <w:spacing w:before="180"/>
        <w:jc w:val="both"/>
      </w:pPr>
      <w:r>
        <w:rPr>
          <w:rFonts w:ascii="Arial" w:eastAsia="宋体" w:hAnsi="Arial" w:cs="Arial"/>
          <w:color w:val="000000"/>
          <w:sz w:val="20"/>
          <w:szCs w:val="20"/>
        </w:rPr>
        <w:t xml:space="preserve">Our working capital </w:t>
      </w:r>
      <w:r>
        <w:rPr>
          <w:rFonts w:ascii="Arial" w:eastAsia="宋体" w:hAnsi="Arial" w:cs="Arial"/>
          <w:color w:val="000000"/>
          <w:sz w:val="20"/>
          <w:szCs w:val="20"/>
        </w:rPr>
        <w:t>cash inflows and outflows from operations are primarily cash collections from our customers, payments for inventory purchases and payments for employee-related expenditures.</w:t>
      </w:r>
    </w:p>
    <w:p w14:paraId="59029DCF" w14:textId="77777777" w:rsidR="0084406A" w:rsidRDefault="002B18AF">
      <w:pPr>
        <w:spacing w:before="180"/>
        <w:jc w:val="both"/>
      </w:pPr>
      <w:r>
        <w:rPr>
          <w:rFonts w:ascii="Arial" w:eastAsia="宋体" w:hAnsi="Arial" w:cs="Arial"/>
          <w:color w:val="000000"/>
          <w:sz w:val="20"/>
          <w:szCs w:val="20"/>
        </w:rPr>
        <w:t xml:space="preserve">Net cash provided by operating activities was $3.5 billion in 2021, primarily due </w:t>
      </w:r>
      <w:r>
        <w:rPr>
          <w:rFonts w:ascii="Arial" w:eastAsia="宋体" w:hAnsi="Arial" w:cs="Arial"/>
          <w:color w:val="000000"/>
          <w:sz w:val="20"/>
          <w:szCs w:val="20"/>
        </w:rPr>
        <w:t>to our higher net income of $3.2 billion in 2021, adjusted for non-cash adjustments of $1.1 billion and net cash outflows of $774 million from changes in our operating assets and liabilities. The primary drivers of the changes in operating assets and liabi</w:t>
      </w:r>
      <w:r>
        <w:rPr>
          <w:rFonts w:ascii="Arial" w:eastAsia="宋体" w:hAnsi="Arial" w:cs="Arial"/>
          <w:color w:val="000000"/>
          <w:sz w:val="20"/>
          <w:szCs w:val="20"/>
        </w:rPr>
        <w:t xml:space="preserve">lities included a $640 million increase in accounts receivable driven primarily by $1.6 billion higher revenue in the fourth quarter of 2021 compared to the fourth quarter of 2020, a $556 million increase in inventories driven by our continued increase in </w:t>
      </w:r>
      <w:r>
        <w:rPr>
          <w:rFonts w:ascii="Arial" w:eastAsia="宋体" w:hAnsi="Arial" w:cs="Arial"/>
          <w:color w:val="000000"/>
          <w:sz w:val="20"/>
          <w:szCs w:val="20"/>
        </w:rPr>
        <w:t>product build in support of customer demand, and a $920 million increase in prepaid expenses and other assets due primarily to prepayments under long-term supply agreements in 2021, offset by an $801 million increase in accounts payable primarily due to ti</w:t>
      </w:r>
      <w:r>
        <w:rPr>
          <w:rFonts w:ascii="Arial" w:eastAsia="宋体" w:hAnsi="Arial" w:cs="Arial"/>
          <w:color w:val="000000"/>
          <w:sz w:val="20"/>
          <w:szCs w:val="20"/>
        </w:rPr>
        <w:t>ming of payments to our suppliers, and a $526 million increase in accrued liabilities and other, both of which were driven mainly by higher marketing accruals, and higher accrued annual employee incentives due to improved financial performance.</w:t>
      </w:r>
    </w:p>
    <w:p w14:paraId="59029DD0" w14:textId="77777777" w:rsidR="0084406A" w:rsidRDefault="002B18AF">
      <w:pPr>
        <w:spacing w:before="180"/>
        <w:jc w:val="both"/>
      </w:pPr>
      <w:r>
        <w:rPr>
          <w:rFonts w:ascii="Arial" w:eastAsia="宋体" w:hAnsi="Arial" w:cs="Arial"/>
          <w:color w:val="000000"/>
          <w:sz w:val="20"/>
          <w:szCs w:val="20"/>
        </w:rPr>
        <w:t>Net cash pr</w:t>
      </w:r>
      <w:r>
        <w:rPr>
          <w:rFonts w:ascii="Arial" w:eastAsia="宋体" w:hAnsi="Arial" w:cs="Arial"/>
          <w:color w:val="000000"/>
          <w:sz w:val="20"/>
          <w:szCs w:val="20"/>
        </w:rPr>
        <w:t>ovided by operating activities was $1.1 billion in 2020, primarily due to our net income of $2.5 billion, adjusted for non-cash adjustments of $488 million and net cash outflows of $931 million from changes in our operating assets and liabilities. The prim</w:t>
      </w:r>
      <w:r>
        <w:rPr>
          <w:rFonts w:ascii="Arial" w:eastAsia="宋体" w:hAnsi="Arial" w:cs="Arial"/>
          <w:color w:val="000000"/>
          <w:sz w:val="20"/>
          <w:szCs w:val="20"/>
        </w:rPr>
        <w:t>ary drivers of the changes in operating assets and liabilities included a $219 million increase in accounts receivable driven primarily by $1.1 billion higher revenue in the fourth quarter of 2020 compared to the fourth quarter of 2019, partially offset by</w:t>
      </w:r>
      <w:r>
        <w:rPr>
          <w:rFonts w:ascii="Arial" w:eastAsia="宋体" w:hAnsi="Arial" w:cs="Arial"/>
          <w:color w:val="000000"/>
          <w:sz w:val="20"/>
          <w:szCs w:val="20"/>
        </w:rPr>
        <w:t xml:space="preserve"> higher collections due to better revenue linearity in the fourth quarter of 2020 compared to the fourth quarter of 2019, a $417 million increase in inventories driven by an increase in product build in support of customer demand, a $231 million increase i</w:t>
      </w:r>
      <w:r>
        <w:rPr>
          <w:rFonts w:ascii="Arial" w:eastAsia="宋体" w:hAnsi="Arial" w:cs="Arial"/>
          <w:color w:val="000000"/>
          <w:sz w:val="20"/>
          <w:szCs w:val="20"/>
        </w:rPr>
        <w:t xml:space="preserve">n prepaid expenses and other assets due primarily to an increase in vendor credits, a $513 million decrease in accounts payable primarily due to timing of payments to our suppliers, offset by a $574 million increase in accrued liabilities and other driven </w:t>
      </w:r>
      <w:r>
        <w:rPr>
          <w:rFonts w:ascii="Arial" w:eastAsia="宋体" w:hAnsi="Arial" w:cs="Arial"/>
          <w:color w:val="000000"/>
          <w:sz w:val="20"/>
          <w:szCs w:val="20"/>
        </w:rPr>
        <w:t>by higher marketing accruals and higher accrued annual employee incentives due to improved financial performance.</w:t>
      </w:r>
    </w:p>
    <w:p w14:paraId="59029DD1" w14:textId="77777777" w:rsidR="0084406A" w:rsidRDefault="002B18AF">
      <w:pPr>
        <w:spacing w:before="180"/>
        <w:jc w:val="both"/>
      </w:pPr>
      <w:r>
        <w:rPr>
          <w:rFonts w:ascii="Arial" w:eastAsia="宋体" w:hAnsi="Arial" w:cs="Arial"/>
          <w:b/>
          <w:bCs/>
          <w:i/>
          <w:iCs/>
          <w:color w:val="000000"/>
          <w:sz w:val="20"/>
          <w:szCs w:val="20"/>
        </w:rPr>
        <w:t>Investing Activities</w:t>
      </w:r>
    </w:p>
    <w:p w14:paraId="59029DD2" w14:textId="77777777" w:rsidR="0084406A" w:rsidRDefault="002B18AF">
      <w:pPr>
        <w:spacing w:before="180"/>
        <w:jc w:val="both"/>
      </w:pPr>
      <w:r>
        <w:rPr>
          <w:rFonts w:ascii="Arial" w:eastAsia="宋体" w:hAnsi="Arial" w:cs="Arial"/>
          <w:color w:val="000000"/>
          <w:sz w:val="20"/>
          <w:szCs w:val="20"/>
        </w:rPr>
        <w:t>Net cash used in investing activities was $686 million in 2021, which primarily consisted of higher cash used for purchas</w:t>
      </w:r>
      <w:r>
        <w:rPr>
          <w:rFonts w:ascii="Arial" w:eastAsia="宋体" w:hAnsi="Arial" w:cs="Arial"/>
          <w:color w:val="000000"/>
          <w:sz w:val="20"/>
          <w:szCs w:val="20"/>
        </w:rPr>
        <w:t>es of short-term investments of $2.1 billion and $301 million for purchases of property and equipment, partially offset by higher cash provided by maturities of short-term investments of $1.7 billion.</w:t>
      </w:r>
    </w:p>
    <w:p w14:paraId="59029DD3" w14:textId="77777777" w:rsidR="0084406A" w:rsidRDefault="002B18AF">
      <w:pPr>
        <w:spacing w:before="180"/>
        <w:jc w:val="both"/>
      </w:pPr>
      <w:r>
        <w:rPr>
          <w:rFonts w:ascii="Arial" w:eastAsia="宋体" w:hAnsi="Arial" w:cs="Arial"/>
          <w:color w:val="000000"/>
          <w:sz w:val="20"/>
          <w:szCs w:val="20"/>
        </w:rPr>
        <w:t xml:space="preserve">Net cash used in investing activities was $952 million </w:t>
      </w:r>
      <w:r>
        <w:rPr>
          <w:rFonts w:ascii="Arial" w:eastAsia="宋体" w:hAnsi="Arial" w:cs="Arial"/>
          <w:color w:val="000000"/>
          <w:sz w:val="20"/>
          <w:szCs w:val="20"/>
        </w:rPr>
        <w:t>in 2020, which primarily consisted of $850 million for purchases of short-term investments and $294 million for purchases of property and equipment, partially offset by $192 million for maturities of short-term investments.</w:t>
      </w:r>
    </w:p>
    <w:p w14:paraId="59029DD4" w14:textId="77777777" w:rsidR="0084406A" w:rsidRDefault="002B18AF">
      <w:pPr>
        <w:jc w:val="center"/>
      </w:pPr>
      <w:r>
        <w:rPr>
          <w:rFonts w:ascii="Arial" w:eastAsia="宋体" w:hAnsi="Arial" w:cs="Arial"/>
          <w:color w:val="000000"/>
          <w:sz w:val="20"/>
          <w:szCs w:val="20"/>
        </w:rPr>
        <w:t>45</w:t>
      </w:r>
    </w:p>
    <w:p w14:paraId="59029DD5" w14:textId="77777777" w:rsidR="0084406A" w:rsidRDefault="002B18AF">
      <w:r>
        <w:pict w14:anchorId="5902BB23">
          <v:rect id="_x0000_i1072" style="width:415.3pt;height:1.5pt" o:hralign="center" o:hrstd="t" o:hr="t" fillcolor="#a0a0a0" stroked="f"/>
        </w:pict>
      </w:r>
    </w:p>
    <w:p w14:paraId="59029DD6" w14:textId="77777777" w:rsidR="0084406A" w:rsidRDefault="0084406A"/>
    <w:p w14:paraId="59029DD7" w14:textId="77777777" w:rsidR="0084406A" w:rsidRDefault="002B18AF">
      <w:pPr>
        <w:spacing w:before="180"/>
        <w:jc w:val="both"/>
      </w:pPr>
      <w:r>
        <w:rPr>
          <w:rFonts w:ascii="Arial" w:eastAsia="宋体" w:hAnsi="Arial" w:cs="Arial"/>
          <w:b/>
          <w:bCs/>
          <w:i/>
          <w:iCs/>
          <w:color w:val="000000"/>
          <w:sz w:val="20"/>
          <w:szCs w:val="20"/>
        </w:rPr>
        <w:t>Financing Activities</w:t>
      </w:r>
    </w:p>
    <w:p w14:paraId="59029DD8" w14:textId="77777777" w:rsidR="0084406A" w:rsidRDefault="002B18AF">
      <w:pPr>
        <w:spacing w:before="180"/>
        <w:jc w:val="both"/>
      </w:pPr>
      <w:r>
        <w:rPr>
          <w:rFonts w:ascii="Arial" w:eastAsia="宋体" w:hAnsi="Arial" w:cs="Arial"/>
          <w:color w:val="000000"/>
          <w:sz w:val="20"/>
          <w:szCs w:val="20"/>
        </w:rPr>
        <w:t>Net c</w:t>
      </w:r>
      <w:r>
        <w:rPr>
          <w:rFonts w:ascii="Arial" w:eastAsia="宋体" w:hAnsi="Arial" w:cs="Arial"/>
          <w:color w:val="000000"/>
          <w:sz w:val="20"/>
          <w:szCs w:val="20"/>
        </w:rPr>
        <w:t xml:space="preserve">ash used in financing activities was $1.9 billion in 2021, which primarily consisted of common stock repurchases of $1.8 billion under the $4 billion stock repurchase program and higher repurchases to cover tax withholding on employee equity plans of $237 </w:t>
      </w:r>
      <w:r>
        <w:rPr>
          <w:rFonts w:ascii="Arial" w:eastAsia="宋体" w:hAnsi="Arial" w:cs="Arial"/>
          <w:color w:val="000000"/>
          <w:sz w:val="20"/>
          <w:szCs w:val="20"/>
        </w:rPr>
        <w:t xml:space="preserve">million, partially offset by higher proceeds from the issuance of common stock under our employee equity plans of $104 million. </w:t>
      </w:r>
    </w:p>
    <w:p w14:paraId="59029DD9" w14:textId="77777777" w:rsidR="0084406A" w:rsidRDefault="002B18AF">
      <w:pPr>
        <w:spacing w:before="180"/>
        <w:jc w:val="both"/>
      </w:pPr>
      <w:r>
        <w:rPr>
          <w:rFonts w:ascii="Arial" w:eastAsia="宋体" w:hAnsi="Arial" w:cs="Arial"/>
          <w:color w:val="000000"/>
          <w:sz w:val="20"/>
          <w:szCs w:val="20"/>
        </w:rPr>
        <w:t>Net cash provided by financing activities was $6 million in 2020, which primarily consisted of proceeds from the issuance of co</w:t>
      </w:r>
      <w:r>
        <w:rPr>
          <w:rFonts w:ascii="Arial" w:eastAsia="宋体" w:hAnsi="Arial" w:cs="Arial"/>
          <w:color w:val="000000"/>
          <w:sz w:val="20"/>
          <w:szCs w:val="20"/>
        </w:rPr>
        <w:t>mmon stock under our employee equity plans of $85 million, partially offset by $78 million of common stock repurchased to cover employee withholding taxes on vesting of employee equity grants. We borrowed $200 million of short-term debt during the second q</w:t>
      </w:r>
      <w:r>
        <w:rPr>
          <w:rFonts w:ascii="Arial" w:eastAsia="宋体" w:hAnsi="Arial" w:cs="Arial"/>
          <w:color w:val="000000"/>
          <w:sz w:val="20"/>
          <w:szCs w:val="20"/>
        </w:rPr>
        <w:t>uarter of 2020 and paid off the balance during the third quarter of 2020.</w:t>
      </w:r>
    </w:p>
    <w:p w14:paraId="59029DDA" w14:textId="77777777" w:rsidR="0084406A" w:rsidRDefault="002B18AF">
      <w:pPr>
        <w:spacing w:before="180"/>
      </w:pPr>
      <w:r>
        <w:rPr>
          <w:rFonts w:ascii="Arial" w:eastAsia="宋体" w:hAnsi="Arial" w:cs="Arial"/>
          <w:b/>
          <w:bCs/>
          <w:color w:val="000000"/>
          <w:sz w:val="20"/>
          <w:szCs w:val="20"/>
        </w:rPr>
        <w:t>Contractual Obligations</w:t>
      </w:r>
    </w:p>
    <w:p w14:paraId="59029DDB" w14:textId="77777777" w:rsidR="0084406A" w:rsidRDefault="002B18AF">
      <w:pPr>
        <w:spacing w:before="180"/>
        <w:jc w:val="both"/>
      </w:pPr>
      <w:r>
        <w:rPr>
          <w:rFonts w:ascii="Arial" w:eastAsia="宋体" w:hAnsi="Arial" w:cs="Arial"/>
          <w:color w:val="000000"/>
          <w:sz w:val="20"/>
          <w:szCs w:val="20"/>
        </w:rPr>
        <w:t>For a description of our contractual obligations such as debt, leases, purchase and other contractual obligations, see Part II, Item 8 Notes to Consolidated F</w:t>
      </w:r>
      <w:r>
        <w:rPr>
          <w:rFonts w:ascii="Arial" w:eastAsia="宋体" w:hAnsi="Arial" w:cs="Arial"/>
          <w:color w:val="000000"/>
          <w:sz w:val="20"/>
          <w:szCs w:val="20"/>
        </w:rPr>
        <w:t xml:space="preserve">inancial Statements Note 6 - Debt and Revolving Credit Facility and Note 16 - Commitments and Guarantees. </w:t>
      </w:r>
    </w:p>
    <w:p w14:paraId="59029DDC" w14:textId="77777777" w:rsidR="0084406A" w:rsidRDefault="002B18AF">
      <w:pPr>
        <w:spacing w:before="180"/>
      </w:pPr>
      <w:r>
        <w:rPr>
          <w:rFonts w:ascii="Arial" w:eastAsia="宋体" w:hAnsi="Arial" w:cs="Arial"/>
          <w:b/>
          <w:bCs/>
          <w:color w:val="000000"/>
          <w:sz w:val="20"/>
          <w:szCs w:val="20"/>
        </w:rPr>
        <w:t>Off-Balance Sheet Arrangements</w:t>
      </w:r>
    </w:p>
    <w:p w14:paraId="59029DDD" w14:textId="77777777" w:rsidR="0084406A" w:rsidRDefault="002B18AF">
      <w:pPr>
        <w:spacing w:before="180" w:after="180"/>
        <w:jc w:val="both"/>
      </w:pPr>
      <w:r>
        <w:rPr>
          <w:rFonts w:ascii="Arial" w:eastAsia="宋体" w:hAnsi="Arial" w:cs="Arial"/>
          <w:color w:val="000000"/>
          <w:sz w:val="20"/>
          <w:szCs w:val="20"/>
        </w:rPr>
        <w:t>As of December 25, 2021, we had no off-balance sheet arrangements.</w:t>
      </w:r>
    </w:p>
    <w:p w14:paraId="59029DDE" w14:textId="77777777" w:rsidR="0084406A" w:rsidRDefault="002B18AF">
      <w:pPr>
        <w:jc w:val="center"/>
      </w:pPr>
      <w:r>
        <w:rPr>
          <w:rFonts w:ascii="Arial" w:eastAsia="宋体" w:hAnsi="Arial" w:cs="Arial"/>
          <w:color w:val="000000"/>
          <w:sz w:val="20"/>
          <w:szCs w:val="20"/>
        </w:rPr>
        <w:t>46</w:t>
      </w:r>
    </w:p>
    <w:p w14:paraId="59029DDF" w14:textId="77777777" w:rsidR="0084406A" w:rsidRDefault="002B18AF">
      <w:r>
        <w:pict w14:anchorId="5902BB24">
          <v:rect id="_x0000_i1073" style="width:415.3pt;height:1.5pt" o:hralign="center" o:hrstd="t" o:hr="t" fillcolor="#a0a0a0" stroked="f"/>
        </w:pict>
      </w:r>
    </w:p>
    <w:p w14:paraId="59029DE0" w14:textId="77777777" w:rsidR="0084406A" w:rsidRDefault="0084406A"/>
    <w:p w14:paraId="59029DE1" w14:textId="77777777" w:rsidR="0084406A" w:rsidRDefault="002B18AF">
      <w:pPr>
        <w:spacing w:before="180"/>
        <w:ind w:hanging="1440"/>
      </w:pPr>
      <w:r>
        <w:rPr>
          <w:rFonts w:ascii="Arial" w:eastAsia="宋体" w:hAnsi="Arial" w:cs="Arial"/>
          <w:b/>
          <w:bCs/>
          <w:color w:val="000000"/>
          <w:sz w:val="20"/>
          <w:szCs w:val="20"/>
        </w:rPr>
        <w:t>ITEM 7A. QUANTITATIVE AND QUALITATIVE DISCLOS</w:t>
      </w:r>
      <w:r>
        <w:rPr>
          <w:rFonts w:ascii="Arial" w:eastAsia="宋体" w:hAnsi="Arial" w:cs="Arial"/>
          <w:b/>
          <w:bCs/>
          <w:color w:val="000000"/>
          <w:sz w:val="20"/>
          <w:szCs w:val="20"/>
        </w:rPr>
        <w:t>URE ABOUT MARKET RISK    </w:t>
      </w:r>
    </w:p>
    <w:p w14:paraId="59029DE2" w14:textId="77777777" w:rsidR="0084406A" w:rsidRDefault="002B18AF">
      <w:pPr>
        <w:spacing w:before="180"/>
        <w:jc w:val="both"/>
      </w:pPr>
      <w:r>
        <w:rPr>
          <w:rFonts w:ascii="Arial" w:eastAsia="宋体" w:hAnsi="Arial" w:cs="Arial"/>
          <w:b/>
          <w:bCs/>
          <w:i/>
          <w:iCs/>
          <w:color w:val="000000"/>
          <w:sz w:val="20"/>
          <w:szCs w:val="20"/>
        </w:rPr>
        <w:t>Interest Rate Risk.</w:t>
      </w:r>
      <w:r>
        <w:rPr>
          <w:rFonts w:ascii="Arial" w:eastAsia="宋体" w:hAnsi="Arial" w:cs="Arial"/>
          <w:color w:val="000000"/>
          <w:sz w:val="20"/>
          <w:szCs w:val="20"/>
        </w:rPr>
        <w:t> Our exposure to market risk for changes in interest rates relates primarily to our investment portfolio and long-term debt. We usually invest our cash in investments with short maturities or with frequent inter</w:t>
      </w:r>
      <w:r>
        <w:rPr>
          <w:rFonts w:ascii="Arial" w:eastAsia="宋体" w:hAnsi="Arial" w:cs="Arial"/>
          <w:color w:val="000000"/>
          <w:sz w:val="20"/>
          <w:szCs w:val="20"/>
        </w:rPr>
        <w:t>est reset terms. Accordingly, our interest income fluctuates with short-term market conditions. As of December 25, 2021, our investment portfolio consisted of time deposits and commercial paper. Due to the relatively short, weighted-average maturity of our</w:t>
      </w:r>
      <w:r>
        <w:rPr>
          <w:rFonts w:ascii="Arial" w:eastAsia="宋体" w:hAnsi="Arial" w:cs="Arial"/>
          <w:color w:val="000000"/>
          <w:sz w:val="20"/>
          <w:szCs w:val="20"/>
        </w:rPr>
        <w:t xml:space="preserve"> investment portfolio and the current low interest rate environment, our exposure to interest rate risk is minimal.</w:t>
      </w:r>
    </w:p>
    <w:p w14:paraId="59029DE3" w14:textId="77777777" w:rsidR="0084406A" w:rsidRDefault="002B18AF">
      <w:pPr>
        <w:spacing w:before="180"/>
        <w:jc w:val="both"/>
      </w:pPr>
      <w:r>
        <w:rPr>
          <w:rFonts w:ascii="Arial" w:eastAsia="宋体" w:hAnsi="Arial" w:cs="Arial"/>
          <w:color w:val="000000"/>
          <w:sz w:val="20"/>
          <w:szCs w:val="20"/>
        </w:rPr>
        <w:t>As of December 25, 2021, all of our outstanding long-term debt had fixed interest rates. Consequently, our exposure to market risk for chang</w:t>
      </w:r>
      <w:r>
        <w:rPr>
          <w:rFonts w:ascii="Arial" w:eastAsia="宋体" w:hAnsi="Arial" w:cs="Arial"/>
          <w:color w:val="000000"/>
          <w:sz w:val="20"/>
          <w:szCs w:val="20"/>
        </w:rPr>
        <w:t>es in interest rates on reported interest expense and corresponding cash flows is minimal.</w:t>
      </w:r>
    </w:p>
    <w:p w14:paraId="59029DE4" w14:textId="77777777" w:rsidR="0084406A" w:rsidRDefault="002B18AF">
      <w:pPr>
        <w:spacing w:before="180"/>
        <w:jc w:val="both"/>
      </w:pPr>
      <w:r>
        <w:rPr>
          <w:rFonts w:ascii="Arial" w:eastAsia="宋体" w:hAnsi="Arial" w:cs="Arial"/>
          <w:color w:val="000000"/>
          <w:sz w:val="20"/>
          <w:szCs w:val="20"/>
        </w:rPr>
        <w:t>We will continue to monitor our exposure to interest rate risk.</w:t>
      </w:r>
    </w:p>
    <w:p w14:paraId="59029DE5" w14:textId="77777777" w:rsidR="0084406A" w:rsidRDefault="002B18AF">
      <w:pPr>
        <w:spacing w:before="180"/>
        <w:jc w:val="both"/>
      </w:pPr>
      <w:r>
        <w:rPr>
          <w:rFonts w:ascii="Arial" w:eastAsia="宋体" w:hAnsi="Arial" w:cs="Arial"/>
          <w:b/>
          <w:bCs/>
          <w:i/>
          <w:iCs/>
          <w:color w:val="000000"/>
          <w:sz w:val="20"/>
          <w:szCs w:val="20"/>
        </w:rPr>
        <w:t>Default Risk.</w:t>
      </w:r>
      <w:r>
        <w:rPr>
          <w:rFonts w:ascii="Arial" w:eastAsia="宋体" w:hAnsi="Arial" w:cs="Arial"/>
          <w:color w:val="000000"/>
          <w:sz w:val="20"/>
          <w:szCs w:val="20"/>
        </w:rPr>
        <w:t xml:space="preserve"> We mitigate default risk in our investment portfolio by investing in only high </w:t>
      </w:r>
      <w:r>
        <w:rPr>
          <w:rFonts w:ascii="Arial" w:eastAsia="宋体" w:hAnsi="Arial" w:cs="Arial"/>
          <w:color w:val="000000"/>
          <w:sz w:val="20"/>
          <w:szCs w:val="20"/>
        </w:rPr>
        <w:t xml:space="preserve">credit quality securities and by constantly positioning our portfolio to respond to a significant reduction in a credit rating of any investment issuer or guarantor. Our portfolio includes investments in marketable debt securities with active secondary or </w:t>
      </w:r>
      <w:r>
        <w:rPr>
          <w:rFonts w:ascii="Arial" w:eastAsia="宋体" w:hAnsi="Arial" w:cs="Arial"/>
          <w:color w:val="000000"/>
          <w:sz w:val="20"/>
          <w:szCs w:val="20"/>
        </w:rPr>
        <w:t>resale markets to ensure portfolio liquidity. We are averse to principal loss and strive to preserve our invested funds by limiting default risk and market risk.</w:t>
      </w:r>
    </w:p>
    <w:p w14:paraId="59029DE6" w14:textId="77777777" w:rsidR="0084406A" w:rsidRDefault="002B18AF">
      <w:pPr>
        <w:spacing w:before="180"/>
        <w:jc w:val="both"/>
      </w:pPr>
      <w:r>
        <w:rPr>
          <w:rFonts w:ascii="Arial" w:eastAsia="宋体" w:hAnsi="Arial" w:cs="Arial"/>
          <w:color w:val="000000"/>
          <w:sz w:val="20"/>
          <w:szCs w:val="20"/>
        </w:rPr>
        <w:t>We actively monitor market conditions and developments specific to the securities and security</w:t>
      </w:r>
      <w:r>
        <w:rPr>
          <w:rFonts w:ascii="Arial" w:eastAsia="宋体" w:hAnsi="Arial" w:cs="Arial"/>
          <w:color w:val="000000"/>
          <w:sz w:val="20"/>
          <w:szCs w:val="20"/>
        </w:rPr>
        <w:t xml:space="preserve"> classes in which we invest. We believe that we take a conservative approach to investing our funds in that we invest only in highly-rated debt securities with relatively short maturities and do not invest in securities which we believe involve a higher de</w:t>
      </w:r>
      <w:r>
        <w:rPr>
          <w:rFonts w:ascii="Arial" w:eastAsia="宋体" w:hAnsi="Arial" w:cs="Arial"/>
          <w:color w:val="000000"/>
          <w:sz w:val="20"/>
          <w:szCs w:val="20"/>
        </w:rPr>
        <w:t>gree of risk. As of December 25, 2021, substantially all of our investments in debt securities were A-rated by at least one of the rating agencies. While we believe we take prudent measures to mitigate investment-related risks, such risks cannot be fully e</w:t>
      </w:r>
      <w:r>
        <w:rPr>
          <w:rFonts w:ascii="Arial" w:eastAsia="宋体" w:hAnsi="Arial" w:cs="Arial"/>
          <w:color w:val="000000"/>
          <w:sz w:val="20"/>
          <w:szCs w:val="20"/>
        </w:rPr>
        <w:t>liminated as there are circumstances outside of our control.</w:t>
      </w:r>
    </w:p>
    <w:p w14:paraId="59029DE7" w14:textId="77777777" w:rsidR="0084406A" w:rsidRDefault="002B18AF">
      <w:pPr>
        <w:spacing w:before="180"/>
        <w:jc w:val="both"/>
      </w:pPr>
      <w:r>
        <w:rPr>
          <w:rFonts w:ascii="Arial" w:eastAsia="宋体" w:hAnsi="Arial" w:cs="Arial"/>
          <w:b/>
          <w:bCs/>
          <w:i/>
          <w:iCs/>
          <w:color w:val="000000"/>
          <w:sz w:val="20"/>
          <w:szCs w:val="20"/>
        </w:rPr>
        <w:t>Foreign Exchange Risk.</w:t>
      </w:r>
      <w:r>
        <w:rPr>
          <w:rFonts w:ascii="Arial" w:eastAsia="宋体" w:hAnsi="Arial" w:cs="Arial"/>
          <w:color w:val="000000"/>
          <w:sz w:val="20"/>
          <w:szCs w:val="20"/>
        </w:rPr>
        <w:t xml:space="preserve"> As a result of our foreign operations, we incur costs and we carry assets and liabilities that are denominated in foreign currencies, while sales of products are primarily </w:t>
      </w:r>
      <w:r>
        <w:rPr>
          <w:rFonts w:ascii="Arial" w:eastAsia="宋体" w:hAnsi="Arial" w:cs="Arial"/>
          <w:color w:val="000000"/>
          <w:sz w:val="20"/>
          <w:szCs w:val="20"/>
        </w:rPr>
        <w:t xml:space="preserve">denominated in U.S. dollars. </w:t>
      </w:r>
    </w:p>
    <w:p w14:paraId="59029DE8" w14:textId="77777777" w:rsidR="0084406A" w:rsidRDefault="002B18AF">
      <w:pPr>
        <w:spacing w:before="180"/>
        <w:jc w:val="both"/>
      </w:pPr>
      <w:r>
        <w:rPr>
          <w:rFonts w:ascii="Arial" w:eastAsia="宋体" w:hAnsi="Arial" w:cs="Arial"/>
          <w:color w:val="000000"/>
          <w:sz w:val="20"/>
          <w:szCs w:val="20"/>
        </w:rPr>
        <w:t>We maintain a foreign currency hedging strategy which uses derivative financial instruments to mitigate the risks associated with changes in foreign currency exchange rates. This strategy takes into consideration all of our ex</w:t>
      </w:r>
      <w:r>
        <w:rPr>
          <w:rFonts w:ascii="Arial" w:eastAsia="宋体" w:hAnsi="Arial" w:cs="Arial"/>
          <w:color w:val="000000"/>
          <w:sz w:val="20"/>
          <w:szCs w:val="20"/>
        </w:rPr>
        <w:t>posures. We do not use derivative financial instruments for trading or speculative purposes.</w:t>
      </w:r>
    </w:p>
    <w:p w14:paraId="59029DE9" w14:textId="77777777" w:rsidR="0084406A" w:rsidRDefault="002B18AF">
      <w:pPr>
        <w:spacing w:before="180"/>
        <w:jc w:val="both"/>
      </w:pPr>
      <w:r>
        <w:rPr>
          <w:rFonts w:ascii="Arial" w:eastAsia="宋体" w:hAnsi="Arial" w:cs="Arial"/>
          <w:color w:val="000000"/>
          <w:sz w:val="20"/>
          <w:szCs w:val="20"/>
        </w:rPr>
        <w:t>The following table provides information about our foreign currency forward contracts as of December 25, 2021 and December 26, 2020. All of our foreign currency fo</w:t>
      </w:r>
      <w:r>
        <w:rPr>
          <w:rFonts w:ascii="Arial" w:eastAsia="宋体" w:hAnsi="Arial" w:cs="Arial"/>
          <w:color w:val="000000"/>
          <w:sz w:val="20"/>
          <w:szCs w:val="20"/>
        </w:rPr>
        <w:t>rward contracts mature within 18 months.</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2333"/>
        <w:gridCol w:w="38"/>
        <w:gridCol w:w="132"/>
        <w:gridCol w:w="557"/>
        <w:gridCol w:w="36"/>
        <w:gridCol w:w="36"/>
        <w:gridCol w:w="36"/>
        <w:gridCol w:w="36"/>
        <w:gridCol w:w="88"/>
        <w:gridCol w:w="822"/>
        <w:gridCol w:w="36"/>
        <w:gridCol w:w="36"/>
        <w:gridCol w:w="36"/>
        <w:gridCol w:w="36"/>
        <w:gridCol w:w="133"/>
        <w:gridCol w:w="826"/>
        <w:gridCol w:w="36"/>
        <w:gridCol w:w="36"/>
        <w:gridCol w:w="36"/>
        <w:gridCol w:w="36"/>
        <w:gridCol w:w="133"/>
        <w:gridCol w:w="609"/>
        <w:gridCol w:w="36"/>
        <w:gridCol w:w="36"/>
        <w:gridCol w:w="36"/>
        <w:gridCol w:w="36"/>
        <w:gridCol w:w="88"/>
        <w:gridCol w:w="822"/>
        <w:gridCol w:w="36"/>
        <w:gridCol w:w="36"/>
        <w:gridCol w:w="36"/>
        <w:gridCol w:w="36"/>
        <w:gridCol w:w="133"/>
        <w:gridCol w:w="826"/>
        <w:gridCol w:w="36"/>
      </w:tblGrid>
      <w:tr w:rsidR="0084406A" w14:paraId="59029E0E" w14:textId="77777777">
        <w:tc>
          <w:tcPr>
            <w:tcW w:w="50" w:type="pct"/>
            <w:shd w:val="clear" w:color="auto" w:fill="auto"/>
            <w:vAlign w:val="bottom"/>
          </w:tcPr>
          <w:p w14:paraId="59029DEA" w14:textId="77777777" w:rsidR="0084406A" w:rsidRDefault="0084406A">
            <w:pPr>
              <w:rPr>
                <w:rFonts w:ascii="宋体"/>
              </w:rPr>
            </w:pPr>
          </w:p>
        </w:tc>
        <w:tc>
          <w:tcPr>
            <w:tcW w:w="1589" w:type="pct"/>
            <w:shd w:val="clear" w:color="auto" w:fill="auto"/>
            <w:vAlign w:val="bottom"/>
          </w:tcPr>
          <w:p w14:paraId="59029DEB" w14:textId="77777777" w:rsidR="0084406A" w:rsidRDefault="0084406A">
            <w:pPr>
              <w:rPr>
                <w:rFonts w:ascii="宋体"/>
              </w:rPr>
            </w:pPr>
          </w:p>
        </w:tc>
        <w:tc>
          <w:tcPr>
            <w:tcW w:w="5" w:type="pct"/>
            <w:shd w:val="clear" w:color="auto" w:fill="auto"/>
            <w:vAlign w:val="bottom"/>
          </w:tcPr>
          <w:p w14:paraId="59029DEC" w14:textId="77777777" w:rsidR="0084406A" w:rsidRDefault="0084406A">
            <w:pPr>
              <w:rPr>
                <w:rFonts w:ascii="宋体"/>
              </w:rPr>
            </w:pPr>
          </w:p>
        </w:tc>
        <w:tc>
          <w:tcPr>
            <w:tcW w:w="50" w:type="pct"/>
            <w:shd w:val="clear" w:color="auto" w:fill="auto"/>
            <w:vAlign w:val="bottom"/>
          </w:tcPr>
          <w:p w14:paraId="59029DED" w14:textId="77777777" w:rsidR="0084406A" w:rsidRDefault="0084406A">
            <w:pPr>
              <w:rPr>
                <w:rFonts w:ascii="宋体"/>
              </w:rPr>
            </w:pPr>
          </w:p>
        </w:tc>
        <w:tc>
          <w:tcPr>
            <w:tcW w:w="471" w:type="pct"/>
            <w:shd w:val="clear" w:color="auto" w:fill="auto"/>
            <w:vAlign w:val="bottom"/>
          </w:tcPr>
          <w:p w14:paraId="59029DEE" w14:textId="77777777" w:rsidR="0084406A" w:rsidRDefault="0084406A">
            <w:pPr>
              <w:rPr>
                <w:rFonts w:ascii="宋体"/>
              </w:rPr>
            </w:pPr>
          </w:p>
        </w:tc>
        <w:tc>
          <w:tcPr>
            <w:tcW w:w="5" w:type="pct"/>
            <w:shd w:val="clear" w:color="auto" w:fill="auto"/>
            <w:vAlign w:val="bottom"/>
          </w:tcPr>
          <w:p w14:paraId="59029DEF" w14:textId="77777777" w:rsidR="0084406A" w:rsidRDefault="0084406A">
            <w:pPr>
              <w:rPr>
                <w:rFonts w:ascii="宋体"/>
              </w:rPr>
            </w:pPr>
          </w:p>
        </w:tc>
        <w:tc>
          <w:tcPr>
            <w:tcW w:w="5" w:type="pct"/>
            <w:shd w:val="clear" w:color="auto" w:fill="auto"/>
            <w:vAlign w:val="bottom"/>
          </w:tcPr>
          <w:p w14:paraId="59029DF0" w14:textId="77777777" w:rsidR="0084406A" w:rsidRDefault="0084406A">
            <w:pPr>
              <w:rPr>
                <w:rFonts w:ascii="宋体"/>
              </w:rPr>
            </w:pPr>
          </w:p>
        </w:tc>
        <w:tc>
          <w:tcPr>
            <w:tcW w:w="26" w:type="pct"/>
            <w:shd w:val="clear" w:color="auto" w:fill="auto"/>
            <w:vAlign w:val="bottom"/>
          </w:tcPr>
          <w:p w14:paraId="59029DF1" w14:textId="77777777" w:rsidR="0084406A" w:rsidRDefault="0084406A">
            <w:pPr>
              <w:rPr>
                <w:rFonts w:ascii="宋体"/>
              </w:rPr>
            </w:pPr>
          </w:p>
        </w:tc>
        <w:tc>
          <w:tcPr>
            <w:tcW w:w="5" w:type="pct"/>
            <w:shd w:val="clear" w:color="auto" w:fill="auto"/>
            <w:vAlign w:val="bottom"/>
          </w:tcPr>
          <w:p w14:paraId="59029DF2" w14:textId="77777777" w:rsidR="0084406A" w:rsidRDefault="0084406A">
            <w:pPr>
              <w:rPr>
                <w:rFonts w:ascii="宋体"/>
              </w:rPr>
            </w:pPr>
          </w:p>
        </w:tc>
        <w:tc>
          <w:tcPr>
            <w:tcW w:w="50" w:type="pct"/>
            <w:shd w:val="clear" w:color="auto" w:fill="auto"/>
            <w:vAlign w:val="bottom"/>
          </w:tcPr>
          <w:p w14:paraId="59029DF3" w14:textId="77777777" w:rsidR="0084406A" w:rsidRDefault="0084406A">
            <w:pPr>
              <w:rPr>
                <w:rFonts w:ascii="宋体"/>
              </w:rPr>
            </w:pPr>
          </w:p>
        </w:tc>
        <w:tc>
          <w:tcPr>
            <w:tcW w:w="471" w:type="pct"/>
            <w:shd w:val="clear" w:color="auto" w:fill="auto"/>
            <w:vAlign w:val="bottom"/>
          </w:tcPr>
          <w:p w14:paraId="59029DF4" w14:textId="77777777" w:rsidR="0084406A" w:rsidRDefault="0084406A">
            <w:pPr>
              <w:rPr>
                <w:rFonts w:ascii="宋体"/>
              </w:rPr>
            </w:pPr>
          </w:p>
        </w:tc>
        <w:tc>
          <w:tcPr>
            <w:tcW w:w="5" w:type="pct"/>
            <w:shd w:val="clear" w:color="auto" w:fill="auto"/>
            <w:vAlign w:val="bottom"/>
          </w:tcPr>
          <w:p w14:paraId="59029DF5" w14:textId="77777777" w:rsidR="0084406A" w:rsidRDefault="0084406A">
            <w:pPr>
              <w:rPr>
                <w:rFonts w:ascii="宋体"/>
              </w:rPr>
            </w:pPr>
          </w:p>
        </w:tc>
        <w:tc>
          <w:tcPr>
            <w:tcW w:w="5" w:type="pct"/>
            <w:shd w:val="clear" w:color="auto" w:fill="auto"/>
            <w:vAlign w:val="bottom"/>
          </w:tcPr>
          <w:p w14:paraId="59029DF6" w14:textId="77777777" w:rsidR="0084406A" w:rsidRDefault="0084406A">
            <w:pPr>
              <w:rPr>
                <w:rFonts w:ascii="宋体"/>
              </w:rPr>
            </w:pPr>
          </w:p>
        </w:tc>
        <w:tc>
          <w:tcPr>
            <w:tcW w:w="26" w:type="pct"/>
            <w:shd w:val="clear" w:color="auto" w:fill="auto"/>
            <w:vAlign w:val="bottom"/>
          </w:tcPr>
          <w:p w14:paraId="59029DF7" w14:textId="77777777" w:rsidR="0084406A" w:rsidRDefault="0084406A">
            <w:pPr>
              <w:rPr>
                <w:rFonts w:ascii="宋体"/>
              </w:rPr>
            </w:pPr>
          </w:p>
        </w:tc>
        <w:tc>
          <w:tcPr>
            <w:tcW w:w="5" w:type="pct"/>
            <w:shd w:val="clear" w:color="auto" w:fill="auto"/>
            <w:vAlign w:val="bottom"/>
          </w:tcPr>
          <w:p w14:paraId="59029DF8" w14:textId="77777777" w:rsidR="0084406A" w:rsidRDefault="0084406A">
            <w:pPr>
              <w:rPr>
                <w:rFonts w:ascii="宋体"/>
              </w:rPr>
            </w:pPr>
          </w:p>
        </w:tc>
        <w:tc>
          <w:tcPr>
            <w:tcW w:w="50" w:type="pct"/>
            <w:shd w:val="clear" w:color="auto" w:fill="auto"/>
            <w:vAlign w:val="bottom"/>
          </w:tcPr>
          <w:p w14:paraId="59029DF9" w14:textId="77777777" w:rsidR="0084406A" w:rsidRDefault="0084406A">
            <w:pPr>
              <w:rPr>
                <w:rFonts w:ascii="宋体"/>
              </w:rPr>
            </w:pPr>
          </w:p>
        </w:tc>
        <w:tc>
          <w:tcPr>
            <w:tcW w:w="478" w:type="pct"/>
            <w:shd w:val="clear" w:color="auto" w:fill="auto"/>
            <w:vAlign w:val="bottom"/>
          </w:tcPr>
          <w:p w14:paraId="59029DFA" w14:textId="77777777" w:rsidR="0084406A" w:rsidRDefault="0084406A">
            <w:pPr>
              <w:rPr>
                <w:rFonts w:ascii="宋体"/>
              </w:rPr>
            </w:pPr>
          </w:p>
        </w:tc>
        <w:tc>
          <w:tcPr>
            <w:tcW w:w="5" w:type="pct"/>
            <w:shd w:val="clear" w:color="auto" w:fill="auto"/>
            <w:vAlign w:val="bottom"/>
          </w:tcPr>
          <w:p w14:paraId="59029DFB" w14:textId="77777777" w:rsidR="0084406A" w:rsidRDefault="0084406A">
            <w:pPr>
              <w:rPr>
                <w:rFonts w:ascii="宋体"/>
              </w:rPr>
            </w:pPr>
          </w:p>
        </w:tc>
        <w:tc>
          <w:tcPr>
            <w:tcW w:w="5" w:type="pct"/>
            <w:shd w:val="clear" w:color="auto" w:fill="auto"/>
            <w:vAlign w:val="bottom"/>
          </w:tcPr>
          <w:p w14:paraId="59029DFC" w14:textId="77777777" w:rsidR="0084406A" w:rsidRDefault="0084406A">
            <w:pPr>
              <w:rPr>
                <w:rFonts w:ascii="宋体"/>
              </w:rPr>
            </w:pPr>
          </w:p>
        </w:tc>
        <w:tc>
          <w:tcPr>
            <w:tcW w:w="26" w:type="pct"/>
            <w:shd w:val="clear" w:color="auto" w:fill="auto"/>
            <w:vAlign w:val="bottom"/>
          </w:tcPr>
          <w:p w14:paraId="59029DFD" w14:textId="77777777" w:rsidR="0084406A" w:rsidRDefault="0084406A">
            <w:pPr>
              <w:rPr>
                <w:rFonts w:ascii="宋体"/>
              </w:rPr>
            </w:pPr>
          </w:p>
        </w:tc>
        <w:tc>
          <w:tcPr>
            <w:tcW w:w="5" w:type="pct"/>
            <w:shd w:val="clear" w:color="auto" w:fill="auto"/>
            <w:vAlign w:val="bottom"/>
          </w:tcPr>
          <w:p w14:paraId="59029DFE" w14:textId="77777777" w:rsidR="0084406A" w:rsidRDefault="0084406A">
            <w:pPr>
              <w:rPr>
                <w:rFonts w:ascii="宋体"/>
              </w:rPr>
            </w:pPr>
          </w:p>
        </w:tc>
        <w:tc>
          <w:tcPr>
            <w:tcW w:w="50" w:type="pct"/>
            <w:shd w:val="clear" w:color="auto" w:fill="auto"/>
            <w:vAlign w:val="bottom"/>
          </w:tcPr>
          <w:p w14:paraId="59029DFF" w14:textId="77777777" w:rsidR="0084406A" w:rsidRDefault="0084406A">
            <w:pPr>
              <w:rPr>
                <w:rFonts w:ascii="宋体"/>
              </w:rPr>
            </w:pPr>
          </w:p>
        </w:tc>
        <w:tc>
          <w:tcPr>
            <w:tcW w:w="471" w:type="pct"/>
            <w:shd w:val="clear" w:color="auto" w:fill="auto"/>
            <w:vAlign w:val="bottom"/>
          </w:tcPr>
          <w:p w14:paraId="59029E00" w14:textId="77777777" w:rsidR="0084406A" w:rsidRDefault="0084406A">
            <w:pPr>
              <w:rPr>
                <w:rFonts w:ascii="宋体"/>
              </w:rPr>
            </w:pPr>
          </w:p>
        </w:tc>
        <w:tc>
          <w:tcPr>
            <w:tcW w:w="5" w:type="pct"/>
            <w:shd w:val="clear" w:color="auto" w:fill="auto"/>
            <w:vAlign w:val="bottom"/>
          </w:tcPr>
          <w:p w14:paraId="59029E01" w14:textId="77777777" w:rsidR="0084406A" w:rsidRDefault="0084406A">
            <w:pPr>
              <w:rPr>
                <w:rFonts w:ascii="宋体"/>
              </w:rPr>
            </w:pPr>
          </w:p>
        </w:tc>
        <w:tc>
          <w:tcPr>
            <w:tcW w:w="5" w:type="pct"/>
            <w:shd w:val="clear" w:color="auto" w:fill="auto"/>
            <w:vAlign w:val="bottom"/>
          </w:tcPr>
          <w:p w14:paraId="59029E02" w14:textId="77777777" w:rsidR="0084406A" w:rsidRDefault="0084406A">
            <w:pPr>
              <w:rPr>
                <w:rFonts w:ascii="宋体"/>
              </w:rPr>
            </w:pPr>
          </w:p>
        </w:tc>
        <w:tc>
          <w:tcPr>
            <w:tcW w:w="26" w:type="pct"/>
            <w:shd w:val="clear" w:color="auto" w:fill="auto"/>
            <w:vAlign w:val="bottom"/>
          </w:tcPr>
          <w:p w14:paraId="59029E03" w14:textId="77777777" w:rsidR="0084406A" w:rsidRDefault="0084406A">
            <w:pPr>
              <w:rPr>
                <w:rFonts w:ascii="宋体"/>
              </w:rPr>
            </w:pPr>
          </w:p>
        </w:tc>
        <w:tc>
          <w:tcPr>
            <w:tcW w:w="5" w:type="pct"/>
            <w:shd w:val="clear" w:color="auto" w:fill="auto"/>
            <w:vAlign w:val="bottom"/>
          </w:tcPr>
          <w:p w14:paraId="59029E04" w14:textId="77777777" w:rsidR="0084406A" w:rsidRDefault="0084406A">
            <w:pPr>
              <w:rPr>
                <w:rFonts w:ascii="宋体"/>
              </w:rPr>
            </w:pPr>
          </w:p>
        </w:tc>
        <w:tc>
          <w:tcPr>
            <w:tcW w:w="50" w:type="pct"/>
            <w:shd w:val="clear" w:color="auto" w:fill="auto"/>
            <w:vAlign w:val="bottom"/>
          </w:tcPr>
          <w:p w14:paraId="59029E05" w14:textId="77777777" w:rsidR="0084406A" w:rsidRDefault="0084406A">
            <w:pPr>
              <w:rPr>
                <w:rFonts w:ascii="宋体"/>
              </w:rPr>
            </w:pPr>
          </w:p>
        </w:tc>
        <w:tc>
          <w:tcPr>
            <w:tcW w:w="471" w:type="pct"/>
            <w:shd w:val="clear" w:color="auto" w:fill="auto"/>
            <w:vAlign w:val="bottom"/>
          </w:tcPr>
          <w:p w14:paraId="59029E06" w14:textId="77777777" w:rsidR="0084406A" w:rsidRDefault="0084406A">
            <w:pPr>
              <w:rPr>
                <w:rFonts w:ascii="宋体"/>
              </w:rPr>
            </w:pPr>
          </w:p>
        </w:tc>
        <w:tc>
          <w:tcPr>
            <w:tcW w:w="5" w:type="pct"/>
            <w:shd w:val="clear" w:color="auto" w:fill="auto"/>
            <w:vAlign w:val="bottom"/>
          </w:tcPr>
          <w:p w14:paraId="59029E07" w14:textId="77777777" w:rsidR="0084406A" w:rsidRDefault="0084406A">
            <w:pPr>
              <w:rPr>
                <w:rFonts w:ascii="宋体"/>
              </w:rPr>
            </w:pPr>
          </w:p>
        </w:tc>
        <w:tc>
          <w:tcPr>
            <w:tcW w:w="5" w:type="pct"/>
            <w:shd w:val="clear" w:color="auto" w:fill="auto"/>
            <w:vAlign w:val="bottom"/>
          </w:tcPr>
          <w:p w14:paraId="59029E08" w14:textId="77777777" w:rsidR="0084406A" w:rsidRDefault="0084406A">
            <w:pPr>
              <w:rPr>
                <w:rFonts w:ascii="宋体"/>
              </w:rPr>
            </w:pPr>
          </w:p>
        </w:tc>
        <w:tc>
          <w:tcPr>
            <w:tcW w:w="26" w:type="pct"/>
            <w:shd w:val="clear" w:color="auto" w:fill="auto"/>
            <w:vAlign w:val="bottom"/>
          </w:tcPr>
          <w:p w14:paraId="59029E09" w14:textId="77777777" w:rsidR="0084406A" w:rsidRDefault="0084406A">
            <w:pPr>
              <w:rPr>
                <w:rFonts w:ascii="宋体"/>
              </w:rPr>
            </w:pPr>
          </w:p>
        </w:tc>
        <w:tc>
          <w:tcPr>
            <w:tcW w:w="5" w:type="pct"/>
            <w:shd w:val="clear" w:color="auto" w:fill="auto"/>
            <w:vAlign w:val="bottom"/>
          </w:tcPr>
          <w:p w14:paraId="59029E0A" w14:textId="77777777" w:rsidR="0084406A" w:rsidRDefault="0084406A">
            <w:pPr>
              <w:rPr>
                <w:rFonts w:ascii="宋体"/>
              </w:rPr>
            </w:pPr>
          </w:p>
        </w:tc>
        <w:tc>
          <w:tcPr>
            <w:tcW w:w="50" w:type="pct"/>
            <w:shd w:val="clear" w:color="auto" w:fill="auto"/>
            <w:vAlign w:val="bottom"/>
          </w:tcPr>
          <w:p w14:paraId="59029E0B" w14:textId="77777777" w:rsidR="0084406A" w:rsidRDefault="0084406A">
            <w:pPr>
              <w:rPr>
                <w:rFonts w:ascii="宋体"/>
              </w:rPr>
            </w:pPr>
          </w:p>
        </w:tc>
        <w:tc>
          <w:tcPr>
            <w:tcW w:w="479" w:type="pct"/>
            <w:shd w:val="clear" w:color="auto" w:fill="auto"/>
            <w:vAlign w:val="bottom"/>
          </w:tcPr>
          <w:p w14:paraId="59029E0C" w14:textId="77777777" w:rsidR="0084406A" w:rsidRDefault="0084406A">
            <w:pPr>
              <w:rPr>
                <w:rFonts w:ascii="宋体"/>
              </w:rPr>
            </w:pPr>
          </w:p>
        </w:tc>
        <w:tc>
          <w:tcPr>
            <w:tcW w:w="5" w:type="pct"/>
            <w:shd w:val="clear" w:color="auto" w:fill="auto"/>
            <w:vAlign w:val="bottom"/>
          </w:tcPr>
          <w:p w14:paraId="59029E0D" w14:textId="77777777" w:rsidR="0084406A" w:rsidRDefault="0084406A">
            <w:pPr>
              <w:rPr>
                <w:rFonts w:ascii="宋体"/>
              </w:rPr>
            </w:pPr>
          </w:p>
        </w:tc>
      </w:tr>
      <w:tr w:rsidR="0084406A" w14:paraId="59029E13" w14:textId="77777777">
        <w:tc>
          <w:tcPr>
            <w:tcW w:w="0" w:type="auto"/>
            <w:gridSpan w:val="3"/>
            <w:shd w:val="clear" w:color="auto" w:fill="auto"/>
            <w:tcMar>
              <w:top w:w="0" w:type="dxa"/>
              <w:left w:w="20" w:type="dxa"/>
              <w:bottom w:w="0" w:type="dxa"/>
              <w:right w:w="20" w:type="dxa"/>
            </w:tcMar>
            <w:vAlign w:val="bottom"/>
          </w:tcPr>
          <w:p w14:paraId="59029E0F"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9E10"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9E11"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9E12" w14:textId="77777777" w:rsidR="0084406A" w:rsidRDefault="002B18AF">
            <w:pPr>
              <w:jc w:val="center"/>
              <w:textAlignment w:val="bottom"/>
            </w:pPr>
            <w:r>
              <w:rPr>
                <w:rFonts w:ascii="Arial" w:eastAsia="宋体" w:hAnsi="Arial" w:cs="Arial"/>
                <w:b/>
                <w:bCs/>
                <w:color w:val="000000"/>
                <w:sz w:val="16"/>
                <w:szCs w:val="16"/>
              </w:rPr>
              <w:t>December 26, 2020</w:t>
            </w:r>
          </w:p>
        </w:tc>
      </w:tr>
      <w:tr w:rsidR="0084406A" w14:paraId="59029E20" w14:textId="77777777">
        <w:tc>
          <w:tcPr>
            <w:tcW w:w="0" w:type="auto"/>
            <w:gridSpan w:val="3"/>
            <w:shd w:val="clear" w:color="auto" w:fill="auto"/>
            <w:tcMar>
              <w:top w:w="0" w:type="dxa"/>
              <w:left w:w="20" w:type="dxa"/>
              <w:bottom w:w="0" w:type="dxa"/>
              <w:right w:w="20" w:type="dxa"/>
            </w:tcMar>
            <w:vAlign w:val="bottom"/>
          </w:tcPr>
          <w:p w14:paraId="59029E14"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9E15" w14:textId="77777777" w:rsidR="0084406A" w:rsidRDefault="002B18AF">
            <w:pPr>
              <w:jc w:val="center"/>
              <w:textAlignment w:val="bottom"/>
            </w:pPr>
            <w:r>
              <w:rPr>
                <w:rFonts w:ascii="Arial" w:eastAsia="宋体" w:hAnsi="Arial" w:cs="Arial"/>
                <w:b/>
                <w:bCs/>
                <w:color w:val="000000"/>
                <w:sz w:val="16"/>
                <w:szCs w:val="16"/>
              </w:rPr>
              <w:t>Notional</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E16"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E17" w14:textId="77777777" w:rsidR="0084406A" w:rsidRDefault="002B18AF">
            <w:pPr>
              <w:jc w:val="center"/>
              <w:textAlignment w:val="bottom"/>
            </w:pPr>
            <w:r>
              <w:rPr>
                <w:rFonts w:ascii="Arial" w:eastAsia="宋体" w:hAnsi="Arial" w:cs="Arial"/>
                <w:b/>
                <w:bCs/>
                <w:color w:val="000000"/>
                <w:sz w:val="16"/>
                <w:szCs w:val="16"/>
              </w:rPr>
              <w:t>Average</w:t>
            </w:r>
            <w:r>
              <w:rPr>
                <w:rFonts w:ascii="Arial" w:eastAsia="宋体" w:hAnsi="Arial" w:cs="Arial"/>
                <w:b/>
                <w:bCs/>
                <w:color w:val="000000"/>
                <w:sz w:val="16"/>
                <w:szCs w:val="16"/>
              </w:rPr>
              <w:br/>
              <w:t>Contract</w:t>
            </w:r>
            <w:r>
              <w:rPr>
                <w:rFonts w:ascii="Arial" w:eastAsia="宋体" w:hAnsi="Arial" w:cs="Arial"/>
                <w:b/>
                <w:bCs/>
                <w:color w:val="000000"/>
                <w:sz w:val="16"/>
                <w:szCs w:val="16"/>
              </w:rPr>
              <w:br/>
              <w:t>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E18"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E19" w14:textId="77777777" w:rsidR="0084406A" w:rsidRDefault="002B18A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r>
            <w:r>
              <w:rPr>
                <w:rFonts w:ascii="Arial" w:eastAsia="宋体" w:hAnsi="Arial" w:cs="Arial"/>
                <w:b/>
                <w:bCs/>
                <w:color w:val="000000"/>
                <w:sz w:val="16"/>
                <w:szCs w:val="16"/>
              </w:rPr>
              <w:t>Fair Value</w:t>
            </w:r>
            <w:r>
              <w:rPr>
                <w:rFonts w:ascii="Arial" w:eastAsia="宋体" w:hAnsi="Arial" w:cs="Arial"/>
                <w:b/>
                <w:bCs/>
                <w:color w:val="000000"/>
                <w:sz w:val="16"/>
                <w:szCs w:val="16"/>
              </w:rPr>
              <w:br/>
              <w:t>Gain (Loss)</w:t>
            </w:r>
          </w:p>
        </w:tc>
        <w:tc>
          <w:tcPr>
            <w:tcW w:w="0" w:type="auto"/>
            <w:gridSpan w:val="3"/>
            <w:shd w:val="clear" w:color="auto" w:fill="auto"/>
            <w:tcMar>
              <w:top w:w="0" w:type="dxa"/>
              <w:left w:w="20" w:type="dxa"/>
              <w:bottom w:w="0" w:type="dxa"/>
              <w:right w:w="20" w:type="dxa"/>
            </w:tcMar>
            <w:vAlign w:val="bottom"/>
          </w:tcPr>
          <w:p w14:paraId="59029E1A"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E1B" w14:textId="77777777" w:rsidR="0084406A" w:rsidRDefault="002B18AF">
            <w:pPr>
              <w:jc w:val="center"/>
              <w:textAlignment w:val="bottom"/>
            </w:pPr>
            <w:r>
              <w:rPr>
                <w:rFonts w:ascii="Arial" w:eastAsia="宋体" w:hAnsi="Arial" w:cs="Arial"/>
                <w:b/>
                <w:bCs/>
                <w:color w:val="000000"/>
                <w:sz w:val="16"/>
                <w:szCs w:val="16"/>
              </w:rPr>
              <w:t>Notional</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E1C"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E1D" w14:textId="77777777" w:rsidR="0084406A" w:rsidRDefault="002B18AF">
            <w:pPr>
              <w:jc w:val="center"/>
              <w:textAlignment w:val="bottom"/>
            </w:pPr>
            <w:r>
              <w:rPr>
                <w:rFonts w:ascii="Arial" w:eastAsia="宋体" w:hAnsi="Arial" w:cs="Arial"/>
                <w:b/>
                <w:bCs/>
                <w:color w:val="000000"/>
                <w:sz w:val="16"/>
                <w:szCs w:val="16"/>
              </w:rPr>
              <w:t>Average</w:t>
            </w:r>
            <w:r>
              <w:rPr>
                <w:rFonts w:ascii="Arial" w:eastAsia="宋体" w:hAnsi="Arial" w:cs="Arial"/>
                <w:b/>
                <w:bCs/>
                <w:color w:val="000000"/>
                <w:sz w:val="16"/>
                <w:szCs w:val="16"/>
              </w:rPr>
              <w:br/>
              <w:t>Contract</w:t>
            </w:r>
            <w:r>
              <w:rPr>
                <w:rFonts w:ascii="Arial" w:eastAsia="宋体" w:hAnsi="Arial" w:cs="Arial"/>
                <w:b/>
                <w:bCs/>
                <w:color w:val="000000"/>
                <w:sz w:val="16"/>
                <w:szCs w:val="16"/>
              </w:rPr>
              <w:br/>
              <w:t>Rate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E1E"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E1F" w14:textId="77777777" w:rsidR="0084406A" w:rsidRDefault="002B18A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r>
              <w:rPr>
                <w:rFonts w:ascii="Arial" w:eastAsia="宋体" w:hAnsi="Arial" w:cs="Arial"/>
                <w:b/>
                <w:bCs/>
                <w:color w:val="000000"/>
                <w:sz w:val="16"/>
                <w:szCs w:val="16"/>
              </w:rPr>
              <w:br/>
              <w:t>Gain (Loss)</w:t>
            </w:r>
          </w:p>
        </w:tc>
      </w:tr>
      <w:tr w:rsidR="0084406A" w14:paraId="59029E23" w14:textId="77777777">
        <w:tc>
          <w:tcPr>
            <w:tcW w:w="0" w:type="auto"/>
            <w:gridSpan w:val="3"/>
            <w:shd w:val="clear" w:color="auto" w:fill="auto"/>
            <w:tcMar>
              <w:top w:w="40" w:type="dxa"/>
              <w:left w:w="20" w:type="dxa"/>
              <w:bottom w:w="40" w:type="dxa"/>
              <w:right w:w="20" w:type="dxa"/>
            </w:tcMar>
            <w:vAlign w:val="bottom"/>
          </w:tcPr>
          <w:p w14:paraId="59029E21" w14:textId="77777777" w:rsidR="0084406A" w:rsidRDefault="002B18AF">
            <w:pPr>
              <w:textAlignment w:val="bottom"/>
            </w:pPr>
            <w:r>
              <w:rPr>
                <w:rFonts w:ascii="Arial" w:eastAsia="宋体" w:hAnsi="Arial" w:cs="Arial"/>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59029E22" w14:textId="77777777" w:rsidR="0084406A" w:rsidRDefault="002B18AF">
            <w:pPr>
              <w:jc w:val="center"/>
              <w:textAlignment w:val="bottom"/>
            </w:pPr>
            <w:r>
              <w:rPr>
                <w:rFonts w:ascii="Arial" w:eastAsia="宋体" w:hAnsi="Arial" w:cs="Arial"/>
                <w:b/>
                <w:bCs/>
                <w:color w:val="000000"/>
                <w:sz w:val="16"/>
                <w:szCs w:val="16"/>
              </w:rPr>
              <w:t>(In millions except contract rates)</w:t>
            </w:r>
          </w:p>
        </w:tc>
      </w:tr>
      <w:tr w:rsidR="0084406A" w14:paraId="59029E30" w14:textId="77777777">
        <w:tc>
          <w:tcPr>
            <w:tcW w:w="0" w:type="auto"/>
            <w:gridSpan w:val="3"/>
            <w:shd w:val="clear" w:color="auto" w:fill="CCEEFF"/>
            <w:tcMar>
              <w:top w:w="40" w:type="dxa"/>
              <w:left w:w="20" w:type="dxa"/>
              <w:bottom w:w="40" w:type="dxa"/>
              <w:right w:w="20" w:type="dxa"/>
            </w:tcMar>
            <w:vAlign w:val="bottom"/>
          </w:tcPr>
          <w:p w14:paraId="59029E24" w14:textId="77777777" w:rsidR="0084406A" w:rsidRDefault="002B18AF">
            <w:pPr>
              <w:textAlignment w:val="bottom"/>
            </w:pPr>
            <w:r>
              <w:rPr>
                <w:rFonts w:ascii="Arial" w:eastAsia="宋体" w:hAnsi="Arial" w:cs="Arial"/>
                <w:color w:val="000000"/>
                <w:sz w:val="20"/>
                <w:szCs w:val="20"/>
              </w:rPr>
              <w:t>Foreign currency forward contracts:</w:t>
            </w:r>
          </w:p>
        </w:tc>
        <w:tc>
          <w:tcPr>
            <w:tcW w:w="0" w:type="auto"/>
            <w:gridSpan w:val="3"/>
            <w:shd w:val="clear" w:color="auto" w:fill="CCEEFF"/>
            <w:tcMar>
              <w:top w:w="0" w:type="dxa"/>
              <w:left w:w="20" w:type="dxa"/>
              <w:bottom w:w="0" w:type="dxa"/>
              <w:right w:w="20" w:type="dxa"/>
            </w:tcMar>
            <w:vAlign w:val="bottom"/>
          </w:tcPr>
          <w:p w14:paraId="59029E2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2F" w14:textId="77777777" w:rsidR="0084406A" w:rsidRDefault="0084406A">
            <w:pPr>
              <w:rPr>
                <w:rFonts w:ascii="宋体"/>
              </w:rPr>
            </w:pPr>
          </w:p>
        </w:tc>
      </w:tr>
      <w:tr w:rsidR="0084406A" w14:paraId="59029E47" w14:textId="77777777">
        <w:tc>
          <w:tcPr>
            <w:tcW w:w="0" w:type="auto"/>
            <w:gridSpan w:val="3"/>
            <w:shd w:val="clear" w:color="auto" w:fill="FFFFFF"/>
            <w:tcMar>
              <w:top w:w="40" w:type="dxa"/>
              <w:left w:w="380" w:type="dxa"/>
              <w:bottom w:w="40" w:type="dxa"/>
              <w:right w:w="20" w:type="dxa"/>
            </w:tcMar>
            <w:vAlign w:val="bottom"/>
          </w:tcPr>
          <w:p w14:paraId="59029E31" w14:textId="77777777" w:rsidR="0084406A" w:rsidRDefault="002B18AF">
            <w:pPr>
              <w:textAlignment w:val="bottom"/>
            </w:pPr>
            <w:r>
              <w:rPr>
                <w:rFonts w:ascii="Arial" w:eastAsia="宋体" w:hAnsi="Arial" w:cs="Arial"/>
                <w:color w:val="000000"/>
                <w:sz w:val="20"/>
                <w:szCs w:val="20"/>
              </w:rPr>
              <w:t>Chinese Renminbi</w:t>
            </w:r>
          </w:p>
        </w:tc>
        <w:tc>
          <w:tcPr>
            <w:tcW w:w="0" w:type="auto"/>
            <w:shd w:val="clear" w:color="auto" w:fill="FFFFFF"/>
            <w:tcMar>
              <w:top w:w="40" w:type="dxa"/>
              <w:left w:w="20" w:type="dxa"/>
              <w:bottom w:w="40" w:type="dxa"/>
              <w:right w:w="0" w:type="dxa"/>
            </w:tcMar>
            <w:vAlign w:val="bottom"/>
          </w:tcPr>
          <w:p w14:paraId="59029E3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E33" w14:textId="77777777" w:rsidR="0084406A" w:rsidRDefault="002B18AF">
            <w:pPr>
              <w:jc w:val="right"/>
              <w:textAlignment w:val="bottom"/>
            </w:pPr>
            <w:r>
              <w:rPr>
                <w:rFonts w:ascii="Arial" w:eastAsia="宋体" w:hAnsi="Arial" w:cs="Arial"/>
                <w:color w:val="000000"/>
                <w:sz w:val="20"/>
                <w:szCs w:val="20"/>
              </w:rPr>
              <w:t>360 </w:t>
            </w:r>
          </w:p>
        </w:tc>
        <w:tc>
          <w:tcPr>
            <w:tcW w:w="0" w:type="auto"/>
            <w:shd w:val="clear" w:color="auto" w:fill="FFFFFF"/>
            <w:tcMar>
              <w:top w:w="40" w:type="dxa"/>
              <w:left w:w="0" w:type="dxa"/>
              <w:bottom w:w="40" w:type="dxa"/>
              <w:right w:w="20" w:type="dxa"/>
            </w:tcMar>
            <w:vAlign w:val="bottom"/>
          </w:tcPr>
          <w:p w14:paraId="59029E3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3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36" w14:textId="77777777" w:rsidR="0084406A" w:rsidRDefault="002B18AF">
            <w:pPr>
              <w:jc w:val="right"/>
              <w:textAlignment w:val="bottom"/>
            </w:pPr>
            <w:r>
              <w:rPr>
                <w:rFonts w:ascii="Arial" w:eastAsia="宋体" w:hAnsi="Arial" w:cs="Arial"/>
                <w:color w:val="000000"/>
                <w:sz w:val="20"/>
                <w:szCs w:val="20"/>
              </w:rPr>
              <w:t>6.5693 </w:t>
            </w:r>
          </w:p>
        </w:tc>
        <w:tc>
          <w:tcPr>
            <w:tcW w:w="0" w:type="auto"/>
            <w:shd w:val="clear" w:color="auto" w:fill="FFFFFF"/>
            <w:tcMar>
              <w:top w:w="40" w:type="dxa"/>
              <w:left w:w="0" w:type="dxa"/>
              <w:bottom w:w="40" w:type="dxa"/>
              <w:right w:w="20" w:type="dxa"/>
            </w:tcMar>
            <w:vAlign w:val="bottom"/>
          </w:tcPr>
          <w:p w14:paraId="59029E3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3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E3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E3A"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59029E3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3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E3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E3E" w14:textId="77777777" w:rsidR="0084406A" w:rsidRDefault="002B18AF">
            <w:pPr>
              <w:jc w:val="right"/>
              <w:textAlignment w:val="bottom"/>
            </w:pPr>
            <w:r>
              <w:rPr>
                <w:rFonts w:ascii="Arial" w:eastAsia="宋体" w:hAnsi="Arial" w:cs="Arial"/>
                <w:color w:val="000000"/>
                <w:sz w:val="20"/>
                <w:szCs w:val="20"/>
              </w:rPr>
              <w:t>261 </w:t>
            </w:r>
          </w:p>
        </w:tc>
        <w:tc>
          <w:tcPr>
            <w:tcW w:w="0" w:type="auto"/>
            <w:shd w:val="clear" w:color="auto" w:fill="FFFFFF"/>
            <w:tcMar>
              <w:top w:w="40" w:type="dxa"/>
              <w:left w:w="0" w:type="dxa"/>
              <w:bottom w:w="40" w:type="dxa"/>
              <w:right w:w="20" w:type="dxa"/>
            </w:tcMar>
            <w:vAlign w:val="bottom"/>
          </w:tcPr>
          <w:p w14:paraId="59029E3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4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41" w14:textId="77777777" w:rsidR="0084406A" w:rsidRDefault="002B18AF">
            <w:pPr>
              <w:jc w:val="right"/>
              <w:textAlignment w:val="bottom"/>
            </w:pPr>
            <w:r>
              <w:rPr>
                <w:rFonts w:ascii="Arial" w:eastAsia="宋体" w:hAnsi="Arial" w:cs="Arial"/>
                <w:color w:val="000000"/>
                <w:sz w:val="20"/>
                <w:szCs w:val="20"/>
              </w:rPr>
              <w:t>6.8160 </w:t>
            </w:r>
          </w:p>
        </w:tc>
        <w:tc>
          <w:tcPr>
            <w:tcW w:w="0" w:type="auto"/>
            <w:shd w:val="clear" w:color="auto" w:fill="FFFFFF"/>
            <w:tcMar>
              <w:top w:w="40" w:type="dxa"/>
              <w:left w:w="0" w:type="dxa"/>
              <w:bottom w:w="40" w:type="dxa"/>
              <w:right w:w="20" w:type="dxa"/>
            </w:tcMar>
            <w:vAlign w:val="bottom"/>
          </w:tcPr>
          <w:p w14:paraId="59029E4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4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E4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E45"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59029E46" w14:textId="77777777" w:rsidR="0084406A" w:rsidRDefault="0084406A">
            <w:pPr>
              <w:jc w:val="right"/>
              <w:rPr>
                <w:rFonts w:ascii="宋体"/>
              </w:rPr>
            </w:pPr>
          </w:p>
        </w:tc>
      </w:tr>
      <w:tr w:rsidR="0084406A" w14:paraId="59029E5A" w14:textId="77777777">
        <w:tc>
          <w:tcPr>
            <w:tcW w:w="0" w:type="auto"/>
            <w:gridSpan w:val="3"/>
            <w:shd w:val="clear" w:color="auto" w:fill="CCEEFF"/>
            <w:tcMar>
              <w:top w:w="40" w:type="dxa"/>
              <w:left w:w="380" w:type="dxa"/>
              <w:bottom w:w="40" w:type="dxa"/>
              <w:right w:w="20" w:type="dxa"/>
            </w:tcMar>
            <w:vAlign w:val="bottom"/>
          </w:tcPr>
          <w:p w14:paraId="59029E48" w14:textId="77777777" w:rsidR="0084406A" w:rsidRDefault="002B18AF">
            <w:pPr>
              <w:textAlignment w:val="bottom"/>
            </w:pPr>
            <w:r>
              <w:rPr>
                <w:rFonts w:ascii="Arial" w:eastAsia="宋体" w:hAnsi="Arial" w:cs="Arial"/>
                <w:color w:val="000000"/>
                <w:sz w:val="20"/>
                <w:szCs w:val="20"/>
              </w:rPr>
              <w:t>Canadian Dollar</w:t>
            </w:r>
          </w:p>
        </w:tc>
        <w:tc>
          <w:tcPr>
            <w:tcW w:w="0" w:type="auto"/>
            <w:gridSpan w:val="2"/>
            <w:shd w:val="clear" w:color="auto" w:fill="CCEEFF"/>
            <w:tcMar>
              <w:top w:w="40" w:type="dxa"/>
              <w:left w:w="20" w:type="dxa"/>
              <w:bottom w:w="40" w:type="dxa"/>
              <w:right w:w="0" w:type="dxa"/>
            </w:tcMar>
            <w:vAlign w:val="bottom"/>
          </w:tcPr>
          <w:p w14:paraId="59029E49" w14:textId="77777777" w:rsidR="0084406A" w:rsidRDefault="002B18AF">
            <w:pPr>
              <w:jc w:val="right"/>
              <w:textAlignment w:val="bottom"/>
            </w:pPr>
            <w:r>
              <w:rPr>
                <w:rFonts w:ascii="Arial" w:eastAsia="宋体" w:hAnsi="Arial" w:cs="Arial"/>
                <w:color w:val="000000"/>
                <w:sz w:val="20"/>
                <w:szCs w:val="20"/>
              </w:rPr>
              <w:t>416 </w:t>
            </w:r>
          </w:p>
        </w:tc>
        <w:tc>
          <w:tcPr>
            <w:tcW w:w="0" w:type="auto"/>
            <w:shd w:val="clear" w:color="auto" w:fill="CCEEFF"/>
            <w:tcMar>
              <w:top w:w="40" w:type="dxa"/>
              <w:left w:w="0" w:type="dxa"/>
              <w:bottom w:w="40" w:type="dxa"/>
              <w:right w:w="20" w:type="dxa"/>
            </w:tcMar>
            <w:vAlign w:val="bottom"/>
          </w:tcPr>
          <w:p w14:paraId="59029E4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4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4C" w14:textId="77777777" w:rsidR="0084406A" w:rsidRDefault="002B18AF">
            <w:pPr>
              <w:jc w:val="right"/>
              <w:textAlignment w:val="bottom"/>
            </w:pPr>
            <w:r>
              <w:rPr>
                <w:rFonts w:ascii="Arial" w:eastAsia="宋体" w:hAnsi="Arial" w:cs="Arial"/>
                <w:color w:val="000000"/>
                <w:sz w:val="20"/>
                <w:szCs w:val="20"/>
              </w:rPr>
              <w:t>1.2646 </w:t>
            </w:r>
          </w:p>
        </w:tc>
        <w:tc>
          <w:tcPr>
            <w:tcW w:w="0" w:type="auto"/>
            <w:shd w:val="clear" w:color="auto" w:fill="CCEEFF"/>
            <w:tcMar>
              <w:top w:w="40" w:type="dxa"/>
              <w:left w:w="0" w:type="dxa"/>
              <w:bottom w:w="40" w:type="dxa"/>
              <w:right w:w="20" w:type="dxa"/>
            </w:tcMar>
            <w:vAlign w:val="bottom"/>
          </w:tcPr>
          <w:p w14:paraId="59029E4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4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4F" w14:textId="77777777" w:rsidR="0084406A" w:rsidRDefault="002B18AF">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59029E5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5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52" w14:textId="77777777" w:rsidR="0084406A" w:rsidRDefault="002B18AF">
            <w:pPr>
              <w:jc w:val="right"/>
              <w:textAlignment w:val="bottom"/>
            </w:pPr>
            <w:r>
              <w:rPr>
                <w:rFonts w:ascii="Arial" w:eastAsia="宋体" w:hAnsi="Arial" w:cs="Arial"/>
                <w:color w:val="000000"/>
                <w:sz w:val="20"/>
                <w:szCs w:val="20"/>
              </w:rPr>
              <w:t>247 </w:t>
            </w:r>
          </w:p>
        </w:tc>
        <w:tc>
          <w:tcPr>
            <w:tcW w:w="0" w:type="auto"/>
            <w:shd w:val="clear" w:color="auto" w:fill="CCEEFF"/>
            <w:tcMar>
              <w:top w:w="40" w:type="dxa"/>
              <w:left w:w="0" w:type="dxa"/>
              <w:bottom w:w="40" w:type="dxa"/>
              <w:right w:w="20" w:type="dxa"/>
            </w:tcMar>
            <w:vAlign w:val="bottom"/>
          </w:tcPr>
          <w:p w14:paraId="59029E5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5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55" w14:textId="77777777" w:rsidR="0084406A" w:rsidRDefault="002B18AF">
            <w:pPr>
              <w:jc w:val="right"/>
              <w:textAlignment w:val="bottom"/>
            </w:pPr>
            <w:r>
              <w:rPr>
                <w:rFonts w:ascii="Arial" w:eastAsia="宋体" w:hAnsi="Arial" w:cs="Arial"/>
                <w:color w:val="000000"/>
                <w:sz w:val="20"/>
                <w:szCs w:val="20"/>
              </w:rPr>
              <w:t>1.3165 </w:t>
            </w:r>
          </w:p>
        </w:tc>
        <w:tc>
          <w:tcPr>
            <w:tcW w:w="0" w:type="auto"/>
            <w:shd w:val="clear" w:color="auto" w:fill="CCEEFF"/>
            <w:tcMar>
              <w:top w:w="40" w:type="dxa"/>
              <w:left w:w="0" w:type="dxa"/>
              <w:bottom w:w="40" w:type="dxa"/>
              <w:right w:w="20" w:type="dxa"/>
            </w:tcMar>
            <w:vAlign w:val="bottom"/>
          </w:tcPr>
          <w:p w14:paraId="59029E5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5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58"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59029E59" w14:textId="77777777" w:rsidR="0084406A" w:rsidRDefault="0084406A">
            <w:pPr>
              <w:jc w:val="right"/>
              <w:rPr>
                <w:rFonts w:ascii="宋体"/>
              </w:rPr>
            </w:pPr>
          </w:p>
        </w:tc>
      </w:tr>
      <w:tr w:rsidR="0084406A" w14:paraId="59029E6D" w14:textId="77777777">
        <w:tc>
          <w:tcPr>
            <w:tcW w:w="0" w:type="auto"/>
            <w:gridSpan w:val="3"/>
            <w:shd w:val="clear" w:color="auto" w:fill="FFFFFF"/>
            <w:tcMar>
              <w:top w:w="40" w:type="dxa"/>
              <w:left w:w="380" w:type="dxa"/>
              <w:bottom w:w="40" w:type="dxa"/>
              <w:right w:w="20" w:type="dxa"/>
            </w:tcMar>
            <w:vAlign w:val="bottom"/>
          </w:tcPr>
          <w:p w14:paraId="59029E5B" w14:textId="77777777" w:rsidR="0084406A" w:rsidRDefault="002B18AF">
            <w:pPr>
              <w:textAlignment w:val="bottom"/>
            </w:pPr>
            <w:r>
              <w:rPr>
                <w:rFonts w:ascii="Arial" w:eastAsia="宋体" w:hAnsi="Arial" w:cs="Arial"/>
                <w:color w:val="000000"/>
                <w:sz w:val="20"/>
                <w:szCs w:val="20"/>
              </w:rPr>
              <w:t>Indian Rupee</w:t>
            </w:r>
          </w:p>
        </w:tc>
        <w:tc>
          <w:tcPr>
            <w:tcW w:w="0" w:type="auto"/>
            <w:gridSpan w:val="2"/>
            <w:shd w:val="clear" w:color="auto" w:fill="FFFFFF"/>
            <w:tcMar>
              <w:top w:w="40" w:type="dxa"/>
              <w:left w:w="20" w:type="dxa"/>
              <w:bottom w:w="40" w:type="dxa"/>
              <w:right w:w="0" w:type="dxa"/>
            </w:tcMar>
            <w:vAlign w:val="bottom"/>
          </w:tcPr>
          <w:p w14:paraId="59029E5C" w14:textId="77777777" w:rsidR="0084406A" w:rsidRDefault="002B18AF">
            <w:pPr>
              <w:jc w:val="right"/>
              <w:textAlignment w:val="bottom"/>
            </w:pPr>
            <w:r>
              <w:rPr>
                <w:rFonts w:ascii="Arial" w:eastAsia="宋体" w:hAnsi="Arial" w:cs="Arial"/>
                <w:color w:val="000000"/>
                <w:sz w:val="20"/>
                <w:szCs w:val="20"/>
              </w:rPr>
              <w:t>162 </w:t>
            </w:r>
          </w:p>
        </w:tc>
        <w:tc>
          <w:tcPr>
            <w:tcW w:w="0" w:type="auto"/>
            <w:shd w:val="clear" w:color="auto" w:fill="FFFFFF"/>
            <w:tcMar>
              <w:top w:w="40" w:type="dxa"/>
              <w:left w:w="0" w:type="dxa"/>
              <w:bottom w:w="40" w:type="dxa"/>
              <w:right w:w="20" w:type="dxa"/>
            </w:tcMar>
            <w:vAlign w:val="bottom"/>
          </w:tcPr>
          <w:p w14:paraId="59029E5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5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5F" w14:textId="77777777" w:rsidR="0084406A" w:rsidRDefault="002B18AF">
            <w:pPr>
              <w:jc w:val="right"/>
              <w:textAlignment w:val="bottom"/>
            </w:pPr>
            <w:r>
              <w:rPr>
                <w:rFonts w:ascii="Arial" w:eastAsia="宋体" w:hAnsi="Arial" w:cs="Arial"/>
                <w:color w:val="000000"/>
                <w:sz w:val="20"/>
                <w:szCs w:val="20"/>
              </w:rPr>
              <w:t>77.3309 </w:t>
            </w:r>
          </w:p>
        </w:tc>
        <w:tc>
          <w:tcPr>
            <w:tcW w:w="0" w:type="auto"/>
            <w:shd w:val="clear" w:color="auto" w:fill="FFFFFF"/>
            <w:tcMar>
              <w:top w:w="40" w:type="dxa"/>
              <w:left w:w="0" w:type="dxa"/>
              <w:bottom w:w="40" w:type="dxa"/>
              <w:right w:w="20" w:type="dxa"/>
            </w:tcMar>
            <w:vAlign w:val="bottom"/>
          </w:tcPr>
          <w:p w14:paraId="59029E6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6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62"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9E6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6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65" w14:textId="77777777" w:rsidR="0084406A" w:rsidRDefault="002B18AF">
            <w:pPr>
              <w:jc w:val="right"/>
              <w:textAlignment w:val="bottom"/>
            </w:pPr>
            <w:r>
              <w:rPr>
                <w:rFonts w:ascii="Arial" w:eastAsia="宋体" w:hAnsi="Arial" w:cs="Arial"/>
                <w:color w:val="000000"/>
                <w:sz w:val="20"/>
                <w:szCs w:val="20"/>
              </w:rPr>
              <w:t>97 </w:t>
            </w:r>
          </w:p>
        </w:tc>
        <w:tc>
          <w:tcPr>
            <w:tcW w:w="0" w:type="auto"/>
            <w:shd w:val="clear" w:color="auto" w:fill="FFFFFF"/>
            <w:tcMar>
              <w:top w:w="40" w:type="dxa"/>
              <w:left w:w="0" w:type="dxa"/>
              <w:bottom w:w="40" w:type="dxa"/>
              <w:right w:w="20" w:type="dxa"/>
            </w:tcMar>
            <w:vAlign w:val="bottom"/>
          </w:tcPr>
          <w:p w14:paraId="59029E6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6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68" w14:textId="77777777" w:rsidR="0084406A" w:rsidRDefault="002B18AF">
            <w:pPr>
              <w:jc w:val="right"/>
              <w:textAlignment w:val="bottom"/>
            </w:pPr>
            <w:r>
              <w:rPr>
                <w:rFonts w:ascii="Arial" w:eastAsia="宋体" w:hAnsi="Arial" w:cs="Arial"/>
                <w:color w:val="000000"/>
                <w:sz w:val="20"/>
                <w:szCs w:val="20"/>
              </w:rPr>
              <w:t>76.0259 </w:t>
            </w:r>
          </w:p>
        </w:tc>
        <w:tc>
          <w:tcPr>
            <w:tcW w:w="0" w:type="auto"/>
            <w:shd w:val="clear" w:color="auto" w:fill="FFFFFF"/>
            <w:tcMar>
              <w:top w:w="40" w:type="dxa"/>
              <w:left w:w="0" w:type="dxa"/>
              <w:bottom w:w="40" w:type="dxa"/>
              <w:right w:w="20" w:type="dxa"/>
            </w:tcMar>
            <w:vAlign w:val="bottom"/>
          </w:tcPr>
          <w:p w14:paraId="59029E6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6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6B"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9E6C" w14:textId="77777777" w:rsidR="0084406A" w:rsidRDefault="0084406A">
            <w:pPr>
              <w:jc w:val="right"/>
              <w:rPr>
                <w:rFonts w:ascii="宋体"/>
              </w:rPr>
            </w:pPr>
          </w:p>
        </w:tc>
      </w:tr>
      <w:tr w:rsidR="0084406A" w14:paraId="59029E80" w14:textId="77777777">
        <w:tc>
          <w:tcPr>
            <w:tcW w:w="0" w:type="auto"/>
            <w:gridSpan w:val="3"/>
            <w:shd w:val="clear" w:color="auto" w:fill="CCEEFF"/>
            <w:tcMar>
              <w:top w:w="40" w:type="dxa"/>
              <w:left w:w="380" w:type="dxa"/>
              <w:bottom w:w="40" w:type="dxa"/>
              <w:right w:w="20" w:type="dxa"/>
            </w:tcMar>
            <w:vAlign w:val="bottom"/>
          </w:tcPr>
          <w:p w14:paraId="59029E6E" w14:textId="77777777" w:rsidR="0084406A" w:rsidRDefault="002B18AF">
            <w:pPr>
              <w:textAlignment w:val="bottom"/>
            </w:pPr>
            <w:r>
              <w:rPr>
                <w:rFonts w:ascii="Arial" w:eastAsia="宋体" w:hAnsi="Arial" w:cs="Arial"/>
                <w:color w:val="000000"/>
                <w:sz w:val="20"/>
                <w:szCs w:val="20"/>
              </w:rPr>
              <w:t>Taiwan Dollar</w:t>
            </w:r>
          </w:p>
        </w:tc>
        <w:tc>
          <w:tcPr>
            <w:tcW w:w="0" w:type="auto"/>
            <w:gridSpan w:val="2"/>
            <w:shd w:val="clear" w:color="auto" w:fill="CCEEFF"/>
            <w:tcMar>
              <w:top w:w="40" w:type="dxa"/>
              <w:left w:w="20" w:type="dxa"/>
              <w:bottom w:w="40" w:type="dxa"/>
              <w:right w:w="0" w:type="dxa"/>
            </w:tcMar>
            <w:vAlign w:val="bottom"/>
          </w:tcPr>
          <w:p w14:paraId="59029E6F" w14:textId="77777777" w:rsidR="0084406A" w:rsidRDefault="002B18AF">
            <w:pPr>
              <w:jc w:val="right"/>
              <w:textAlignment w:val="bottom"/>
            </w:pPr>
            <w:r>
              <w:rPr>
                <w:rFonts w:ascii="Arial" w:eastAsia="宋体" w:hAnsi="Arial" w:cs="Arial"/>
                <w:color w:val="000000"/>
                <w:sz w:val="20"/>
                <w:szCs w:val="20"/>
              </w:rPr>
              <w:t>122 </w:t>
            </w:r>
          </w:p>
        </w:tc>
        <w:tc>
          <w:tcPr>
            <w:tcW w:w="0" w:type="auto"/>
            <w:shd w:val="clear" w:color="auto" w:fill="CCEEFF"/>
            <w:tcMar>
              <w:top w:w="40" w:type="dxa"/>
              <w:left w:w="0" w:type="dxa"/>
              <w:bottom w:w="40" w:type="dxa"/>
              <w:right w:w="20" w:type="dxa"/>
            </w:tcMar>
            <w:vAlign w:val="bottom"/>
          </w:tcPr>
          <w:p w14:paraId="59029E7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7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72" w14:textId="77777777" w:rsidR="0084406A" w:rsidRDefault="002B18AF">
            <w:pPr>
              <w:jc w:val="right"/>
              <w:textAlignment w:val="bottom"/>
            </w:pPr>
            <w:r>
              <w:rPr>
                <w:rFonts w:ascii="Arial" w:eastAsia="宋体" w:hAnsi="Arial" w:cs="Arial"/>
                <w:color w:val="000000"/>
                <w:sz w:val="20"/>
                <w:szCs w:val="20"/>
              </w:rPr>
              <w:t>27.2725 </w:t>
            </w:r>
          </w:p>
        </w:tc>
        <w:tc>
          <w:tcPr>
            <w:tcW w:w="0" w:type="auto"/>
            <w:shd w:val="clear" w:color="auto" w:fill="CCEEFF"/>
            <w:tcMar>
              <w:top w:w="40" w:type="dxa"/>
              <w:left w:w="0" w:type="dxa"/>
              <w:bottom w:w="40" w:type="dxa"/>
              <w:right w:w="20" w:type="dxa"/>
            </w:tcMar>
            <w:vAlign w:val="bottom"/>
          </w:tcPr>
          <w:p w14:paraId="59029E7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7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75"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59029E7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7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78" w14:textId="77777777" w:rsidR="0084406A" w:rsidRDefault="002B18AF">
            <w:pPr>
              <w:jc w:val="right"/>
              <w:textAlignment w:val="bottom"/>
            </w:pPr>
            <w:r>
              <w:rPr>
                <w:rFonts w:ascii="Arial" w:eastAsia="宋体" w:hAnsi="Arial" w:cs="Arial"/>
                <w:color w:val="000000"/>
                <w:sz w:val="20"/>
                <w:szCs w:val="20"/>
              </w:rPr>
              <w:t>58 </w:t>
            </w:r>
          </w:p>
        </w:tc>
        <w:tc>
          <w:tcPr>
            <w:tcW w:w="0" w:type="auto"/>
            <w:shd w:val="clear" w:color="auto" w:fill="CCEEFF"/>
            <w:tcMar>
              <w:top w:w="40" w:type="dxa"/>
              <w:left w:w="0" w:type="dxa"/>
              <w:bottom w:w="40" w:type="dxa"/>
              <w:right w:w="20" w:type="dxa"/>
            </w:tcMar>
            <w:vAlign w:val="bottom"/>
          </w:tcPr>
          <w:p w14:paraId="59029E7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7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7B" w14:textId="77777777" w:rsidR="0084406A" w:rsidRDefault="002B18AF">
            <w:pPr>
              <w:jc w:val="right"/>
              <w:textAlignment w:val="bottom"/>
            </w:pPr>
            <w:r>
              <w:rPr>
                <w:rFonts w:ascii="Arial" w:eastAsia="宋体" w:hAnsi="Arial" w:cs="Arial"/>
                <w:color w:val="000000"/>
                <w:sz w:val="20"/>
                <w:szCs w:val="20"/>
              </w:rPr>
              <w:t>28.0978 </w:t>
            </w:r>
          </w:p>
        </w:tc>
        <w:tc>
          <w:tcPr>
            <w:tcW w:w="0" w:type="auto"/>
            <w:shd w:val="clear" w:color="auto" w:fill="CCEEFF"/>
            <w:tcMar>
              <w:top w:w="40" w:type="dxa"/>
              <w:left w:w="0" w:type="dxa"/>
              <w:bottom w:w="40" w:type="dxa"/>
              <w:right w:w="20" w:type="dxa"/>
            </w:tcMar>
            <w:vAlign w:val="bottom"/>
          </w:tcPr>
          <w:p w14:paraId="59029E7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7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7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E7F" w14:textId="77777777" w:rsidR="0084406A" w:rsidRDefault="0084406A">
            <w:pPr>
              <w:jc w:val="right"/>
              <w:rPr>
                <w:rFonts w:ascii="宋体"/>
              </w:rPr>
            </w:pPr>
          </w:p>
        </w:tc>
      </w:tr>
      <w:tr w:rsidR="0084406A" w14:paraId="59029E93" w14:textId="77777777">
        <w:tc>
          <w:tcPr>
            <w:tcW w:w="0" w:type="auto"/>
            <w:gridSpan w:val="3"/>
            <w:shd w:val="clear" w:color="auto" w:fill="FFFFFF"/>
            <w:tcMar>
              <w:top w:w="40" w:type="dxa"/>
              <w:left w:w="380" w:type="dxa"/>
              <w:bottom w:w="40" w:type="dxa"/>
              <w:right w:w="20" w:type="dxa"/>
            </w:tcMar>
            <w:vAlign w:val="bottom"/>
          </w:tcPr>
          <w:p w14:paraId="59029E81" w14:textId="77777777" w:rsidR="0084406A" w:rsidRDefault="002B18AF">
            <w:pPr>
              <w:textAlignment w:val="bottom"/>
            </w:pPr>
            <w:r>
              <w:rPr>
                <w:rFonts w:ascii="Arial" w:eastAsia="宋体" w:hAnsi="Arial" w:cs="Arial"/>
                <w:color w:val="000000"/>
                <w:sz w:val="20"/>
                <w:szCs w:val="20"/>
              </w:rPr>
              <w:t>Singapore Dollar</w:t>
            </w:r>
          </w:p>
        </w:tc>
        <w:tc>
          <w:tcPr>
            <w:tcW w:w="0" w:type="auto"/>
            <w:gridSpan w:val="2"/>
            <w:shd w:val="clear" w:color="auto" w:fill="FFFFFF"/>
            <w:tcMar>
              <w:top w:w="40" w:type="dxa"/>
              <w:left w:w="20" w:type="dxa"/>
              <w:bottom w:w="40" w:type="dxa"/>
              <w:right w:w="0" w:type="dxa"/>
            </w:tcMar>
            <w:vAlign w:val="bottom"/>
          </w:tcPr>
          <w:p w14:paraId="59029E82" w14:textId="77777777" w:rsidR="0084406A" w:rsidRDefault="002B18AF">
            <w:pPr>
              <w:jc w:val="right"/>
              <w:textAlignment w:val="bottom"/>
            </w:pPr>
            <w:r>
              <w:rPr>
                <w:rFonts w:ascii="Arial" w:eastAsia="宋体" w:hAnsi="Arial" w:cs="Arial"/>
                <w:color w:val="000000"/>
                <w:sz w:val="20"/>
                <w:szCs w:val="20"/>
              </w:rPr>
              <w:t>71 </w:t>
            </w:r>
          </w:p>
        </w:tc>
        <w:tc>
          <w:tcPr>
            <w:tcW w:w="0" w:type="auto"/>
            <w:shd w:val="clear" w:color="auto" w:fill="FFFFFF"/>
            <w:tcMar>
              <w:top w:w="40" w:type="dxa"/>
              <w:left w:w="0" w:type="dxa"/>
              <w:bottom w:w="40" w:type="dxa"/>
              <w:right w:w="20" w:type="dxa"/>
            </w:tcMar>
            <w:vAlign w:val="bottom"/>
          </w:tcPr>
          <w:p w14:paraId="59029E8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8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85" w14:textId="77777777" w:rsidR="0084406A" w:rsidRDefault="002B18AF">
            <w:pPr>
              <w:jc w:val="right"/>
              <w:textAlignment w:val="bottom"/>
            </w:pPr>
            <w:r>
              <w:rPr>
                <w:rFonts w:ascii="Arial" w:eastAsia="宋体" w:hAnsi="Arial" w:cs="Arial"/>
                <w:color w:val="000000"/>
                <w:sz w:val="20"/>
                <w:szCs w:val="20"/>
              </w:rPr>
              <w:t>1.3489 </w:t>
            </w:r>
          </w:p>
        </w:tc>
        <w:tc>
          <w:tcPr>
            <w:tcW w:w="0" w:type="auto"/>
            <w:shd w:val="clear" w:color="auto" w:fill="FFFFFF"/>
            <w:tcMar>
              <w:top w:w="40" w:type="dxa"/>
              <w:left w:w="0" w:type="dxa"/>
              <w:bottom w:w="40" w:type="dxa"/>
              <w:right w:w="20" w:type="dxa"/>
            </w:tcMar>
            <w:vAlign w:val="bottom"/>
          </w:tcPr>
          <w:p w14:paraId="59029E8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8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88"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E8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8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8B" w14:textId="77777777" w:rsidR="0084406A" w:rsidRDefault="002B18AF">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59029E8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8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8E" w14:textId="77777777" w:rsidR="0084406A" w:rsidRDefault="002B18AF">
            <w:pPr>
              <w:jc w:val="right"/>
              <w:textAlignment w:val="bottom"/>
            </w:pPr>
            <w:r>
              <w:rPr>
                <w:rFonts w:ascii="Arial" w:eastAsia="宋体" w:hAnsi="Arial" w:cs="Arial"/>
                <w:color w:val="000000"/>
                <w:sz w:val="20"/>
                <w:szCs w:val="20"/>
              </w:rPr>
              <w:t>1.3574 </w:t>
            </w:r>
          </w:p>
        </w:tc>
        <w:tc>
          <w:tcPr>
            <w:tcW w:w="0" w:type="auto"/>
            <w:shd w:val="clear" w:color="auto" w:fill="FFFFFF"/>
            <w:tcMar>
              <w:top w:w="40" w:type="dxa"/>
              <w:left w:w="0" w:type="dxa"/>
              <w:bottom w:w="40" w:type="dxa"/>
              <w:right w:w="20" w:type="dxa"/>
            </w:tcMar>
            <w:vAlign w:val="bottom"/>
          </w:tcPr>
          <w:p w14:paraId="59029E8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9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91"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9E92" w14:textId="77777777" w:rsidR="0084406A" w:rsidRDefault="0084406A">
            <w:pPr>
              <w:jc w:val="right"/>
              <w:rPr>
                <w:rFonts w:ascii="宋体"/>
              </w:rPr>
            </w:pPr>
          </w:p>
        </w:tc>
      </w:tr>
      <w:tr w:rsidR="0084406A" w14:paraId="59029EA6" w14:textId="77777777">
        <w:tc>
          <w:tcPr>
            <w:tcW w:w="0" w:type="auto"/>
            <w:gridSpan w:val="3"/>
            <w:shd w:val="clear" w:color="auto" w:fill="CCEEFF"/>
            <w:tcMar>
              <w:top w:w="40" w:type="dxa"/>
              <w:left w:w="380" w:type="dxa"/>
              <w:bottom w:w="40" w:type="dxa"/>
              <w:right w:w="20" w:type="dxa"/>
            </w:tcMar>
            <w:vAlign w:val="bottom"/>
          </w:tcPr>
          <w:p w14:paraId="59029E94" w14:textId="77777777" w:rsidR="0084406A" w:rsidRDefault="002B18AF">
            <w:pPr>
              <w:textAlignment w:val="bottom"/>
            </w:pPr>
            <w:r>
              <w:rPr>
                <w:rFonts w:ascii="Arial" w:eastAsia="宋体" w:hAnsi="Arial" w:cs="Arial"/>
                <w:color w:val="000000"/>
                <w:sz w:val="20"/>
                <w:szCs w:val="20"/>
              </w:rPr>
              <w:t>Euro</w:t>
            </w:r>
          </w:p>
        </w:tc>
        <w:tc>
          <w:tcPr>
            <w:tcW w:w="0" w:type="auto"/>
            <w:gridSpan w:val="2"/>
            <w:shd w:val="clear" w:color="auto" w:fill="CCEEFF"/>
            <w:tcMar>
              <w:top w:w="40" w:type="dxa"/>
              <w:left w:w="20" w:type="dxa"/>
              <w:bottom w:w="40" w:type="dxa"/>
              <w:right w:w="0" w:type="dxa"/>
            </w:tcMar>
            <w:vAlign w:val="bottom"/>
          </w:tcPr>
          <w:p w14:paraId="59029E95" w14:textId="77777777" w:rsidR="0084406A" w:rsidRDefault="002B18AF">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59029E9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9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98" w14:textId="77777777" w:rsidR="0084406A" w:rsidRDefault="002B18AF">
            <w:pPr>
              <w:jc w:val="right"/>
              <w:textAlignment w:val="bottom"/>
            </w:pPr>
            <w:r>
              <w:rPr>
                <w:rFonts w:ascii="Arial" w:eastAsia="宋体" w:hAnsi="Arial" w:cs="Arial"/>
                <w:color w:val="000000"/>
                <w:sz w:val="20"/>
                <w:szCs w:val="20"/>
              </w:rPr>
              <w:t>0.8444 </w:t>
            </w:r>
          </w:p>
        </w:tc>
        <w:tc>
          <w:tcPr>
            <w:tcW w:w="0" w:type="auto"/>
            <w:shd w:val="clear" w:color="auto" w:fill="CCEEFF"/>
            <w:tcMar>
              <w:top w:w="40" w:type="dxa"/>
              <w:left w:w="0" w:type="dxa"/>
              <w:bottom w:w="40" w:type="dxa"/>
              <w:right w:w="20" w:type="dxa"/>
            </w:tcMar>
            <w:vAlign w:val="bottom"/>
          </w:tcPr>
          <w:p w14:paraId="59029E9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9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9B" w14:textId="77777777" w:rsidR="0084406A" w:rsidRDefault="002B18AF">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59029E9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9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9E" w14:textId="77777777" w:rsidR="0084406A" w:rsidRDefault="002B18AF">
            <w:pPr>
              <w:jc w:val="right"/>
              <w:textAlignment w:val="bottom"/>
            </w:pPr>
            <w:r>
              <w:rPr>
                <w:rFonts w:ascii="Arial" w:eastAsia="宋体" w:hAnsi="Arial" w:cs="Arial"/>
                <w:color w:val="000000"/>
                <w:sz w:val="20"/>
                <w:szCs w:val="20"/>
              </w:rPr>
              <w:t>35 </w:t>
            </w:r>
          </w:p>
        </w:tc>
        <w:tc>
          <w:tcPr>
            <w:tcW w:w="0" w:type="auto"/>
            <w:shd w:val="clear" w:color="auto" w:fill="CCEEFF"/>
            <w:tcMar>
              <w:top w:w="40" w:type="dxa"/>
              <w:left w:w="0" w:type="dxa"/>
              <w:bottom w:w="40" w:type="dxa"/>
              <w:right w:w="20" w:type="dxa"/>
            </w:tcMar>
            <w:vAlign w:val="bottom"/>
          </w:tcPr>
          <w:p w14:paraId="59029E9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A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A1" w14:textId="77777777" w:rsidR="0084406A" w:rsidRDefault="002B18AF">
            <w:pPr>
              <w:jc w:val="right"/>
              <w:textAlignment w:val="bottom"/>
            </w:pPr>
            <w:r>
              <w:rPr>
                <w:rFonts w:ascii="Arial" w:eastAsia="宋体" w:hAnsi="Arial" w:cs="Arial"/>
                <w:color w:val="000000"/>
                <w:sz w:val="20"/>
                <w:szCs w:val="20"/>
              </w:rPr>
              <w:t>0.8578 </w:t>
            </w:r>
          </w:p>
        </w:tc>
        <w:tc>
          <w:tcPr>
            <w:tcW w:w="0" w:type="auto"/>
            <w:shd w:val="clear" w:color="auto" w:fill="CCEEFF"/>
            <w:tcMar>
              <w:top w:w="40" w:type="dxa"/>
              <w:left w:w="0" w:type="dxa"/>
              <w:bottom w:w="40" w:type="dxa"/>
              <w:right w:w="20" w:type="dxa"/>
            </w:tcMar>
            <w:vAlign w:val="bottom"/>
          </w:tcPr>
          <w:p w14:paraId="59029EA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A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A4"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9EA5" w14:textId="77777777" w:rsidR="0084406A" w:rsidRDefault="0084406A">
            <w:pPr>
              <w:jc w:val="right"/>
              <w:rPr>
                <w:rFonts w:ascii="宋体"/>
              </w:rPr>
            </w:pPr>
          </w:p>
        </w:tc>
      </w:tr>
      <w:tr w:rsidR="0084406A" w14:paraId="59029EB9" w14:textId="77777777">
        <w:tc>
          <w:tcPr>
            <w:tcW w:w="0" w:type="auto"/>
            <w:gridSpan w:val="3"/>
            <w:shd w:val="clear" w:color="auto" w:fill="FFFFFF"/>
            <w:tcMar>
              <w:top w:w="40" w:type="dxa"/>
              <w:left w:w="380" w:type="dxa"/>
              <w:bottom w:w="40" w:type="dxa"/>
              <w:right w:w="20" w:type="dxa"/>
            </w:tcMar>
            <w:vAlign w:val="bottom"/>
          </w:tcPr>
          <w:p w14:paraId="59029EA7" w14:textId="77777777" w:rsidR="0084406A" w:rsidRDefault="002B18AF">
            <w:pPr>
              <w:textAlignment w:val="bottom"/>
            </w:pPr>
            <w:r>
              <w:rPr>
                <w:rFonts w:ascii="Arial" w:eastAsia="宋体" w:hAnsi="Arial" w:cs="Arial"/>
                <w:color w:val="000000"/>
                <w:sz w:val="20"/>
                <w:szCs w:val="20"/>
              </w:rPr>
              <w:t>Pound Sterling</w:t>
            </w:r>
          </w:p>
        </w:tc>
        <w:tc>
          <w:tcPr>
            <w:tcW w:w="0" w:type="auto"/>
            <w:gridSpan w:val="2"/>
            <w:shd w:val="clear" w:color="auto" w:fill="FFFFFF"/>
            <w:tcMar>
              <w:top w:w="40" w:type="dxa"/>
              <w:left w:w="20" w:type="dxa"/>
              <w:bottom w:w="40" w:type="dxa"/>
              <w:right w:w="0" w:type="dxa"/>
            </w:tcMar>
            <w:vAlign w:val="bottom"/>
          </w:tcPr>
          <w:p w14:paraId="59029EA8"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59029EA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A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AB" w14:textId="77777777" w:rsidR="0084406A" w:rsidRDefault="002B18AF">
            <w:pPr>
              <w:jc w:val="right"/>
              <w:textAlignment w:val="bottom"/>
            </w:pPr>
            <w:r>
              <w:rPr>
                <w:rFonts w:ascii="Arial" w:eastAsia="宋体" w:hAnsi="Arial" w:cs="Arial"/>
                <w:color w:val="000000"/>
                <w:sz w:val="20"/>
                <w:szCs w:val="20"/>
              </w:rPr>
              <w:t>0.7317 </w:t>
            </w:r>
          </w:p>
        </w:tc>
        <w:tc>
          <w:tcPr>
            <w:tcW w:w="0" w:type="auto"/>
            <w:shd w:val="clear" w:color="auto" w:fill="FFFFFF"/>
            <w:tcMar>
              <w:top w:w="40" w:type="dxa"/>
              <w:left w:w="0" w:type="dxa"/>
              <w:bottom w:w="40" w:type="dxa"/>
              <w:right w:w="20" w:type="dxa"/>
            </w:tcMar>
            <w:vAlign w:val="bottom"/>
          </w:tcPr>
          <w:p w14:paraId="59029EA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A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A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EA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B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B1"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59029EB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B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B4" w14:textId="77777777" w:rsidR="0084406A" w:rsidRDefault="002B18AF">
            <w:pPr>
              <w:jc w:val="right"/>
              <w:textAlignment w:val="bottom"/>
            </w:pPr>
            <w:r>
              <w:rPr>
                <w:rFonts w:ascii="Arial" w:eastAsia="宋体" w:hAnsi="Arial" w:cs="Arial"/>
                <w:color w:val="000000"/>
                <w:sz w:val="20"/>
                <w:szCs w:val="20"/>
              </w:rPr>
              <w:t>0.7375 </w:t>
            </w:r>
          </w:p>
        </w:tc>
        <w:tc>
          <w:tcPr>
            <w:tcW w:w="0" w:type="auto"/>
            <w:shd w:val="clear" w:color="auto" w:fill="FFFFFF"/>
            <w:tcMar>
              <w:top w:w="40" w:type="dxa"/>
              <w:left w:w="0" w:type="dxa"/>
              <w:bottom w:w="40" w:type="dxa"/>
              <w:right w:w="20" w:type="dxa"/>
            </w:tcMar>
            <w:vAlign w:val="bottom"/>
          </w:tcPr>
          <w:p w14:paraId="59029EB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B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B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EB8" w14:textId="77777777" w:rsidR="0084406A" w:rsidRDefault="0084406A">
            <w:pPr>
              <w:jc w:val="right"/>
              <w:rPr>
                <w:rFonts w:ascii="宋体"/>
              </w:rPr>
            </w:pPr>
          </w:p>
        </w:tc>
      </w:tr>
      <w:tr w:rsidR="0084406A" w14:paraId="59029ECC" w14:textId="77777777">
        <w:tc>
          <w:tcPr>
            <w:tcW w:w="0" w:type="auto"/>
            <w:gridSpan w:val="3"/>
            <w:shd w:val="clear" w:color="auto" w:fill="CCEEFF"/>
            <w:tcMar>
              <w:top w:w="40" w:type="dxa"/>
              <w:left w:w="380" w:type="dxa"/>
              <w:bottom w:w="40" w:type="dxa"/>
              <w:right w:w="20" w:type="dxa"/>
            </w:tcMar>
            <w:vAlign w:val="bottom"/>
          </w:tcPr>
          <w:p w14:paraId="59029EBA" w14:textId="77777777" w:rsidR="0084406A" w:rsidRDefault="002B18AF">
            <w:pPr>
              <w:textAlignment w:val="bottom"/>
            </w:pPr>
            <w:r>
              <w:rPr>
                <w:rFonts w:ascii="Arial" w:eastAsia="宋体" w:hAnsi="Arial" w:cs="Arial"/>
                <w:color w:val="000000"/>
                <w:sz w:val="20"/>
                <w:szCs w:val="20"/>
              </w:rPr>
              <w:t>Malaysian Ringgit</w:t>
            </w:r>
          </w:p>
        </w:tc>
        <w:tc>
          <w:tcPr>
            <w:tcW w:w="0" w:type="auto"/>
            <w:gridSpan w:val="2"/>
            <w:shd w:val="clear" w:color="auto" w:fill="CCEEFF"/>
            <w:tcMar>
              <w:top w:w="40" w:type="dxa"/>
              <w:left w:w="20" w:type="dxa"/>
              <w:bottom w:w="40" w:type="dxa"/>
              <w:right w:w="0" w:type="dxa"/>
            </w:tcMar>
            <w:vAlign w:val="bottom"/>
          </w:tcPr>
          <w:p w14:paraId="59029EBB"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EB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B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B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EB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C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C1"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EC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C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C4"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59029EC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C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C7" w14:textId="77777777" w:rsidR="0084406A" w:rsidRDefault="002B18AF">
            <w:pPr>
              <w:jc w:val="right"/>
              <w:textAlignment w:val="bottom"/>
            </w:pPr>
            <w:r>
              <w:rPr>
                <w:rFonts w:ascii="Arial" w:eastAsia="宋体" w:hAnsi="Arial" w:cs="Arial"/>
                <w:color w:val="000000"/>
                <w:sz w:val="20"/>
                <w:szCs w:val="20"/>
              </w:rPr>
              <w:t>4.0456 </w:t>
            </w:r>
          </w:p>
        </w:tc>
        <w:tc>
          <w:tcPr>
            <w:tcW w:w="0" w:type="auto"/>
            <w:shd w:val="clear" w:color="auto" w:fill="CCEEFF"/>
            <w:tcMar>
              <w:top w:w="40" w:type="dxa"/>
              <w:left w:w="0" w:type="dxa"/>
              <w:bottom w:w="40" w:type="dxa"/>
              <w:right w:w="20" w:type="dxa"/>
            </w:tcMar>
            <w:vAlign w:val="bottom"/>
          </w:tcPr>
          <w:p w14:paraId="59029EC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C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EC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ECB" w14:textId="77777777" w:rsidR="0084406A" w:rsidRDefault="0084406A">
            <w:pPr>
              <w:jc w:val="right"/>
              <w:rPr>
                <w:rFonts w:ascii="宋体"/>
              </w:rPr>
            </w:pPr>
          </w:p>
        </w:tc>
      </w:tr>
      <w:tr w:rsidR="0084406A" w14:paraId="59029EDF" w14:textId="77777777">
        <w:tc>
          <w:tcPr>
            <w:tcW w:w="0" w:type="auto"/>
            <w:gridSpan w:val="3"/>
            <w:shd w:val="clear" w:color="auto" w:fill="FFFFFF"/>
            <w:tcMar>
              <w:top w:w="40" w:type="dxa"/>
              <w:left w:w="380" w:type="dxa"/>
              <w:bottom w:w="40" w:type="dxa"/>
              <w:right w:w="20" w:type="dxa"/>
            </w:tcMar>
            <w:vAlign w:val="bottom"/>
          </w:tcPr>
          <w:p w14:paraId="59029ECD" w14:textId="77777777" w:rsidR="0084406A" w:rsidRDefault="002B18AF">
            <w:pPr>
              <w:textAlignment w:val="bottom"/>
            </w:pPr>
            <w:r>
              <w:rPr>
                <w:rFonts w:ascii="Arial" w:eastAsia="宋体" w:hAnsi="Arial" w:cs="Arial"/>
                <w:color w:val="000000"/>
                <w:sz w:val="20"/>
                <w:szCs w:val="20"/>
              </w:rPr>
              <w:t>Japanese Yen</w:t>
            </w:r>
          </w:p>
        </w:tc>
        <w:tc>
          <w:tcPr>
            <w:tcW w:w="0" w:type="auto"/>
            <w:gridSpan w:val="2"/>
            <w:shd w:val="clear" w:color="auto" w:fill="FFFFFF"/>
            <w:tcMar>
              <w:top w:w="40" w:type="dxa"/>
              <w:left w:w="20" w:type="dxa"/>
              <w:bottom w:w="40" w:type="dxa"/>
              <w:right w:w="0" w:type="dxa"/>
            </w:tcMar>
            <w:vAlign w:val="bottom"/>
          </w:tcPr>
          <w:p w14:paraId="59029ECE"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9EC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D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D1" w14:textId="77777777" w:rsidR="0084406A" w:rsidRDefault="002B18AF">
            <w:pPr>
              <w:jc w:val="right"/>
              <w:textAlignment w:val="bottom"/>
            </w:pPr>
            <w:r>
              <w:rPr>
                <w:rFonts w:ascii="Arial" w:eastAsia="宋体" w:hAnsi="Arial" w:cs="Arial"/>
                <w:color w:val="000000"/>
                <w:sz w:val="20"/>
                <w:szCs w:val="20"/>
              </w:rPr>
              <w:t>114.3214 </w:t>
            </w:r>
          </w:p>
        </w:tc>
        <w:tc>
          <w:tcPr>
            <w:tcW w:w="0" w:type="auto"/>
            <w:shd w:val="clear" w:color="auto" w:fill="FFFFFF"/>
            <w:tcMar>
              <w:top w:w="40" w:type="dxa"/>
              <w:left w:w="0" w:type="dxa"/>
              <w:bottom w:w="40" w:type="dxa"/>
              <w:right w:w="20" w:type="dxa"/>
            </w:tcMar>
            <w:vAlign w:val="bottom"/>
          </w:tcPr>
          <w:p w14:paraId="59029ED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D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D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ED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D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D7"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9ED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D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DA" w14:textId="77777777" w:rsidR="0084406A" w:rsidRDefault="002B18AF">
            <w:pPr>
              <w:jc w:val="right"/>
              <w:textAlignment w:val="bottom"/>
            </w:pPr>
            <w:r>
              <w:rPr>
                <w:rFonts w:ascii="Arial" w:eastAsia="宋体" w:hAnsi="Arial" w:cs="Arial"/>
                <w:color w:val="000000"/>
                <w:sz w:val="20"/>
                <w:szCs w:val="20"/>
              </w:rPr>
              <w:t>103.5000 </w:t>
            </w:r>
          </w:p>
        </w:tc>
        <w:tc>
          <w:tcPr>
            <w:tcW w:w="0" w:type="auto"/>
            <w:shd w:val="clear" w:color="auto" w:fill="FFFFFF"/>
            <w:tcMar>
              <w:top w:w="40" w:type="dxa"/>
              <w:left w:w="0" w:type="dxa"/>
              <w:bottom w:w="40" w:type="dxa"/>
              <w:right w:w="20" w:type="dxa"/>
            </w:tcMar>
            <w:vAlign w:val="bottom"/>
          </w:tcPr>
          <w:p w14:paraId="59029ED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ED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ED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9EDE" w14:textId="77777777" w:rsidR="0084406A" w:rsidRDefault="0084406A">
            <w:pPr>
              <w:jc w:val="right"/>
              <w:rPr>
                <w:rFonts w:ascii="宋体"/>
              </w:rPr>
            </w:pPr>
          </w:p>
        </w:tc>
      </w:tr>
      <w:tr w:rsidR="0084406A" w14:paraId="59029EF4" w14:textId="77777777">
        <w:tc>
          <w:tcPr>
            <w:tcW w:w="0" w:type="auto"/>
            <w:gridSpan w:val="3"/>
            <w:shd w:val="clear" w:color="auto" w:fill="CCEEFF"/>
            <w:tcMar>
              <w:top w:w="40" w:type="dxa"/>
              <w:left w:w="20" w:type="dxa"/>
              <w:bottom w:w="40" w:type="dxa"/>
              <w:right w:w="20" w:type="dxa"/>
            </w:tcMar>
            <w:vAlign w:val="bottom"/>
          </w:tcPr>
          <w:p w14:paraId="59029EE0" w14:textId="77777777" w:rsidR="0084406A" w:rsidRDefault="002B18AF">
            <w:pPr>
              <w:textAlignment w:val="bottom"/>
            </w:pPr>
            <w:r>
              <w:rPr>
                <w:rFonts w:ascii="Arial" w:eastAsia="宋体" w:hAnsi="Arial" w:cs="Arial"/>
                <w:b/>
                <w:bCs/>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EE1" w14:textId="77777777" w:rsidR="0084406A" w:rsidRDefault="002B18AF">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EE2" w14:textId="77777777" w:rsidR="0084406A" w:rsidRDefault="002B18AF">
            <w:pPr>
              <w:jc w:val="right"/>
              <w:textAlignment w:val="bottom"/>
            </w:pPr>
            <w:r>
              <w:rPr>
                <w:rFonts w:ascii="Arial" w:eastAsia="宋体" w:hAnsi="Arial" w:cs="Arial"/>
                <w:b/>
                <w:bCs/>
                <w:color w:val="000000"/>
                <w:sz w:val="20"/>
                <w:szCs w:val="20"/>
              </w:rPr>
              <w:t>1,185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EE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E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E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E6"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EE7" w14:textId="77777777" w:rsidR="0084406A" w:rsidRDefault="002B18AF">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EE8" w14:textId="77777777" w:rsidR="0084406A" w:rsidRDefault="002B18AF">
            <w:pPr>
              <w:jc w:val="right"/>
              <w:textAlignment w:val="bottom"/>
            </w:pPr>
            <w:r>
              <w:rPr>
                <w:rFonts w:ascii="Arial" w:eastAsia="宋体" w:hAnsi="Arial" w:cs="Arial"/>
                <w:b/>
                <w:bCs/>
                <w:color w:val="000000"/>
                <w:sz w:val="20"/>
                <w:szCs w:val="20"/>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EE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EA"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EEB" w14:textId="77777777" w:rsidR="0084406A" w:rsidRDefault="002B18AF">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EEC" w14:textId="77777777" w:rsidR="0084406A" w:rsidRDefault="002B18AF">
            <w:pPr>
              <w:jc w:val="right"/>
              <w:textAlignment w:val="bottom"/>
            </w:pPr>
            <w:r>
              <w:rPr>
                <w:rFonts w:ascii="Arial" w:eastAsia="宋体" w:hAnsi="Arial" w:cs="Arial"/>
                <w:b/>
                <w:bCs/>
                <w:color w:val="000000"/>
                <w:sz w:val="20"/>
                <w:szCs w:val="20"/>
              </w:rPr>
              <w:t>755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EE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EE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E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EF0"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9EF1" w14:textId="77777777" w:rsidR="0084406A" w:rsidRDefault="002B18AF">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9EF2" w14:textId="77777777" w:rsidR="0084406A" w:rsidRDefault="002B18AF">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9EF3" w14:textId="77777777" w:rsidR="0084406A" w:rsidRDefault="0084406A">
            <w:pPr>
              <w:jc w:val="right"/>
              <w:rPr>
                <w:rFonts w:ascii="宋体"/>
              </w:rPr>
            </w:pPr>
          </w:p>
        </w:tc>
      </w:tr>
    </w:tbl>
    <w:p w14:paraId="59029EF5" w14:textId="77777777" w:rsidR="0084406A" w:rsidRDefault="002B18AF">
      <w:pPr>
        <w:jc w:val="center"/>
      </w:pPr>
      <w:r>
        <w:rPr>
          <w:rFonts w:ascii="Arial" w:eastAsia="宋体" w:hAnsi="Arial" w:cs="Arial"/>
          <w:color w:val="000000"/>
          <w:sz w:val="20"/>
          <w:szCs w:val="20"/>
        </w:rPr>
        <w:t>47</w:t>
      </w:r>
    </w:p>
    <w:p w14:paraId="59029EF6" w14:textId="77777777" w:rsidR="0084406A" w:rsidRDefault="002B18AF">
      <w:r>
        <w:pict w14:anchorId="5902BB25">
          <v:rect id="_x0000_i1074" style="width:415.3pt;height:1.5pt" o:hralign="center" o:hrstd="t" o:hr="t" fillcolor="#a0a0a0" stroked="f"/>
        </w:pict>
      </w:r>
    </w:p>
    <w:p w14:paraId="59029EF7" w14:textId="77777777" w:rsidR="0084406A" w:rsidRDefault="0084406A"/>
    <w:p w14:paraId="59029EF8" w14:textId="77777777" w:rsidR="0084406A" w:rsidRDefault="002B18AF">
      <w:pPr>
        <w:spacing w:before="280"/>
        <w:ind w:hanging="1440"/>
      </w:pPr>
      <w:r>
        <w:rPr>
          <w:rFonts w:ascii="Arial" w:eastAsia="宋体" w:hAnsi="Arial" w:cs="Arial"/>
          <w:b/>
          <w:bCs/>
          <w:color w:val="000000"/>
          <w:sz w:val="20"/>
          <w:szCs w:val="20"/>
        </w:rPr>
        <w:t>ITEM 8. FINANCIAL STATEMENTS AND SUPPLEMENTARY DATA</w:t>
      </w:r>
    </w:p>
    <w:p w14:paraId="59029EF9" w14:textId="77777777" w:rsidR="0084406A" w:rsidRDefault="002B18AF">
      <w:pPr>
        <w:spacing w:before="180"/>
        <w:jc w:val="center"/>
      </w:pPr>
      <w:r>
        <w:rPr>
          <w:rFonts w:ascii="Arial" w:eastAsia="宋体" w:hAnsi="Arial" w:cs="Arial"/>
          <w:b/>
          <w:bCs/>
          <w:color w:val="000000"/>
          <w:sz w:val="20"/>
          <w:szCs w:val="20"/>
        </w:rPr>
        <w:t xml:space="preserve">Advanced Micro </w:t>
      </w:r>
      <w:r>
        <w:rPr>
          <w:rFonts w:ascii="Arial" w:eastAsia="宋体" w:hAnsi="Arial" w:cs="Arial"/>
          <w:b/>
          <w:bCs/>
          <w:color w:val="000000"/>
          <w:sz w:val="20"/>
          <w:szCs w:val="20"/>
        </w:rPr>
        <w:t>Devices, Inc.</w:t>
      </w:r>
    </w:p>
    <w:p w14:paraId="59029EFA" w14:textId="77777777" w:rsidR="0084406A" w:rsidRDefault="002B18AF">
      <w:pPr>
        <w:spacing w:before="180"/>
        <w:jc w:val="center"/>
      </w:pPr>
      <w:r>
        <w:rPr>
          <w:rFonts w:ascii="Arial" w:eastAsia="宋体" w:hAnsi="Arial" w:cs="Arial"/>
          <w:b/>
          <w:bCs/>
          <w:color w:val="000000"/>
          <w:sz w:val="20"/>
          <w:szCs w:val="20"/>
        </w:rPr>
        <w:t>Consolidated Statements of Operations</w:t>
      </w:r>
    </w:p>
    <w:p w14:paraId="59029EFB" w14:textId="77777777" w:rsidR="0084406A" w:rsidRDefault="002B18AF">
      <w:pPr>
        <w:jc w:val="center"/>
      </w:pP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64"/>
        <w:gridCol w:w="38"/>
        <w:gridCol w:w="134"/>
        <w:gridCol w:w="1035"/>
        <w:gridCol w:w="38"/>
        <w:gridCol w:w="36"/>
        <w:gridCol w:w="36"/>
        <w:gridCol w:w="36"/>
        <w:gridCol w:w="135"/>
        <w:gridCol w:w="1013"/>
        <w:gridCol w:w="38"/>
        <w:gridCol w:w="36"/>
        <w:gridCol w:w="36"/>
        <w:gridCol w:w="36"/>
        <w:gridCol w:w="135"/>
        <w:gridCol w:w="1013"/>
        <w:gridCol w:w="38"/>
      </w:tblGrid>
      <w:tr w:rsidR="0084406A" w14:paraId="59029F0E" w14:textId="77777777">
        <w:trPr>
          <w:jc w:val="center"/>
        </w:trPr>
        <w:tc>
          <w:tcPr>
            <w:tcW w:w="50" w:type="pct"/>
            <w:shd w:val="clear" w:color="auto" w:fill="auto"/>
            <w:vAlign w:val="bottom"/>
          </w:tcPr>
          <w:p w14:paraId="59029EFC" w14:textId="77777777" w:rsidR="0084406A" w:rsidRDefault="0084406A">
            <w:pPr>
              <w:rPr>
                <w:rFonts w:ascii="宋体"/>
              </w:rPr>
            </w:pPr>
          </w:p>
        </w:tc>
        <w:tc>
          <w:tcPr>
            <w:tcW w:w="2715" w:type="pct"/>
            <w:shd w:val="clear" w:color="auto" w:fill="auto"/>
            <w:vAlign w:val="bottom"/>
          </w:tcPr>
          <w:p w14:paraId="59029EFD" w14:textId="77777777" w:rsidR="0084406A" w:rsidRDefault="0084406A">
            <w:pPr>
              <w:rPr>
                <w:rFonts w:ascii="宋体"/>
              </w:rPr>
            </w:pPr>
          </w:p>
        </w:tc>
        <w:tc>
          <w:tcPr>
            <w:tcW w:w="5" w:type="pct"/>
            <w:shd w:val="clear" w:color="auto" w:fill="auto"/>
            <w:vAlign w:val="bottom"/>
          </w:tcPr>
          <w:p w14:paraId="59029EFE" w14:textId="77777777" w:rsidR="0084406A" w:rsidRDefault="0084406A">
            <w:pPr>
              <w:rPr>
                <w:rFonts w:ascii="宋体"/>
              </w:rPr>
            </w:pPr>
          </w:p>
        </w:tc>
        <w:tc>
          <w:tcPr>
            <w:tcW w:w="50" w:type="pct"/>
            <w:shd w:val="clear" w:color="auto" w:fill="auto"/>
            <w:vAlign w:val="bottom"/>
          </w:tcPr>
          <w:p w14:paraId="59029EFF" w14:textId="77777777" w:rsidR="0084406A" w:rsidRDefault="0084406A">
            <w:pPr>
              <w:rPr>
                <w:rFonts w:ascii="宋体"/>
              </w:rPr>
            </w:pPr>
          </w:p>
        </w:tc>
        <w:tc>
          <w:tcPr>
            <w:tcW w:w="654" w:type="pct"/>
            <w:shd w:val="clear" w:color="auto" w:fill="auto"/>
            <w:vAlign w:val="bottom"/>
          </w:tcPr>
          <w:p w14:paraId="59029F00" w14:textId="77777777" w:rsidR="0084406A" w:rsidRDefault="0084406A">
            <w:pPr>
              <w:rPr>
                <w:rFonts w:ascii="宋体"/>
              </w:rPr>
            </w:pPr>
          </w:p>
        </w:tc>
        <w:tc>
          <w:tcPr>
            <w:tcW w:w="5" w:type="pct"/>
            <w:shd w:val="clear" w:color="auto" w:fill="auto"/>
            <w:vAlign w:val="bottom"/>
          </w:tcPr>
          <w:p w14:paraId="59029F01" w14:textId="77777777" w:rsidR="0084406A" w:rsidRDefault="0084406A">
            <w:pPr>
              <w:rPr>
                <w:rFonts w:ascii="宋体"/>
              </w:rPr>
            </w:pPr>
          </w:p>
        </w:tc>
        <w:tc>
          <w:tcPr>
            <w:tcW w:w="5" w:type="pct"/>
            <w:shd w:val="clear" w:color="auto" w:fill="auto"/>
            <w:vAlign w:val="bottom"/>
          </w:tcPr>
          <w:p w14:paraId="59029F02" w14:textId="77777777" w:rsidR="0084406A" w:rsidRDefault="0084406A">
            <w:pPr>
              <w:rPr>
                <w:rFonts w:ascii="宋体"/>
              </w:rPr>
            </w:pPr>
          </w:p>
        </w:tc>
        <w:tc>
          <w:tcPr>
            <w:tcW w:w="26" w:type="pct"/>
            <w:shd w:val="clear" w:color="auto" w:fill="auto"/>
            <w:vAlign w:val="bottom"/>
          </w:tcPr>
          <w:p w14:paraId="59029F03" w14:textId="77777777" w:rsidR="0084406A" w:rsidRDefault="0084406A">
            <w:pPr>
              <w:rPr>
                <w:rFonts w:ascii="宋体"/>
              </w:rPr>
            </w:pPr>
          </w:p>
        </w:tc>
        <w:tc>
          <w:tcPr>
            <w:tcW w:w="5" w:type="pct"/>
            <w:shd w:val="clear" w:color="auto" w:fill="auto"/>
            <w:vAlign w:val="bottom"/>
          </w:tcPr>
          <w:p w14:paraId="59029F04" w14:textId="77777777" w:rsidR="0084406A" w:rsidRDefault="0084406A">
            <w:pPr>
              <w:rPr>
                <w:rFonts w:ascii="宋体"/>
              </w:rPr>
            </w:pPr>
          </w:p>
        </w:tc>
        <w:tc>
          <w:tcPr>
            <w:tcW w:w="50" w:type="pct"/>
            <w:shd w:val="clear" w:color="auto" w:fill="auto"/>
            <w:vAlign w:val="bottom"/>
          </w:tcPr>
          <w:p w14:paraId="59029F05" w14:textId="77777777" w:rsidR="0084406A" w:rsidRDefault="0084406A">
            <w:pPr>
              <w:rPr>
                <w:rFonts w:ascii="宋体"/>
              </w:rPr>
            </w:pPr>
          </w:p>
        </w:tc>
        <w:tc>
          <w:tcPr>
            <w:tcW w:w="668" w:type="pct"/>
            <w:shd w:val="clear" w:color="auto" w:fill="auto"/>
            <w:vAlign w:val="bottom"/>
          </w:tcPr>
          <w:p w14:paraId="59029F06" w14:textId="77777777" w:rsidR="0084406A" w:rsidRDefault="0084406A">
            <w:pPr>
              <w:rPr>
                <w:rFonts w:ascii="宋体"/>
              </w:rPr>
            </w:pPr>
          </w:p>
        </w:tc>
        <w:tc>
          <w:tcPr>
            <w:tcW w:w="5" w:type="pct"/>
            <w:shd w:val="clear" w:color="auto" w:fill="auto"/>
            <w:vAlign w:val="bottom"/>
          </w:tcPr>
          <w:p w14:paraId="59029F07" w14:textId="77777777" w:rsidR="0084406A" w:rsidRDefault="0084406A">
            <w:pPr>
              <w:rPr>
                <w:rFonts w:ascii="宋体"/>
              </w:rPr>
            </w:pPr>
          </w:p>
        </w:tc>
        <w:tc>
          <w:tcPr>
            <w:tcW w:w="5" w:type="pct"/>
            <w:shd w:val="clear" w:color="auto" w:fill="auto"/>
            <w:vAlign w:val="bottom"/>
          </w:tcPr>
          <w:p w14:paraId="59029F08" w14:textId="77777777" w:rsidR="0084406A" w:rsidRDefault="0084406A">
            <w:pPr>
              <w:rPr>
                <w:rFonts w:ascii="宋体"/>
              </w:rPr>
            </w:pPr>
          </w:p>
        </w:tc>
        <w:tc>
          <w:tcPr>
            <w:tcW w:w="26" w:type="pct"/>
            <w:shd w:val="clear" w:color="auto" w:fill="auto"/>
            <w:vAlign w:val="bottom"/>
          </w:tcPr>
          <w:p w14:paraId="59029F09" w14:textId="77777777" w:rsidR="0084406A" w:rsidRDefault="0084406A">
            <w:pPr>
              <w:rPr>
                <w:rFonts w:ascii="宋体"/>
              </w:rPr>
            </w:pPr>
          </w:p>
        </w:tc>
        <w:tc>
          <w:tcPr>
            <w:tcW w:w="5" w:type="pct"/>
            <w:shd w:val="clear" w:color="auto" w:fill="auto"/>
            <w:vAlign w:val="bottom"/>
          </w:tcPr>
          <w:p w14:paraId="59029F0A" w14:textId="77777777" w:rsidR="0084406A" w:rsidRDefault="0084406A">
            <w:pPr>
              <w:rPr>
                <w:rFonts w:ascii="宋体"/>
              </w:rPr>
            </w:pPr>
          </w:p>
        </w:tc>
        <w:tc>
          <w:tcPr>
            <w:tcW w:w="50" w:type="pct"/>
            <w:shd w:val="clear" w:color="auto" w:fill="auto"/>
            <w:vAlign w:val="bottom"/>
          </w:tcPr>
          <w:p w14:paraId="59029F0B" w14:textId="77777777" w:rsidR="0084406A" w:rsidRDefault="0084406A">
            <w:pPr>
              <w:rPr>
                <w:rFonts w:ascii="宋体"/>
              </w:rPr>
            </w:pPr>
          </w:p>
        </w:tc>
        <w:tc>
          <w:tcPr>
            <w:tcW w:w="668" w:type="pct"/>
            <w:shd w:val="clear" w:color="auto" w:fill="auto"/>
            <w:vAlign w:val="bottom"/>
          </w:tcPr>
          <w:p w14:paraId="59029F0C" w14:textId="77777777" w:rsidR="0084406A" w:rsidRDefault="0084406A">
            <w:pPr>
              <w:rPr>
                <w:rFonts w:ascii="宋体"/>
              </w:rPr>
            </w:pPr>
          </w:p>
        </w:tc>
        <w:tc>
          <w:tcPr>
            <w:tcW w:w="5" w:type="pct"/>
            <w:shd w:val="clear" w:color="auto" w:fill="auto"/>
            <w:vAlign w:val="bottom"/>
          </w:tcPr>
          <w:p w14:paraId="59029F0D" w14:textId="77777777" w:rsidR="0084406A" w:rsidRDefault="0084406A">
            <w:pPr>
              <w:rPr>
                <w:rFonts w:ascii="宋体"/>
              </w:rPr>
            </w:pPr>
          </w:p>
        </w:tc>
      </w:tr>
      <w:tr w:rsidR="0084406A" w14:paraId="59029F11" w14:textId="77777777">
        <w:trPr>
          <w:jc w:val="center"/>
        </w:trPr>
        <w:tc>
          <w:tcPr>
            <w:tcW w:w="0" w:type="auto"/>
            <w:gridSpan w:val="3"/>
            <w:shd w:val="clear" w:color="auto" w:fill="auto"/>
            <w:tcMar>
              <w:top w:w="0" w:type="dxa"/>
              <w:left w:w="20" w:type="dxa"/>
              <w:bottom w:w="0" w:type="dxa"/>
              <w:right w:w="20" w:type="dxa"/>
            </w:tcMar>
            <w:vAlign w:val="bottom"/>
          </w:tcPr>
          <w:p w14:paraId="59029F0F"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9F10"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9F18" w14:textId="77777777">
        <w:trPr>
          <w:jc w:val="center"/>
        </w:trPr>
        <w:tc>
          <w:tcPr>
            <w:tcW w:w="0" w:type="auto"/>
            <w:gridSpan w:val="3"/>
            <w:shd w:val="clear" w:color="auto" w:fill="auto"/>
            <w:tcMar>
              <w:top w:w="0" w:type="dxa"/>
              <w:left w:w="20" w:type="dxa"/>
              <w:bottom w:w="0" w:type="dxa"/>
              <w:right w:w="20" w:type="dxa"/>
            </w:tcMar>
            <w:vAlign w:val="bottom"/>
          </w:tcPr>
          <w:p w14:paraId="59029F12"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9F13"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F14"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F15"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9F16"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9F17"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84406A" w14:paraId="59029F1B" w14:textId="77777777">
        <w:trPr>
          <w:jc w:val="center"/>
        </w:trPr>
        <w:tc>
          <w:tcPr>
            <w:tcW w:w="0" w:type="auto"/>
            <w:gridSpan w:val="3"/>
            <w:shd w:val="clear" w:color="auto" w:fill="auto"/>
            <w:tcMar>
              <w:top w:w="40" w:type="dxa"/>
              <w:left w:w="20" w:type="dxa"/>
              <w:bottom w:w="40" w:type="dxa"/>
              <w:right w:w="20" w:type="dxa"/>
            </w:tcMar>
            <w:vAlign w:val="bottom"/>
          </w:tcPr>
          <w:p w14:paraId="59029F19" w14:textId="77777777" w:rsidR="0084406A" w:rsidRDefault="002B18AF">
            <w:pPr>
              <w:textAlignment w:val="bottom"/>
            </w:pPr>
            <w:r>
              <w:rPr>
                <w:rFonts w:ascii="Arial" w:eastAsia="宋体" w:hAnsi="Arial" w:cs="Arial"/>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9F1A" w14:textId="77777777" w:rsidR="0084406A" w:rsidRDefault="002B18AF">
            <w:pPr>
              <w:jc w:val="center"/>
              <w:textAlignment w:val="bottom"/>
            </w:pPr>
            <w:r>
              <w:rPr>
                <w:rFonts w:ascii="Arial" w:eastAsia="宋体" w:hAnsi="Arial" w:cs="Arial"/>
                <w:b/>
                <w:bCs/>
                <w:color w:val="000000"/>
                <w:sz w:val="16"/>
                <w:szCs w:val="16"/>
              </w:rPr>
              <w:t>(In millions, except per share amounts)</w:t>
            </w:r>
          </w:p>
        </w:tc>
      </w:tr>
      <w:tr w:rsidR="0084406A" w14:paraId="59029F28" w14:textId="77777777">
        <w:trPr>
          <w:jc w:val="center"/>
        </w:trPr>
        <w:tc>
          <w:tcPr>
            <w:tcW w:w="0" w:type="auto"/>
            <w:gridSpan w:val="3"/>
            <w:shd w:val="clear" w:color="auto" w:fill="CCEEFF"/>
            <w:tcMar>
              <w:top w:w="40" w:type="dxa"/>
              <w:left w:w="20" w:type="dxa"/>
              <w:bottom w:w="40" w:type="dxa"/>
              <w:right w:w="20" w:type="dxa"/>
            </w:tcMar>
          </w:tcPr>
          <w:p w14:paraId="59029F1C" w14:textId="77777777" w:rsidR="0084406A" w:rsidRDefault="002B18AF">
            <w:pPr>
              <w:textAlignment w:val="top"/>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59029F1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1E" w14:textId="77777777" w:rsidR="0084406A" w:rsidRDefault="002B18AF">
            <w:pPr>
              <w:jc w:val="right"/>
              <w:textAlignment w:val="bottom"/>
            </w:pPr>
            <w:r>
              <w:rPr>
                <w:rFonts w:ascii="Arial" w:eastAsia="宋体" w:hAnsi="Arial" w:cs="Arial"/>
                <w:color w:val="000000"/>
                <w:sz w:val="20"/>
                <w:szCs w:val="20"/>
              </w:rPr>
              <w:t>16,434 </w:t>
            </w:r>
          </w:p>
        </w:tc>
        <w:tc>
          <w:tcPr>
            <w:tcW w:w="0" w:type="auto"/>
            <w:shd w:val="clear" w:color="auto" w:fill="CCEEFF"/>
            <w:tcMar>
              <w:top w:w="40" w:type="dxa"/>
              <w:left w:w="0" w:type="dxa"/>
              <w:bottom w:w="40" w:type="dxa"/>
              <w:right w:w="20" w:type="dxa"/>
            </w:tcMar>
            <w:vAlign w:val="bottom"/>
          </w:tcPr>
          <w:p w14:paraId="59029F1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20"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F2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22" w14:textId="77777777" w:rsidR="0084406A" w:rsidRDefault="002B18AF">
            <w:pPr>
              <w:jc w:val="right"/>
              <w:textAlignment w:val="bottom"/>
            </w:pPr>
            <w:r>
              <w:rPr>
                <w:rFonts w:ascii="Arial" w:eastAsia="宋体" w:hAnsi="Arial" w:cs="Arial"/>
                <w:color w:val="000000"/>
                <w:sz w:val="20"/>
                <w:szCs w:val="20"/>
              </w:rPr>
              <w:t>9,763 </w:t>
            </w:r>
          </w:p>
        </w:tc>
        <w:tc>
          <w:tcPr>
            <w:tcW w:w="0" w:type="auto"/>
            <w:shd w:val="clear" w:color="auto" w:fill="CCEEFF"/>
            <w:tcMar>
              <w:top w:w="40" w:type="dxa"/>
              <w:left w:w="0" w:type="dxa"/>
              <w:bottom w:w="40" w:type="dxa"/>
              <w:right w:w="20" w:type="dxa"/>
            </w:tcMar>
            <w:vAlign w:val="bottom"/>
          </w:tcPr>
          <w:p w14:paraId="59029F2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24"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F2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26" w14:textId="77777777" w:rsidR="0084406A" w:rsidRDefault="002B18AF">
            <w:pPr>
              <w:jc w:val="right"/>
              <w:textAlignment w:val="bottom"/>
            </w:pPr>
            <w:r>
              <w:rPr>
                <w:rFonts w:ascii="Arial" w:eastAsia="宋体" w:hAnsi="Arial" w:cs="Arial"/>
                <w:color w:val="000000"/>
                <w:sz w:val="20"/>
                <w:szCs w:val="20"/>
              </w:rPr>
              <w:t>6,731 </w:t>
            </w:r>
          </w:p>
        </w:tc>
        <w:tc>
          <w:tcPr>
            <w:tcW w:w="0" w:type="auto"/>
            <w:shd w:val="clear" w:color="auto" w:fill="CCEEFF"/>
            <w:tcMar>
              <w:top w:w="40" w:type="dxa"/>
              <w:left w:w="0" w:type="dxa"/>
              <w:bottom w:w="40" w:type="dxa"/>
              <w:right w:w="20" w:type="dxa"/>
            </w:tcMar>
            <w:vAlign w:val="bottom"/>
          </w:tcPr>
          <w:p w14:paraId="59029F27" w14:textId="77777777" w:rsidR="0084406A" w:rsidRDefault="0084406A">
            <w:pPr>
              <w:jc w:val="right"/>
              <w:rPr>
                <w:rFonts w:ascii="宋体"/>
              </w:rPr>
            </w:pPr>
          </w:p>
        </w:tc>
      </w:tr>
      <w:tr w:rsidR="0084406A" w14:paraId="59029F32" w14:textId="77777777">
        <w:trPr>
          <w:jc w:val="center"/>
        </w:trPr>
        <w:tc>
          <w:tcPr>
            <w:tcW w:w="0" w:type="auto"/>
            <w:gridSpan w:val="3"/>
            <w:shd w:val="clear" w:color="auto" w:fill="FFFFFF"/>
            <w:tcMar>
              <w:top w:w="40" w:type="dxa"/>
              <w:left w:w="20" w:type="dxa"/>
              <w:bottom w:w="40" w:type="dxa"/>
              <w:right w:w="20" w:type="dxa"/>
            </w:tcMar>
            <w:vAlign w:val="bottom"/>
          </w:tcPr>
          <w:p w14:paraId="59029F29" w14:textId="77777777" w:rsidR="0084406A" w:rsidRDefault="002B18AF">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59029F2A" w14:textId="77777777" w:rsidR="0084406A" w:rsidRDefault="002B18AF">
            <w:pPr>
              <w:jc w:val="right"/>
              <w:textAlignment w:val="bottom"/>
            </w:pPr>
            <w:r>
              <w:rPr>
                <w:rFonts w:ascii="Arial" w:eastAsia="宋体" w:hAnsi="Arial" w:cs="Arial"/>
                <w:color w:val="000000"/>
                <w:sz w:val="20"/>
                <w:szCs w:val="20"/>
              </w:rPr>
              <w:t>8,505 </w:t>
            </w:r>
          </w:p>
        </w:tc>
        <w:tc>
          <w:tcPr>
            <w:tcW w:w="0" w:type="auto"/>
            <w:shd w:val="clear" w:color="auto" w:fill="FFFFFF"/>
            <w:tcMar>
              <w:top w:w="40" w:type="dxa"/>
              <w:left w:w="0" w:type="dxa"/>
              <w:bottom w:w="40" w:type="dxa"/>
              <w:right w:w="20" w:type="dxa"/>
            </w:tcMar>
            <w:vAlign w:val="bottom"/>
          </w:tcPr>
          <w:p w14:paraId="59029F2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2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2D" w14:textId="77777777" w:rsidR="0084406A" w:rsidRDefault="002B18AF">
            <w:pPr>
              <w:jc w:val="right"/>
              <w:textAlignment w:val="bottom"/>
            </w:pPr>
            <w:r>
              <w:rPr>
                <w:rFonts w:ascii="Arial" w:eastAsia="宋体" w:hAnsi="Arial" w:cs="Arial"/>
                <w:color w:val="000000"/>
                <w:sz w:val="20"/>
                <w:szCs w:val="20"/>
              </w:rPr>
              <w:t>5,416 </w:t>
            </w:r>
          </w:p>
        </w:tc>
        <w:tc>
          <w:tcPr>
            <w:tcW w:w="0" w:type="auto"/>
            <w:shd w:val="clear" w:color="auto" w:fill="FFFFFF"/>
            <w:tcMar>
              <w:top w:w="40" w:type="dxa"/>
              <w:left w:w="0" w:type="dxa"/>
              <w:bottom w:w="40" w:type="dxa"/>
              <w:right w:w="20" w:type="dxa"/>
            </w:tcMar>
            <w:vAlign w:val="bottom"/>
          </w:tcPr>
          <w:p w14:paraId="59029F2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2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30" w14:textId="77777777" w:rsidR="0084406A" w:rsidRDefault="002B18AF">
            <w:pPr>
              <w:jc w:val="right"/>
              <w:textAlignment w:val="bottom"/>
            </w:pPr>
            <w:r>
              <w:rPr>
                <w:rFonts w:ascii="Arial" w:eastAsia="宋体" w:hAnsi="Arial" w:cs="Arial"/>
                <w:color w:val="000000"/>
                <w:sz w:val="20"/>
                <w:szCs w:val="20"/>
              </w:rPr>
              <w:t>3,863 </w:t>
            </w:r>
          </w:p>
        </w:tc>
        <w:tc>
          <w:tcPr>
            <w:tcW w:w="0" w:type="auto"/>
            <w:shd w:val="clear" w:color="auto" w:fill="FFFFFF"/>
            <w:tcMar>
              <w:top w:w="40" w:type="dxa"/>
              <w:left w:w="0" w:type="dxa"/>
              <w:bottom w:w="40" w:type="dxa"/>
              <w:right w:w="20" w:type="dxa"/>
            </w:tcMar>
            <w:vAlign w:val="bottom"/>
          </w:tcPr>
          <w:p w14:paraId="59029F31" w14:textId="77777777" w:rsidR="0084406A" w:rsidRDefault="0084406A">
            <w:pPr>
              <w:jc w:val="right"/>
              <w:rPr>
                <w:rFonts w:ascii="宋体"/>
              </w:rPr>
            </w:pPr>
          </w:p>
        </w:tc>
      </w:tr>
      <w:tr w:rsidR="0084406A" w14:paraId="59029F3C" w14:textId="77777777">
        <w:trPr>
          <w:jc w:val="center"/>
        </w:trPr>
        <w:tc>
          <w:tcPr>
            <w:tcW w:w="0" w:type="auto"/>
            <w:gridSpan w:val="3"/>
            <w:shd w:val="clear" w:color="auto" w:fill="CCEEFF"/>
            <w:tcMar>
              <w:top w:w="40" w:type="dxa"/>
              <w:left w:w="20" w:type="dxa"/>
              <w:bottom w:w="40" w:type="dxa"/>
              <w:right w:w="20" w:type="dxa"/>
            </w:tcMar>
            <w:vAlign w:val="bottom"/>
          </w:tcPr>
          <w:p w14:paraId="59029F33" w14:textId="77777777" w:rsidR="0084406A" w:rsidRDefault="002B18AF">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9F34" w14:textId="77777777" w:rsidR="0084406A" w:rsidRDefault="002B18AF">
            <w:pPr>
              <w:jc w:val="right"/>
              <w:textAlignment w:val="bottom"/>
            </w:pPr>
            <w:r>
              <w:rPr>
                <w:rFonts w:ascii="Arial" w:eastAsia="宋体" w:hAnsi="Arial" w:cs="Arial"/>
                <w:color w:val="000000"/>
                <w:sz w:val="20"/>
                <w:szCs w:val="20"/>
              </w:rPr>
              <w:t>7,929 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9F3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36"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9F37" w14:textId="77777777" w:rsidR="0084406A" w:rsidRDefault="002B18AF">
            <w:pPr>
              <w:jc w:val="right"/>
              <w:textAlignment w:val="bottom"/>
            </w:pPr>
            <w:r>
              <w:rPr>
                <w:rFonts w:ascii="Arial" w:eastAsia="宋体" w:hAnsi="Arial" w:cs="Arial"/>
                <w:color w:val="000000"/>
                <w:sz w:val="20"/>
                <w:szCs w:val="20"/>
              </w:rPr>
              <w:t>4,347 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9F3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39"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9F3A" w14:textId="77777777" w:rsidR="0084406A" w:rsidRDefault="002B18AF">
            <w:pPr>
              <w:jc w:val="right"/>
              <w:textAlignment w:val="bottom"/>
            </w:pPr>
            <w:r>
              <w:rPr>
                <w:rFonts w:ascii="Arial" w:eastAsia="宋体" w:hAnsi="Arial" w:cs="Arial"/>
                <w:color w:val="000000"/>
                <w:sz w:val="20"/>
                <w:szCs w:val="20"/>
              </w:rPr>
              <w:t>2,868 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9F3B" w14:textId="77777777" w:rsidR="0084406A" w:rsidRDefault="0084406A">
            <w:pPr>
              <w:jc w:val="right"/>
              <w:rPr>
                <w:rFonts w:ascii="宋体"/>
              </w:rPr>
            </w:pPr>
          </w:p>
        </w:tc>
      </w:tr>
      <w:tr w:rsidR="0084406A" w14:paraId="59029F43" w14:textId="77777777">
        <w:trPr>
          <w:trHeight w:val="280"/>
          <w:jc w:val="center"/>
        </w:trPr>
        <w:tc>
          <w:tcPr>
            <w:tcW w:w="0" w:type="auto"/>
            <w:gridSpan w:val="3"/>
            <w:shd w:val="clear" w:color="auto" w:fill="FFFFFF"/>
            <w:tcMar>
              <w:top w:w="0" w:type="dxa"/>
              <w:left w:w="20" w:type="dxa"/>
              <w:bottom w:w="0" w:type="dxa"/>
              <w:right w:w="20" w:type="dxa"/>
            </w:tcMar>
            <w:vAlign w:val="bottom"/>
          </w:tcPr>
          <w:p w14:paraId="59029F3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3E"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3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40"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41"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42" w14:textId="77777777" w:rsidR="0084406A" w:rsidRDefault="0084406A">
            <w:pPr>
              <w:rPr>
                <w:rFonts w:ascii="宋体"/>
              </w:rPr>
            </w:pPr>
          </w:p>
        </w:tc>
      </w:tr>
      <w:tr w:rsidR="0084406A" w14:paraId="59029F4D" w14:textId="77777777">
        <w:trPr>
          <w:jc w:val="center"/>
        </w:trPr>
        <w:tc>
          <w:tcPr>
            <w:tcW w:w="0" w:type="auto"/>
            <w:gridSpan w:val="3"/>
            <w:shd w:val="clear" w:color="auto" w:fill="CCEEFF"/>
            <w:tcMar>
              <w:top w:w="40" w:type="dxa"/>
              <w:left w:w="20" w:type="dxa"/>
              <w:bottom w:w="40" w:type="dxa"/>
              <w:right w:w="20" w:type="dxa"/>
            </w:tcMar>
            <w:vAlign w:val="bottom"/>
          </w:tcPr>
          <w:p w14:paraId="59029F44" w14:textId="77777777" w:rsidR="0084406A" w:rsidRDefault="002B18AF">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59029F45" w14:textId="77777777" w:rsidR="0084406A" w:rsidRDefault="002B18AF">
            <w:pPr>
              <w:jc w:val="right"/>
              <w:textAlignment w:val="bottom"/>
            </w:pPr>
            <w:r>
              <w:rPr>
                <w:rFonts w:ascii="Arial" w:eastAsia="宋体" w:hAnsi="Arial" w:cs="Arial"/>
                <w:color w:val="000000"/>
                <w:sz w:val="20"/>
                <w:szCs w:val="20"/>
              </w:rPr>
              <w:t>2,845 </w:t>
            </w:r>
          </w:p>
        </w:tc>
        <w:tc>
          <w:tcPr>
            <w:tcW w:w="0" w:type="auto"/>
            <w:shd w:val="clear" w:color="auto" w:fill="CCEEFF"/>
            <w:tcMar>
              <w:top w:w="40" w:type="dxa"/>
              <w:left w:w="0" w:type="dxa"/>
              <w:bottom w:w="40" w:type="dxa"/>
              <w:right w:w="20" w:type="dxa"/>
            </w:tcMar>
            <w:vAlign w:val="bottom"/>
          </w:tcPr>
          <w:p w14:paraId="59029F4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4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48" w14:textId="77777777" w:rsidR="0084406A" w:rsidRDefault="002B18AF">
            <w:pPr>
              <w:jc w:val="right"/>
              <w:textAlignment w:val="bottom"/>
            </w:pPr>
            <w:r>
              <w:rPr>
                <w:rFonts w:ascii="Arial" w:eastAsia="宋体" w:hAnsi="Arial" w:cs="Arial"/>
                <w:color w:val="000000"/>
                <w:sz w:val="20"/>
                <w:szCs w:val="20"/>
              </w:rPr>
              <w:t>1,983 </w:t>
            </w:r>
          </w:p>
        </w:tc>
        <w:tc>
          <w:tcPr>
            <w:tcW w:w="0" w:type="auto"/>
            <w:shd w:val="clear" w:color="auto" w:fill="CCEEFF"/>
            <w:tcMar>
              <w:top w:w="40" w:type="dxa"/>
              <w:left w:w="0" w:type="dxa"/>
              <w:bottom w:w="40" w:type="dxa"/>
              <w:right w:w="20" w:type="dxa"/>
            </w:tcMar>
            <w:vAlign w:val="bottom"/>
          </w:tcPr>
          <w:p w14:paraId="59029F4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4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4B" w14:textId="77777777" w:rsidR="0084406A" w:rsidRDefault="002B18AF">
            <w:pPr>
              <w:jc w:val="right"/>
              <w:textAlignment w:val="bottom"/>
            </w:pPr>
            <w:r>
              <w:rPr>
                <w:rFonts w:ascii="Arial" w:eastAsia="宋体" w:hAnsi="Arial" w:cs="Arial"/>
                <w:color w:val="000000"/>
                <w:sz w:val="20"/>
                <w:szCs w:val="20"/>
              </w:rPr>
              <w:t>1,547 </w:t>
            </w:r>
          </w:p>
        </w:tc>
        <w:tc>
          <w:tcPr>
            <w:tcW w:w="0" w:type="auto"/>
            <w:shd w:val="clear" w:color="auto" w:fill="CCEEFF"/>
            <w:tcMar>
              <w:top w:w="40" w:type="dxa"/>
              <w:left w:w="0" w:type="dxa"/>
              <w:bottom w:w="40" w:type="dxa"/>
              <w:right w:w="20" w:type="dxa"/>
            </w:tcMar>
            <w:vAlign w:val="bottom"/>
          </w:tcPr>
          <w:p w14:paraId="59029F4C" w14:textId="77777777" w:rsidR="0084406A" w:rsidRDefault="0084406A">
            <w:pPr>
              <w:jc w:val="right"/>
              <w:rPr>
                <w:rFonts w:ascii="宋体"/>
              </w:rPr>
            </w:pPr>
          </w:p>
        </w:tc>
      </w:tr>
      <w:tr w:rsidR="0084406A" w14:paraId="59029F57" w14:textId="77777777">
        <w:trPr>
          <w:jc w:val="center"/>
        </w:trPr>
        <w:tc>
          <w:tcPr>
            <w:tcW w:w="0" w:type="auto"/>
            <w:gridSpan w:val="3"/>
            <w:shd w:val="clear" w:color="auto" w:fill="FFFFFF"/>
            <w:tcMar>
              <w:top w:w="40" w:type="dxa"/>
              <w:left w:w="20" w:type="dxa"/>
              <w:bottom w:w="40" w:type="dxa"/>
              <w:right w:w="20" w:type="dxa"/>
            </w:tcMar>
            <w:vAlign w:val="bottom"/>
          </w:tcPr>
          <w:p w14:paraId="59029F4E" w14:textId="77777777" w:rsidR="0084406A" w:rsidRDefault="002B18AF">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59029F4F" w14:textId="77777777" w:rsidR="0084406A" w:rsidRDefault="002B18AF">
            <w:pPr>
              <w:jc w:val="right"/>
              <w:textAlignment w:val="bottom"/>
            </w:pPr>
            <w:r>
              <w:rPr>
                <w:rFonts w:ascii="Arial" w:eastAsia="宋体" w:hAnsi="Arial" w:cs="Arial"/>
                <w:color w:val="000000"/>
                <w:sz w:val="20"/>
                <w:szCs w:val="20"/>
              </w:rPr>
              <w:t>1,448 </w:t>
            </w:r>
          </w:p>
        </w:tc>
        <w:tc>
          <w:tcPr>
            <w:tcW w:w="0" w:type="auto"/>
            <w:shd w:val="clear" w:color="auto" w:fill="FFFFFF"/>
            <w:tcMar>
              <w:top w:w="40" w:type="dxa"/>
              <w:left w:w="0" w:type="dxa"/>
              <w:bottom w:w="40" w:type="dxa"/>
              <w:right w:w="20" w:type="dxa"/>
            </w:tcMar>
            <w:vAlign w:val="bottom"/>
          </w:tcPr>
          <w:p w14:paraId="59029F5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5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52" w14:textId="77777777" w:rsidR="0084406A" w:rsidRDefault="002B18AF">
            <w:pPr>
              <w:jc w:val="right"/>
              <w:textAlignment w:val="bottom"/>
            </w:pPr>
            <w:r>
              <w:rPr>
                <w:rFonts w:ascii="Arial" w:eastAsia="宋体" w:hAnsi="Arial" w:cs="Arial"/>
                <w:color w:val="000000"/>
                <w:sz w:val="20"/>
                <w:szCs w:val="20"/>
              </w:rPr>
              <w:t>995 </w:t>
            </w:r>
          </w:p>
        </w:tc>
        <w:tc>
          <w:tcPr>
            <w:tcW w:w="0" w:type="auto"/>
            <w:shd w:val="clear" w:color="auto" w:fill="FFFFFF"/>
            <w:tcMar>
              <w:top w:w="40" w:type="dxa"/>
              <w:left w:w="0" w:type="dxa"/>
              <w:bottom w:w="40" w:type="dxa"/>
              <w:right w:w="20" w:type="dxa"/>
            </w:tcMar>
            <w:vAlign w:val="bottom"/>
          </w:tcPr>
          <w:p w14:paraId="59029F5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5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55" w14:textId="77777777" w:rsidR="0084406A" w:rsidRDefault="002B18AF">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59029F56" w14:textId="77777777" w:rsidR="0084406A" w:rsidRDefault="0084406A">
            <w:pPr>
              <w:jc w:val="right"/>
              <w:rPr>
                <w:rFonts w:ascii="宋体"/>
              </w:rPr>
            </w:pPr>
          </w:p>
        </w:tc>
      </w:tr>
      <w:tr w:rsidR="0084406A" w14:paraId="59029F5E" w14:textId="77777777">
        <w:trPr>
          <w:jc w:val="center"/>
          <w:hidden/>
        </w:trPr>
        <w:tc>
          <w:tcPr>
            <w:tcW w:w="0" w:type="auto"/>
            <w:gridSpan w:val="3"/>
            <w:shd w:val="clear" w:color="auto" w:fill="auto"/>
            <w:vAlign w:val="bottom"/>
          </w:tcPr>
          <w:p w14:paraId="59029F58" w14:textId="77777777" w:rsidR="0084406A" w:rsidRDefault="0084406A">
            <w:pPr>
              <w:rPr>
                <w:rFonts w:ascii="宋体"/>
                <w:vanish/>
              </w:rPr>
            </w:pPr>
          </w:p>
        </w:tc>
        <w:tc>
          <w:tcPr>
            <w:tcW w:w="0" w:type="auto"/>
            <w:gridSpan w:val="3"/>
            <w:shd w:val="clear" w:color="auto" w:fill="auto"/>
            <w:vAlign w:val="bottom"/>
          </w:tcPr>
          <w:p w14:paraId="59029F59" w14:textId="77777777" w:rsidR="0084406A" w:rsidRDefault="0084406A">
            <w:pPr>
              <w:rPr>
                <w:rFonts w:ascii="宋体"/>
                <w:vanish/>
              </w:rPr>
            </w:pPr>
          </w:p>
        </w:tc>
        <w:tc>
          <w:tcPr>
            <w:tcW w:w="0" w:type="auto"/>
            <w:gridSpan w:val="3"/>
            <w:shd w:val="clear" w:color="auto" w:fill="auto"/>
            <w:vAlign w:val="bottom"/>
          </w:tcPr>
          <w:p w14:paraId="59029F5A" w14:textId="77777777" w:rsidR="0084406A" w:rsidRDefault="0084406A">
            <w:pPr>
              <w:rPr>
                <w:rFonts w:ascii="宋体"/>
                <w:vanish/>
              </w:rPr>
            </w:pPr>
          </w:p>
        </w:tc>
        <w:tc>
          <w:tcPr>
            <w:tcW w:w="0" w:type="auto"/>
            <w:gridSpan w:val="3"/>
            <w:shd w:val="clear" w:color="auto" w:fill="auto"/>
            <w:vAlign w:val="bottom"/>
          </w:tcPr>
          <w:p w14:paraId="59029F5B" w14:textId="77777777" w:rsidR="0084406A" w:rsidRDefault="0084406A">
            <w:pPr>
              <w:rPr>
                <w:rFonts w:ascii="宋体"/>
                <w:vanish/>
              </w:rPr>
            </w:pPr>
          </w:p>
        </w:tc>
        <w:tc>
          <w:tcPr>
            <w:tcW w:w="0" w:type="auto"/>
            <w:gridSpan w:val="3"/>
            <w:shd w:val="clear" w:color="auto" w:fill="auto"/>
            <w:vAlign w:val="bottom"/>
          </w:tcPr>
          <w:p w14:paraId="59029F5C" w14:textId="77777777" w:rsidR="0084406A" w:rsidRDefault="0084406A">
            <w:pPr>
              <w:rPr>
                <w:rFonts w:ascii="宋体"/>
                <w:vanish/>
              </w:rPr>
            </w:pPr>
          </w:p>
        </w:tc>
        <w:tc>
          <w:tcPr>
            <w:tcW w:w="0" w:type="auto"/>
            <w:gridSpan w:val="3"/>
            <w:shd w:val="clear" w:color="auto" w:fill="auto"/>
            <w:vAlign w:val="bottom"/>
          </w:tcPr>
          <w:p w14:paraId="59029F5D" w14:textId="77777777" w:rsidR="0084406A" w:rsidRDefault="0084406A">
            <w:pPr>
              <w:rPr>
                <w:rFonts w:ascii="宋体"/>
                <w:vanish/>
              </w:rPr>
            </w:pPr>
          </w:p>
        </w:tc>
      </w:tr>
      <w:tr w:rsidR="0084406A" w14:paraId="59029F68" w14:textId="77777777">
        <w:trPr>
          <w:jc w:val="center"/>
        </w:trPr>
        <w:tc>
          <w:tcPr>
            <w:tcW w:w="0" w:type="auto"/>
            <w:gridSpan w:val="3"/>
            <w:shd w:val="clear" w:color="auto" w:fill="CCEEFF"/>
            <w:tcMar>
              <w:top w:w="40" w:type="dxa"/>
              <w:left w:w="20" w:type="dxa"/>
              <w:bottom w:w="40" w:type="dxa"/>
              <w:right w:w="20" w:type="dxa"/>
            </w:tcMar>
            <w:vAlign w:val="bottom"/>
          </w:tcPr>
          <w:p w14:paraId="59029F5F" w14:textId="77777777" w:rsidR="0084406A" w:rsidRDefault="002B18AF">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59029F60" w14:textId="77777777" w:rsidR="0084406A" w:rsidRDefault="002B18AF">
            <w:pPr>
              <w:jc w:val="right"/>
              <w:textAlignment w:val="bottom"/>
            </w:pPr>
            <w:r>
              <w:rPr>
                <w:rFonts w:ascii="Arial" w:eastAsia="宋体" w:hAnsi="Arial" w:cs="Arial"/>
                <w:color w:val="000000"/>
                <w:sz w:val="20"/>
                <w:szCs w:val="20"/>
              </w:rPr>
              <w:t>(12)</w:t>
            </w:r>
          </w:p>
        </w:tc>
        <w:tc>
          <w:tcPr>
            <w:tcW w:w="0" w:type="auto"/>
            <w:shd w:val="clear" w:color="auto" w:fill="CCEEFF"/>
            <w:tcMar>
              <w:top w:w="40" w:type="dxa"/>
              <w:left w:w="0" w:type="dxa"/>
              <w:bottom w:w="40" w:type="dxa"/>
              <w:right w:w="20" w:type="dxa"/>
            </w:tcMar>
            <w:vAlign w:val="bottom"/>
          </w:tcPr>
          <w:p w14:paraId="59029F6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6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63"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F6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6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66" w14:textId="77777777" w:rsidR="0084406A" w:rsidRDefault="002B18AF">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59029F67" w14:textId="77777777" w:rsidR="0084406A" w:rsidRDefault="0084406A">
            <w:pPr>
              <w:jc w:val="right"/>
              <w:rPr>
                <w:rFonts w:ascii="宋体"/>
              </w:rPr>
            </w:pPr>
          </w:p>
        </w:tc>
      </w:tr>
      <w:tr w:rsidR="0084406A" w14:paraId="59029F72" w14:textId="77777777">
        <w:trPr>
          <w:jc w:val="center"/>
        </w:trPr>
        <w:tc>
          <w:tcPr>
            <w:tcW w:w="0" w:type="auto"/>
            <w:gridSpan w:val="3"/>
            <w:shd w:val="clear" w:color="auto" w:fill="FFFFFF"/>
            <w:tcMar>
              <w:top w:w="40" w:type="dxa"/>
              <w:left w:w="20" w:type="dxa"/>
              <w:bottom w:w="40" w:type="dxa"/>
              <w:right w:w="20" w:type="dxa"/>
            </w:tcMar>
            <w:vAlign w:val="bottom"/>
          </w:tcPr>
          <w:p w14:paraId="59029F69" w14:textId="77777777" w:rsidR="0084406A" w:rsidRDefault="002B18AF">
            <w:pPr>
              <w:textAlignment w:val="bottom"/>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6A" w14:textId="77777777" w:rsidR="0084406A" w:rsidRDefault="002B18AF">
            <w:pPr>
              <w:jc w:val="right"/>
              <w:textAlignment w:val="bottom"/>
            </w:pPr>
            <w:r>
              <w:rPr>
                <w:rFonts w:ascii="Arial" w:eastAsia="宋体" w:hAnsi="Arial" w:cs="Arial"/>
                <w:color w:val="000000"/>
                <w:sz w:val="20"/>
                <w:szCs w:val="20"/>
              </w:rPr>
              <w:t>3,648 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6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6C"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6D" w14:textId="77777777" w:rsidR="0084406A" w:rsidRDefault="002B18AF">
            <w:pPr>
              <w:jc w:val="right"/>
              <w:textAlignment w:val="bottom"/>
            </w:pPr>
            <w:r>
              <w:rPr>
                <w:rFonts w:ascii="Arial" w:eastAsia="宋体" w:hAnsi="Arial" w:cs="Arial"/>
                <w:color w:val="000000"/>
                <w:sz w:val="20"/>
                <w:szCs w:val="20"/>
              </w:rPr>
              <w:t>1,369 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6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6F"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70" w14:textId="77777777" w:rsidR="0084406A" w:rsidRDefault="002B18AF">
            <w:pPr>
              <w:jc w:val="right"/>
              <w:textAlignment w:val="bottom"/>
            </w:pPr>
            <w:r>
              <w:rPr>
                <w:rFonts w:ascii="Arial" w:eastAsia="宋体" w:hAnsi="Arial" w:cs="Arial"/>
                <w:color w:val="000000"/>
                <w:sz w:val="20"/>
                <w:szCs w:val="20"/>
              </w:rPr>
              <w:t>631 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71" w14:textId="77777777" w:rsidR="0084406A" w:rsidRDefault="0084406A">
            <w:pPr>
              <w:jc w:val="right"/>
              <w:rPr>
                <w:rFonts w:ascii="宋体"/>
              </w:rPr>
            </w:pPr>
          </w:p>
        </w:tc>
      </w:tr>
      <w:tr w:rsidR="0084406A" w14:paraId="59029F79" w14:textId="77777777">
        <w:trPr>
          <w:trHeight w:val="280"/>
          <w:jc w:val="center"/>
        </w:trPr>
        <w:tc>
          <w:tcPr>
            <w:tcW w:w="0" w:type="auto"/>
            <w:gridSpan w:val="3"/>
            <w:shd w:val="clear" w:color="auto" w:fill="CCEEFF"/>
            <w:tcMar>
              <w:top w:w="0" w:type="dxa"/>
              <w:left w:w="20" w:type="dxa"/>
              <w:bottom w:w="0" w:type="dxa"/>
              <w:right w:w="20" w:type="dxa"/>
            </w:tcMar>
            <w:vAlign w:val="bottom"/>
          </w:tcPr>
          <w:p w14:paraId="59029F7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7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7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7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7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78" w14:textId="77777777" w:rsidR="0084406A" w:rsidRDefault="0084406A">
            <w:pPr>
              <w:rPr>
                <w:rFonts w:ascii="宋体"/>
              </w:rPr>
            </w:pPr>
          </w:p>
        </w:tc>
      </w:tr>
      <w:tr w:rsidR="0084406A" w14:paraId="59029F83" w14:textId="77777777">
        <w:trPr>
          <w:jc w:val="center"/>
        </w:trPr>
        <w:tc>
          <w:tcPr>
            <w:tcW w:w="0" w:type="auto"/>
            <w:gridSpan w:val="3"/>
            <w:shd w:val="clear" w:color="auto" w:fill="FFFFFF"/>
            <w:tcMar>
              <w:top w:w="40" w:type="dxa"/>
              <w:left w:w="20" w:type="dxa"/>
              <w:bottom w:w="40" w:type="dxa"/>
              <w:right w:w="20" w:type="dxa"/>
            </w:tcMar>
            <w:vAlign w:val="bottom"/>
          </w:tcPr>
          <w:p w14:paraId="59029F7A" w14:textId="77777777" w:rsidR="0084406A" w:rsidRDefault="002B18AF">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59029F7B" w14:textId="77777777" w:rsidR="0084406A" w:rsidRDefault="002B18AF">
            <w:pPr>
              <w:jc w:val="right"/>
              <w:textAlignment w:val="bottom"/>
            </w:pPr>
            <w:r>
              <w:rPr>
                <w:rFonts w:ascii="Arial" w:eastAsia="宋体" w:hAnsi="Arial" w:cs="Arial"/>
                <w:color w:val="000000"/>
                <w:sz w:val="20"/>
                <w:szCs w:val="20"/>
              </w:rPr>
              <w:t>(34)</w:t>
            </w:r>
          </w:p>
        </w:tc>
        <w:tc>
          <w:tcPr>
            <w:tcW w:w="0" w:type="auto"/>
            <w:shd w:val="clear" w:color="auto" w:fill="FFFFFF"/>
            <w:tcMar>
              <w:top w:w="40" w:type="dxa"/>
              <w:left w:w="0" w:type="dxa"/>
              <w:bottom w:w="40" w:type="dxa"/>
              <w:right w:w="20" w:type="dxa"/>
            </w:tcMar>
            <w:vAlign w:val="bottom"/>
          </w:tcPr>
          <w:p w14:paraId="59029F7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7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7E" w14:textId="77777777" w:rsidR="0084406A" w:rsidRDefault="002B18AF">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59029F7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8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81" w14:textId="77777777" w:rsidR="0084406A" w:rsidRDefault="002B18AF">
            <w:pPr>
              <w:jc w:val="right"/>
              <w:textAlignment w:val="bottom"/>
            </w:pPr>
            <w:r>
              <w:rPr>
                <w:rFonts w:ascii="Arial" w:eastAsia="宋体" w:hAnsi="Arial" w:cs="Arial"/>
                <w:color w:val="000000"/>
                <w:sz w:val="20"/>
                <w:szCs w:val="20"/>
              </w:rPr>
              <w:t>(94)</w:t>
            </w:r>
          </w:p>
        </w:tc>
        <w:tc>
          <w:tcPr>
            <w:tcW w:w="0" w:type="auto"/>
            <w:shd w:val="clear" w:color="auto" w:fill="FFFFFF"/>
            <w:tcMar>
              <w:top w:w="40" w:type="dxa"/>
              <w:left w:w="0" w:type="dxa"/>
              <w:bottom w:w="40" w:type="dxa"/>
              <w:right w:w="20" w:type="dxa"/>
            </w:tcMar>
            <w:vAlign w:val="bottom"/>
          </w:tcPr>
          <w:p w14:paraId="59029F82" w14:textId="77777777" w:rsidR="0084406A" w:rsidRDefault="0084406A">
            <w:pPr>
              <w:jc w:val="right"/>
              <w:rPr>
                <w:rFonts w:ascii="宋体"/>
              </w:rPr>
            </w:pPr>
          </w:p>
        </w:tc>
      </w:tr>
      <w:tr w:rsidR="0084406A" w14:paraId="59029F8D" w14:textId="77777777">
        <w:trPr>
          <w:jc w:val="center"/>
        </w:trPr>
        <w:tc>
          <w:tcPr>
            <w:tcW w:w="0" w:type="auto"/>
            <w:gridSpan w:val="3"/>
            <w:shd w:val="clear" w:color="auto" w:fill="CCEEFF"/>
            <w:tcMar>
              <w:top w:w="40" w:type="dxa"/>
              <w:left w:w="20" w:type="dxa"/>
              <w:bottom w:w="40" w:type="dxa"/>
              <w:right w:w="20" w:type="dxa"/>
            </w:tcMar>
            <w:vAlign w:val="bottom"/>
          </w:tcPr>
          <w:p w14:paraId="59029F84" w14:textId="77777777" w:rsidR="0084406A" w:rsidRDefault="002B18AF">
            <w:pPr>
              <w:textAlignment w:val="bottom"/>
            </w:pPr>
            <w:r>
              <w:rPr>
                <w:rFonts w:ascii="Arial" w:eastAsia="宋体"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59029F85" w14:textId="77777777" w:rsidR="0084406A" w:rsidRDefault="002B18AF">
            <w:pPr>
              <w:jc w:val="right"/>
              <w:textAlignment w:val="bottom"/>
            </w:pPr>
            <w:r>
              <w:rPr>
                <w:rFonts w:ascii="Arial" w:eastAsia="宋体" w:hAnsi="Arial" w:cs="Arial"/>
                <w:color w:val="000000"/>
                <w:sz w:val="20"/>
                <w:szCs w:val="20"/>
              </w:rPr>
              <w:t>55 </w:t>
            </w:r>
          </w:p>
        </w:tc>
        <w:tc>
          <w:tcPr>
            <w:tcW w:w="0" w:type="auto"/>
            <w:shd w:val="clear" w:color="auto" w:fill="CCEEFF"/>
            <w:tcMar>
              <w:top w:w="40" w:type="dxa"/>
              <w:left w:w="0" w:type="dxa"/>
              <w:bottom w:w="40" w:type="dxa"/>
              <w:right w:w="20" w:type="dxa"/>
            </w:tcMar>
            <w:vAlign w:val="bottom"/>
          </w:tcPr>
          <w:p w14:paraId="59029F8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8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88" w14:textId="77777777" w:rsidR="0084406A" w:rsidRDefault="002B18AF">
            <w:pPr>
              <w:jc w:val="right"/>
              <w:textAlignment w:val="bottom"/>
            </w:pPr>
            <w:r>
              <w:rPr>
                <w:rFonts w:ascii="Arial" w:eastAsia="宋体" w:hAnsi="Arial" w:cs="Arial"/>
                <w:color w:val="000000"/>
                <w:sz w:val="20"/>
                <w:szCs w:val="20"/>
              </w:rPr>
              <w:t>(47)</w:t>
            </w:r>
          </w:p>
        </w:tc>
        <w:tc>
          <w:tcPr>
            <w:tcW w:w="0" w:type="auto"/>
            <w:shd w:val="clear" w:color="auto" w:fill="CCEEFF"/>
            <w:tcMar>
              <w:top w:w="40" w:type="dxa"/>
              <w:left w:w="0" w:type="dxa"/>
              <w:bottom w:w="40" w:type="dxa"/>
              <w:right w:w="20" w:type="dxa"/>
            </w:tcMar>
            <w:vAlign w:val="bottom"/>
          </w:tcPr>
          <w:p w14:paraId="59029F8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8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8B" w14:textId="77777777" w:rsidR="0084406A" w:rsidRDefault="002B18AF">
            <w:pPr>
              <w:jc w:val="right"/>
              <w:textAlignment w:val="bottom"/>
            </w:pPr>
            <w:r>
              <w:rPr>
                <w:rFonts w:ascii="Arial" w:eastAsia="宋体" w:hAnsi="Arial" w:cs="Arial"/>
                <w:color w:val="000000"/>
                <w:sz w:val="20"/>
                <w:szCs w:val="20"/>
              </w:rPr>
              <w:t>(165)</w:t>
            </w:r>
          </w:p>
        </w:tc>
        <w:tc>
          <w:tcPr>
            <w:tcW w:w="0" w:type="auto"/>
            <w:shd w:val="clear" w:color="auto" w:fill="CCEEFF"/>
            <w:tcMar>
              <w:top w:w="40" w:type="dxa"/>
              <w:left w:w="0" w:type="dxa"/>
              <w:bottom w:w="40" w:type="dxa"/>
              <w:right w:w="20" w:type="dxa"/>
            </w:tcMar>
            <w:vAlign w:val="bottom"/>
          </w:tcPr>
          <w:p w14:paraId="59029F8C" w14:textId="77777777" w:rsidR="0084406A" w:rsidRDefault="0084406A">
            <w:pPr>
              <w:jc w:val="right"/>
              <w:rPr>
                <w:rFonts w:ascii="宋体"/>
              </w:rPr>
            </w:pPr>
          </w:p>
        </w:tc>
      </w:tr>
      <w:tr w:rsidR="0084406A" w14:paraId="59029F97" w14:textId="77777777">
        <w:trPr>
          <w:jc w:val="center"/>
        </w:trPr>
        <w:tc>
          <w:tcPr>
            <w:tcW w:w="0" w:type="auto"/>
            <w:gridSpan w:val="3"/>
            <w:shd w:val="clear" w:color="auto" w:fill="FFFFFF"/>
            <w:tcMar>
              <w:top w:w="40" w:type="dxa"/>
              <w:left w:w="20" w:type="dxa"/>
              <w:bottom w:w="40" w:type="dxa"/>
              <w:right w:w="20" w:type="dxa"/>
            </w:tcMar>
            <w:vAlign w:val="bottom"/>
          </w:tcPr>
          <w:p w14:paraId="59029F8E" w14:textId="77777777" w:rsidR="0084406A" w:rsidRDefault="002B18AF">
            <w:pPr>
              <w:textAlignment w:val="bottom"/>
            </w:pPr>
            <w:r>
              <w:rPr>
                <w:rFonts w:ascii="Arial" w:eastAsia="宋体" w:hAnsi="Arial" w:cs="Arial"/>
                <w:color w:val="000000"/>
                <w:sz w:val="20"/>
                <w:szCs w:val="20"/>
              </w:rPr>
              <w:t xml:space="preserve">Income before income taxes and equity income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8F" w14:textId="77777777" w:rsidR="0084406A" w:rsidRDefault="002B18AF">
            <w:pPr>
              <w:jc w:val="right"/>
              <w:textAlignment w:val="bottom"/>
            </w:pPr>
            <w:r>
              <w:rPr>
                <w:rFonts w:ascii="Arial" w:eastAsia="宋体" w:hAnsi="Arial" w:cs="Arial"/>
                <w:color w:val="000000"/>
                <w:sz w:val="20"/>
                <w:szCs w:val="20"/>
              </w:rPr>
              <w:t>3,669 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9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91"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92" w14:textId="77777777" w:rsidR="0084406A" w:rsidRDefault="002B18AF">
            <w:pPr>
              <w:jc w:val="right"/>
              <w:textAlignment w:val="bottom"/>
            </w:pPr>
            <w:r>
              <w:rPr>
                <w:rFonts w:ascii="Arial" w:eastAsia="宋体" w:hAnsi="Arial" w:cs="Arial"/>
                <w:color w:val="000000"/>
                <w:sz w:val="20"/>
                <w:szCs w:val="20"/>
              </w:rPr>
              <w:t>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9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94"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9F95" w14:textId="77777777" w:rsidR="0084406A" w:rsidRDefault="002B18AF">
            <w:pPr>
              <w:jc w:val="right"/>
              <w:textAlignment w:val="bottom"/>
            </w:pPr>
            <w:r>
              <w:rPr>
                <w:rFonts w:ascii="Arial" w:eastAsia="宋体" w:hAnsi="Arial" w:cs="Arial"/>
                <w:color w:val="000000"/>
                <w:sz w:val="20"/>
                <w:szCs w:val="20"/>
              </w:rPr>
              <w:t>372 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96" w14:textId="77777777" w:rsidR="0084406A" w:rsidRDefault="0084406A">
            <w:pPr>
              <w:jc w:val="right"/>
              <w:rPr>
                <w:rFonts w:ascii="宋体"/>
              </w:rPr>
            </w:pPr>
          </w:p>
        </w:tc>
      </w:tr>
      <w:tr w:rsidR="0084406A" w14:paraId="59029F9E" w14:textId="77777777">
        <w:trPr>
          <w:trHeight w:val="280"/>
          <w:jc w:val="center"/>
        </w:trPr>
        <w:tc>
          <w:tcPr>
            <w:tcW w:w="0" w:type="auto"/>
            <w:gridSpan w:val="3"/>
            <w:shd w:val="clear" w:color="auto" w:fill="CCEEFF"/>
            <w:tcMar>
              <w:top w:w="0" w:type="dxa"/>
              <w:left w:w="20" w:type="dxa"/>
              <w:bottom w:w="0" w:type="dxa"/>
              <w:right w:w="20" w:type="dxa"/>
            </w:tcMar>
            <w:vAlign w:val="bottom"/>
          </w:tcPr>
          <w:p w14:paraId="59029F9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9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9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9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9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9D" w14:textId="77777777" w:rsidR="0084406A" w:rsidRDefault="0084406A">
            <w:pPr>
              <w:rPr>
                <w:rFonts w:ascii="宋体"/>
              </w:rPr>
            </w:pPr>
          </w:p>
        </w:tc>
      </w:tr>
      <w:tr w:rsidR="0084406A" w14:paraId="59029FA8" w14:textId="77777777">
        <w:trPr>
          <w:jc w:val="center"/>
        </w:trPr>
        <w:tc>
          <w:tcPr>
            <w:tcW w:w="0" w:type="auto"/>
            <w:gridSpan w:val="3"/>
            <w:shd w:val="clear" w:color="auto" w:fill="FFFFFF"/>
            <w:tcMar>
              <w:top w:w="40" w:type="dxa"/>
              <w:left w:w="20" w:type="dxa"/>
              <w:bottom w:w="40" w:type="dxa"/>
              <w:right w:w="20" w:type="dxa"/>
            </w:tcMar>
            <w:vAlign w:val="bottom"/>
          </w:tcPr>
          <w:p w14:paraId="59029F9F" w14:textId="77777777" w:rsidR="0084406A" w:rsidRDefault="002B18AF">
            <w:pPr>
              <w:textAlignment w:val="bottom"/>
            </w:pPr>
            <w:r>
              <w:rPr>
                <w:rFonts w:ascii="Arial" w:eastAsia="宋体" w:hAnsi="Arial" w:cs="Arial"/>
                <w:color w:val="000000"/>
                <w:sz w:val="20"/>
                <w:szCs w:val="20"/>
              </w:rPr>
              <w:t xml:space="preserve">Income tax provision </w:t>
            </w:r>
            <w:r>
              <w:rPr>
                <w:rFonts w:ascii="Arial" w:eastAsia="宋体" w:hAnsi="Arial" w:cs="Arial"/>
                <w:color w:val="000000"/>
                <w:sz w:val="20"/>
                <w:szCs w:val="20"/>
              </w:rPr>
              <w:t>(benefit)</w:t>
            </w:r>
          </w:p>
        </w:tc>
        <w:tc>
          <w:tcPr>
            <w:tcW w:w="0" w:type="auto"/>
            <w:gridSpan w:val="2"/>
            <w:shd w:val="clear" w:color="auto" w:fill="FFFFFF"/>
            <w:tcMar>
              <w:top w:w="40" w:type="dxa"/>
              <w:left w:w="20" w:type="dxa"/>
              <w:bottom w:w="40" w:type="dxa"/>
              <w:right w:w="0" w:type="dxa"/>
            </w:tcMar>
            <w:vAlign w:val="bottom"/>
          </w:tcPr>
          <w:p w14:paraId="59029FA0" w14:textId="77777777" w:rsidR="0084406A" w:rsidRDefault="002B18AF">
            <w:pPr>
              <w:jc w:val="right"/>
              <w:textAlignment w:val="bottom"/>
            </w:pPr>
            <w:r>
              <w:rPr>
                <w:rFonts w:ascii="Arial" w:eastAsia="宋体"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59029FA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A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A3" w14:textId="77777777" w:rsidR="0084406A" w:rsidRDefault="002B18AF">
            <w:pPr>
              <w:jc w:val="right"/>
              <w:textAlignment w:val="bottom"/>
            </w:pPr>
            <w:r>
              <w:rPr>
                <w:rFonts w:ascii="Arial" w:eastAsia="宋体" w:hAnsi="Arial" w:cs="Arial"/>
                <w:color w:val="000000"/>
                <w:sz w:val="20"/>
                <w:szCs w:val="20"/>
              </w:rPr>
              <w:t>(1,210)</w:t>
            </w:r>
          </w:p>
        </w:tc>
        <w:tc>
          <w:tcPr>
            <w:tcW w:w="0" w:type="auto"/>
            <w:shd w:val="clear" w:color="auto" w:fill="FFFFFF"/>
            <w:tcMar>
              <w:top w:w="40" w:type="dxa"/>
              <w:left w:w="0" w:type="dxa"/>
              <w:bottom w:w="40" w:type="dxa"/>
              <w:right w:w="20" w:type="dxa"/>
            </w:tcMar>
            <w:vAlign w:val="bottom"/>
          </w:tcPr>
          <w:p w14:paraId="59029FA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A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A6" w14:textId="77777777" w:rsidR="0084406A" w:rsidRDefault="002B18AF">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59029FA7" w14:textId="77777777" w:rsidR="0084406A" w:rsidRDefault="0084406A">
            <w:pPr>
              <w:jc w:val="right"/>
              <w:rPr>
                <w:rFonts w:ascii="宋体"/>
              </w:rPr>
            </w:pPr>
          </w:p>
        </w:tc>
      </w:tr>
      <w:tr w:rsidR="0084406A" w14:paraId="59029FB2" w14:textId="77777777">
        <w:trPr>
          <w:jc w:val="center"/>
        </w:trPr>
        <w:tc>
          <w:tcPr>
            <w:tcW w:w="0" w:type="auto"/>
            <w:gridSpan w:val="3"/>
            <w:shd w:val="clear" w:color="auto" w:fill="CCEEFF"/>
            <w:tcMar>
              <w:top w:w="40" w:type="dxa"/>
              <w:left w:w="20" w:type="dxa"/>
              <w:bottom w:w="40" w:type="dxa"/>
              <w:right w:w="20" w:type="dxa"/>
            </w:tcMar>
            <w:vAlign w:val="bottom"/>
          </w:tcPr>
          <w:p w14:paraId="59029FA9" w14:textId="77777777" w:rsidR="0084406A" w:rsidRDefault="002B18AF">
            <w:pPr>
              <w:textAlignment w:val="bottom"/>
            </w:pPr>
            <w:r>
              <w:rPr>
                <w:rFonts w:ascii="Arial" w:eastAsia="宋体" w:hAnsi="Arial" w:cs="Arial"/>
                <w:color w:val="000000"/>
                <w:sz w:val="20"/>
                <w:szCs w:val="20"/>
              </w:rPr>
              <w:t>Equity income in investee</w:t>
            </w:r>
          </w:p>
        </w:tc>
        <w:tc>
          <w:tcPr>
            <w:tcW w:w="0" w:type="auto"/>
            <w:gridSpan w:val="2"/>
            <w:shd w:val="clear" w:color="auto" w:fill="CCEEFF"/>
            <w:tcMar>
              <w:top w:w="40" w:type="dxa"/>
              <w:left w:w="20" w:type="dxa"/>
              <w:bottom w:w="40" w:type="dxa"/>
              <w:right w:w="0" w:type="dxa"/>
            </w:tcMar>
            <w:vAlign w:val="bottom"/>
          </w:tcPr>
          <w:p w14:paraId="59029FAA"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59029FA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A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AD"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59029FA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A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B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9FB1" w14:textId="77777777" w:rsidR="0084406A" w:rsidRDefault="0084406A">
            <w:pPr>
              <w:jc w:val="right"/>
              <w:rPr>
                <w:rFonts w:ascii="宋体"/>
              </w:rPr>
            </w:pPr>
          </w:p>
        </w:tc>
      </w:tr>
      <w:tr w:rsidR="0084406A" w14:paraId="59029FBF" w14:textId="77777777">
        <w:trPr>
          <w:jc w:val="center"/>
        </w:trPr>
        <w:tc>
          <w:tcPr>
            <w:tcW w:w="0" w:type="auto"/>
            <w:gridSpan w:val="3"/>
            <w:shd w:val="clear" w:color="auto" w:fill="FFFFFF"/>
            <w:tcMar>
              <w:top w:w="40" w:type="dxa"/>
              <w:left w:w="20" w:type="dxa"/>
              <w:bottom w:w="40" w:type="dxa"/>
              <w:right w:w="20" w:type="dxa"/>
            </w:tcMar>
            <w:vAlign w:val="bottom"/>
          </w:tcPr>
          <w:p w14:paraId="59029FB3" w14:textId="77777777" w:rsidR="0084406A" w:rsidRDefault="002B18AF">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9FB4"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9FB5" w14:textId="77777777" w:rsidR="0084406A" w:rsidRDefault="002B18AF">
            <w:pPr>
              <w:jc w:val="right"/>
              <w:textAlignment w:val="bottom"/>
            </w:pPr>
            <w:r>
              <w:rPr>
                <w:rFonts w:ascii="Arial" w:eastAsia="宋体" w:hAnsi="Arial" w:cs="Arial"/>
                <w:color w:val="000000"/>
                <w:sz w:val="20"/>
                <w:szCs w:val="20"/>
              </w:rPr>
              <w:t>3,162 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B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B7"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9FB8"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9FB9" w14:textId="77777777" w:rsidR="0084406A" w:rsidRDefault="002B18AF">
            <w:pPr>
              <w:jc w:val="right"/>
              <w:textAlignment w:val="bottom"/>
            </w:pPr>
            <w:r>
              <w:rPr>
                <w:rFonts w:ascii="Arial" w:eastAsia="宋体" w:hAnsi="Arial" w:cs="Arial"/>
                <w:color w:val="000000"/>
                <w:sz w:val="20"/>
                <w:szCs w:val="20"/>
              </w:rPr>
              <w:t>2,490 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B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BB"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9FB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9FBD" w14:textId="77777777" w:rsidR="0084406A" w:rsidRDefault="002B18AF">
            <w:pPr>
              <w:jc w:val="right"/>
              <w:textAlignment w:val="bottom"/>
            </w:pPr>
            <w:r>
              <w:rPr>
                <w:rFonts w:ascii="Arial" w:eastAsia="宋体" w:hAnsi="Arial" w:cs="Arial"/>
                <w:color w:val="000000"/>
                <w:sz w:val="20"/>
                <w:szCs w:val="20"/>
              </w:rPr>
              <w:t>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9FBE" w14:textId="77777777" w:rsidR="0084406A" w:rsidRDefault="0084406A">
            <w:pPr>
              <w:jc w:val="right"/>
              <w:rPr>
                <w:rFonts w:ascii="宋体"/>
              </w:rPr>
            </w:pPr>
          </w:p>
        </w:tc>
      </w:tr>
      <w:tr w:rsidR="0084406A" w14:paraId="59029FC6" w14:textId="77777777">
        <w:trPr>
          <w:trHeight w:val="280"/>
          <w:jc w:val="center"/>
        </w:trPr>
        <w:tc>
          <w:tcPr>
            <w:tcW w:w="0" w:type="auto"/>
            <w:gridSpan w:val="3"/>
            <w:shd w:val="clear" w:color="auto" w:fill="CCEEFF"/>
            <w:tcMar>
              <w:top w:w="0" w:type="dxa"/>
              <w:left w:w="20" w:type="dxa"/>
              <w:bottom w:w="0" w:type="dxa"/>
              <w:right w:w="20" w:type="dxa"/>
            </w:tcMar>
            <w:vAlign w:val="bottom"/>
          </w:tcPr>
          <w:p w14:paraId="59029FC0"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9FC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C2"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9FC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C4"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9FC5" w14:textId="77777777" w:rsidR="0084406A" w:rsidRDefault="0084406A">
            <w:pPr>
              <w:rPr>
                <w:rFonts w:ascii="宋体"/>
              </w:rPr>
            </w:pPr>
          </w:p>
        </w:tc>
      </w:tr>
      <w:tr w:rsidR="0084406A" w14:paraId="59029FCD" w14:textId="77777777">
        <w:trPr>
          <w:jc w:val="center"/>
        </w:trPr>
        <w:tc>
          <w:tcPr>
            <w:tcW w:w="0" w:type="auto"/>
            <w:gridSpan w:val="3"/>
            <w:shd w:val="clear" w:color="auto" w:fill="FFFFFF"/>
            <w:tcMar>
              <w:top w:w="40" w:type="dxa"/>
              <w:left w:w="20" w:type="dxa"/>
              <w:bottom w:w="40" w:type="dxa"/>
              <w:right w:w="20" w:type="dxa"/>
            </w:tcMar>
            <w:vAlign w:val="bottom"/>
          </w:tcPr>
          <w:p w14:paraId="59029FC7" w14:textId="77777777" w:rsidR="0084406A" w:rsidRDefault="002B18AF">
            <w:pPr>
              <w:textAlignment w:val="bottom"/>
            </w:pPr>
            <w:r>
              <w:rPr>
                <w:rFonts w:ascii="Arial" w:eastAsia="宋体" w:hAnsi="Arial" w:cs="Arial"/>
                <w:color w:val="000000"/>
                <w:sz w:val="20"/>
                <w:szCs w:val="20"/>
              </w:rPr>
              <w:t>Earnings per share</w:t>
            </w:r>
          </w:p>
        </w:tc>
        <w:tc>
          <w:tcPr>
            <w:tcW w:w="0" w:type="auto"/>
            <w:gridSpan w:val="3"/>
            <w:shd w:val="clear" w:color="auto" w:fill="FFFFFF"/>
            <w:tcMar>
              <w:top w:w="0" w:type="dxa"/>
              <w:left w:w="20" w:type="dxa"/>
              <w:bottom w:w="0" w:type="dxa"/>
              <w:right w:w="20" w:type="dxa"/>
            </w:tcMar>
            <w:vAlign w:val="bottom"/>
          </w:tcPr>
          <w:p w14:paraId="59029FC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C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CA"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C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9FCC" w14:textId="77777777" w:rsidR="0084406A" w:rsidRDefault="0084406A">
            <w:pPr>
              <w:rPr>
                <w:rFonts w:ascii="宋体"/>
              </w:rPr>
            </w:pPr>
          </w:p>
        </w:tc>
      </w:tr>
      <w:tr w:rsidR="0084406A" w14:paraId="59029FDA" w14:textId="77777777">
        <w:trPr>
          <w:jc w:val="center"/>
        </w:trPr>
        <w:tc>
          <w:tcPr>
            <w:tcW w:w="0" w:type="auto"/>
            <w:gridSpan w:val="3"/>
            <w:shd w:val="clear" w:color="auto" w:fill="CCEEFF"/>
            <w:tcMar>
              <w:top w:w="40" w:type="dxa"/>
              <w:left w:w="20" w:type="dxa"/>
              <w:bottom w:w="40" w:type="dxa"/>
              <w:right w:w="20" w:type="dxa"/>
            </w:tcMar>
            <w:vAlign w:val="bottom"/>
          </w:tcPr>
          <w:p w14:paraId="59029FCE" w14:textId="77777777" w:rsidR="0084406A" w:rsidRDefault="002B18AF">
            <w:pPr>
              <w:textAlignment w:val="bottom"/>
            </w:pPr>
            <w:r>
              <w:rPr>
                <w:rFonts w:ascii="Arial" w:eastAsia="宋体" w:hAnsi="Arial" w:cs="Arial"/>
                <w:color w:val="000000"/>
                <w:sz w:val="20"/>
                <w:szCs w:val="20"/>
              </w:rPr>
              <w:t>  Basic</w:t>
            </w:r>
          </w:p>
        </w:tc>
        <w:tc>
          <w:tcPr>
            <w:tcW w:w="0" w:type="auto"/>
            <w:shd w:val="clear" w:color="auto" w:fill="CCEEFF"/>
            <w:tcMar>
              <w:top w:w="40" w:type="dxa"/>
              <w:left w:w="20" w:type="dxa"/>
              <w:bottom w:w="40" w:type="dxa"/>
              <w:right w:w="0" w:type="dxa"/>
            </w:tcMar>
            <w:vAlign w:val="bottom"/>
          </w:tcPr>
          <w:p w14:paraId="59029FC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D0" w14:textId="77777777" w:rsidR="0084406A" w:rsidRDefault="002B18AF">
            <w:pPr>
              <w:jc w:val="right"/>
              <w:textAlignment w:val="bottom"/>
            </w:pPr>
            <w:r>
              <w:rPr>
                <w:rFonts w:ascii="Arial" w:eastAsia="宋体" w:hAnsi="Arial" w:cs="Arial"/>
                <w:color w:val="000000"/>
                <w:sz w:val="20"/>
                <w:szCs w:val="20"/>
              </w:rPr>
              <w:t>2.61 </w:t>
            </w:r>
          </w:p>
        </w:tc>
        <w:tc>
          <w:tcPr>
            <w:tcW w:w="0" w:type="auto"/>
            <w:shd w:val="clear" w:color="auto" w:fill="CCEEFF"/>
            <w:tcMar>
              <w:top w:w="40" w:type="dxa"/>
              <w:left w:w="0" w:type="dxa"/>
              <w:bottom w:w="40" w:type="dxa"/>
              <w:right w:w="20" w:type="dxa"/>
            </w:tcMar>
            <w:vAlign w:val="bottom"/>
          </w:tcPr>
          <w:p w14:paraId="59029FD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D2"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FD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D4" w14:textId="77777777" w:rsidR="0084406A" w:rsidRDefault="002B18AF">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59029FD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D6"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9FD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9FD8" w14:textId="77777777" w:rsidR="0084406A" w:rsidRDefault="002B18AF">
            <w:pPr>
              <w:jc w:val="right"/>
              <w:textAlignment w:val="bottom"/>
            </w:pPr>
            <w:r>
              <w:rPr>
                <w:rFonts w:ascii="Arial" w:eastAsia="宋体" w:hAnsi="Arial" w:cs="Arial"/>
                <w:color w:val="000000"/>
                <w:sz w:val="20"/>
                <w:szCs w:val="20"/>
              </w:rPr>
              <w:t>0.31 </w:t>
            </w:r>
          </w:p>
        </w:tc>
        <w:tc>
          <w:tcPr>
            <w:tcW w:w="0" w:type="auto"/>
            <w:shd w:val="clear" w:color="auto" w:fill="CCEEFF"/>
            <w:tcMar>
              <w:top w:w="40" w:type="dxa"/>
              <w:left w:w="0" w:type="dxa"/>
              <w:bottom w:w="40" w:type="dxa"/>
              <w:right w:w="20" w:type="dxa"/>
            </w:tcMar>
            <w:vAlign w:val="bottom"/>
          </w:tcPr>
          <w:p w14:paraId="59029FD9" w14:textId="77777777" w:rsidR="0084406A" w:rsidRDefault="0084406A">
            <w:pPr>
              <w:jc w:val="right"/>
              <w:rPr>
                <w:rFonts w:ascii="宋体"/>
              </w:rPr>
            </w:pPr>
          </w:p>
        </w:tc>
      </w:tr>
      <w:tr w:rsidR="0084406A" w14:paraId="59029FE7" w14:textId="77777777">
        <w:trPr>
          <w:jc w:val="center"/>
        </w:trPr>
        <w:tc>
          <w:tcPr>
            <w:tcW w:w="0" w:type="auto"/>
            <w:gridSpan w:val="3"/>
            <w:shd w:val="clear" w:color="auto" w:fill="FFFFFF"/>
            <w:tcMar>
              <w:top w:w="40" w:type="dxa"/>
              <w:left w:w="20" w:type="dxa"/>
              <w:bottom w:w="40" w:type="dxa"/>
              <w:right w:w="20" w:type="dxa"/>
            </w:tcMar>
            <w:vAlign w:val="bottom"/>
          </w:tcPr>
          <w:p w14:paraId="59029FDB" w14:textId="77777777" w:rsidR="0084406A" w:rsidRDefault="002B18AF">
            <w:pPr>
              <w:textAlignment w:val="bottom"/>
            </w:pPr>
            <w:r>
              <w:rPr>
                <w:rFonts w:ascii="Arial" w:eastAsia="宋体" w:hAnsi="Arial" w:cs="Arial"/>
                <w:color w:val="000000"/>
                <w:sz w:val="20"/>
                <w:szCs w:val="20"/>
              </w:rPr>
              <w:t>  Diluted</w:t>
            </w:r>
          </w:p>
        </w:tc>
        <w:tc>
          <w:tcPr>
            <w:tcW w:w="0" w:type="auto"/>
            <w:shd w:val="clear" w:color="auto" w:fill="FFFFFF"/>
            <w:tcMar>
              <w:top w:w="40" w:type="dxa"/>
              <w:left w:w="20" w:type="dxa"/>
              <w:bottom w:w="40" w:type="dxa"/>
              <w:right w:w="0" w:type="dxa"/>
            </w:tcMar>
            <w:vAlign w:val="bottom"/>
          </w:tcPr>
          <w:p w14:paraId="59029FD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FDD" w14:textId="77777777" w:rsidR="0084406A" w:rsidRDefault="002B18AF">
            <w:pPr>
              <w:jc w:val="right"/>
              <w:textAlignment w:val="bottom"/>
            </w:pPr>
            <w:r>
              <w:rPr>
                <w:rFonts w:ascii="Arial" w:eastAsia="宋体" w:hAnsi="Arial" w:cs="Arial"/>
                <w:color w:val="000000"/>
                <w:sz w:val="20"/>
                <w:szCs w:val="20"/>
              </w:rPr>
              <w:t>2.57 </w:t>
            </w:r>
          </w:p>
        </w:tc>
        <w:tc>
          <w:tcPr>
            <w:tcW w:w="0" w:type="auto"/>
            <w:shd w:val="clear" w:color="auto" w:fill="FFFFFF"/>
            <w:tcMar>
              <w:top w:w="40" w:type="dxa"/>
              <w:left w:w="0" w:type="dxa"/>
              <w:bottom w:w="40" w:type="dxa"/>
              <w:right w:w="20" w:type="dxa"/>
            </w:tcMar>
            <w:vAlign w:val="bottom"/>
          </w:tcPr>
          <w:p w14:paraId="59029FD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DF"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FE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FE1" w14:textId="77777777" w:rsidR="0084406A" w:rsidRDefault="002B18AF">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59029FE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E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9FE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9FE5" w14:textId="77777777" w:rsidR="0084406A" w:rsidRDefault="002B18AF">
            <w:pPr>
              <w:jc w:val="right"/>
              <w:textAlignment w:val="bottom"/>
            </w:pPr>
            <w:r>
              <w:rPr>
                <w:rFonts w:ascii="Arial" w:eastAsia="宋体" w:hAnsi="Arial" w:cs="Arial"/>
                <w:color w:val="000000"/>
                <w:sz w:val="20"/>
                <w:szCs w:val="20"/>
              </w:rPr>
              <w:t>0.30 </w:t>
            </w:r>
          </w:p>
        </w:tc>
        <w:tc>
          <w:tcPr>
            <w:tcW w:w="0" w:type="auto"/>
            <w:shd w:val="clear" w:color="auto" w:fill="FFFFFF"/>
            <w:tcMar>
              <w:top w:w="40" w:type="dxa"/>
              <w:left w:w="0" w:type="dxa"/>
              <w:bottom w:w="40" w:type="dxa"/>
              <w:right w:w="20" w:type="dxa"/>
            </w:tcMar>
            <w:vAlign w:val="bottom"/>
          </w:tcPr>
          <w:p w14:paraId="59029FE6" w14:textId="77777777" w:rsidR="0084406A" w:rsidRDefault="0084406A">
            <w:pPr>
              <w:jc w:val="right"/>
              <w:rPr>
                <w:rFonts w:ascii="宋体"/>
              </w:rPr>
            </w:pPr>
          </w:p>
        </w:tc>
      </w:tr>
      <w:tr w:rsidR="0084406A" w14:paraId="59029FEE" w14:textId="77777777">
        <w:trPr>
          <w:jc w:val="center"/>
        </w:trPr>
        <w:tc>
          <w:tcPr>
            <w:tcW w:w="0" w:type="auto"/>
            <w:gridSpan w:val="3"/>
            <w:shd w:val="clear" w:color="auto" w:fill="CCEEFF"/>
            <w:tcMar>
              <w:top w:w="40" w:type="dxa"/>
              <w:left w:w="20" w:type="dxa"/>
              <w:bottom w:w="40" w:type="dxa"/>
              <w:right w:w="20" w:type="dxa"/>
            </w:tcMar>
            <w:vAlign w:val="bottom"/>
          </w:tcPr>
          <w:p w14:paraId="59029FE8" w14:textId="77777777" w:rsidR="0084406A" w:rsidRDefault="002B18AF">
            <w:pPr>
              <w:textAlignment w:val="bottom"/>
            </w:pPr>
            <w:r>
              <w:rPr>
                <w:rFonts w:ascii="Arial" w:eastAsia="宋体" w:hAnsi="Arial" w:cs="Arial"/>
                <w:color w:val="000000"/>
                <w:sz w:val="20"/>
                <w:szCs w:val="20"/>
              </w:rPr>
              <w:t>Shares used in per share calculation</w:t>
            </w:r>
          </w:p>
        </w:tc>
        <w:tc>
          <w:tcPr>
            <w:tcW w:w="0" w:type="auto"/>
            <w:gridSpan w:val="3"/>
            <w:shd w:val="clear" w:color="auto" w:fill="CCEEFF"/>
            <w:tcMar>
              <w:top w:w="0" w:type="dxa"/>
              <w:left w:w="20" w:type="dxa"/>
              <w:bottom w:w="0" w:type="dxa"/>
              <w:right w:w="20" w:type="dxa"/>
            </w:tcMar>
            <w:vAlign w:val="bottom"/>
          </w:tcPr>
          <w:p w14:paraId="59029FE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E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E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E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9FED" w14:textId="77777777" w:rsidR="0084406A" w:rsidRDefault="0084406A">
            <w:pPr>
              <w:rPr>
                <w:rFonts w:ascii="宋体"/>
              </w:rPr>
            </w:pPr>
          </w:p>
        </w:tc>
      </w:tr>
      <w:tr w:rsidR="0084406A" w14:paraId="59029FF8" w14:textId="77777777">
        <w:trPr>
          <w:jc w:val="center"/>
        </w:trPr>
        <w:tc>
          <w:tcPr>
            <w:tcW w:w="0" w:type="auto"/>
            <w:gridSpan w:val="3"/>
            <w:shd w:val="clear" w:color="auto" w:fill="FFFFFF"/>
            <w:tcMar>
              <w:top w:w="40" w:type="dxa"/>
              <w:left w:w="20" w:type="dxa"/>
              <w:bottom w:w="40" w:type="dxa"/>
              <w:right w:w="20" w:type="dxa"/>
            </w:tcMar>
            <w:vAlign w:val="bottom"/>
          </w:tcPr>
          <w:p w14:paraId="59029FEF" w14:textId="77777777" w:rsidR="0084406A" w:rsidRDefault="002B18AF">
            <w:pPr>
              <w:textAlignment w:val="bottom"/>
            </w:pPr>
            <w:r>
              <w:rPr>
                <w:rFonts w:ascii="Arial" w:eastAsia="宋体" w:hAnsi="Arial" w:cs="Arial"/>
                <w:color w:val="000000"/>
                <w:sz w:val="20"/>
                <w:szCs w:val="20"/>
              </w:rPr>
              <w:t>  Basic</w:t>
            </w:r>
          </w:p>
        </w:tc>
        <w:tc>
          <w:tcPr>
            <w:tcW w:w="0" w:type="auto"/>
            <w:gridSpan w:val="2"/>
            <w:shd w:val="clear" w:color="auto" w:fill="FFFFFF"/>
            <w:tcMar>
              <w:top w:w="40" w:type="dxa"/>
              <w:left w:w="20" w:type="dxa"/>
              <w:bottom w:w="40" w:type="dxa"/>
              <w:right w:w="0" w:type="dxa"/>
            </w:tcMar>
            <w:vAlign w:val="bottom"/>
          </w:tcPr>
          <w:p w14:paraId="59029FF0" w14:textId="77777777" w:rsidR="0084406A" w:rsidRDefault="002B18AF">
            <w:pPr>
              <w:jc w:val="right"/>
              <w:textAlignment w:val="bottom"/>
            </w:pPr>
            <w:r>
              <w:rPr>
                <w:rFonts w:ascii="Arial" w:eastAsia="宋体" w:hAnsi="Arial" w:cs="Arial"/>
                <w:color w:val="000000"/>
                <w:sz w:val="20"/>
                <w:szCs w:val="20"/>
              </w:rPr>
              <w:t>1,213 </w:t>
            </w:r>
          </w:p>
        </w:tc>
        <w:tc>
          <w:tcPr>
            <w:tcW w:w="0" w:type="auto"/>
            <w:shd w:val="clear" w:color="auto" w:fill="FFFFFF"/>
            <w:tcMar>
              <w:top w:w="40" w:type="dxa"/>
              <w:left w:w="0" w:type="dxa"/>
              <w:bottom w:w="40" w:type="dxa"/>
              <w:right w:w="20" w:type="dxa"/>
            </w:tcMar>
            <w:vAlign w:val="bottom"/>
          </w:tcPr>
          <w:p w14:paraId="59029FF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F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F3" w14:textId="77777777" w:rsidR="0084406A" w:rsidRDefault="002B18AF">
            <w:pPr>
              <w:jc w:val="right"/>
              <w:textAlignment w:val="bottom"/>
            </w:pPr>
            <w:r>
              <w:rPr>
                <w:rFonts w:ascii="Arial" w:eastAsia="宋体" w:hAnsi="Arial" w:cs="Arial"/>
                <w:color w:val="000000"/>
                <w:sz w:val="20"/>
                <w:szCs w:val="20"/>
              </w:rPr>
              <w:t>1,184 </w:t>
            </w:r>
          </w:p>
        </w:tc>
        <w:tc>
          <w:tcPr>
            <w:tcW w:w="0" w:type="auto"/>
            <w:shd w:val="clear" w:color="auto" w:fill="FFFFFF"/>
            <w:tcMar>
              <w:top w:w="40" w:type="dxa"/>
              <w:left w:w="0" w:type="dxa"/>
              <w:bottom w:w="40" w:type="dxa"/>
              <w:right w:w="20" w:type="dxa"/>
            </w:tcMar>
            <w:vAlign w:val="bottom"/>
          </w:tcPr>
          <w:p w14:paraId="59029FF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9FF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9FF6" w14:textId="77777777" w:rsidR="0084406A" w:rsidRDefault="002B18AF">
            <w:pPr>
              <w:jc w:val="right"/>
              <w:textAlignment w:val="bottom"/>
            </w:pPr>
            <w:r>
              <w:rPr>
                <w:rFonts w:ascii="Arial" w:eastAsia="宋体" w:hAnsi="Arial" w:cs="Arial"/>
                <w:color w:val="000000"/>
                <w:sz w:val="20"/>
                <w:szCs w:val="20"/>
              </w:rPr>
              <w:t>1,091 </w:t>
            </w:r>
          </w:p>
        </w:tc>
        <w:tc>
          <w:tcPr>
            <w:tcW w:w="0" w:type="auto"/>
            <w:shd w:val="clear" w:color="auto" w:fill="FFFFFF"/>
            <w:tcMar>
              <w:top w:w="40" w:type="dxa"/>
              <w:left w:w="0" w:type="dxa"/>
              <w:bottom w:w="40" w:type="dxa"/>
              <w:right w:w="20" w:type="dxa"/>
            </w:tcMar>
            <w:vAlign w:val="bottom"/>
          </w:tcPr>
          <w:p w14:paraId="59029FF7" w14:textId="77777777" w:rsidR="0084406A" w:rsidRDefault="0084406A">
            <w:pPr>
              <w:jc w:val="right"/>
              <w:rPr>
                <w:rFonts w:ascii="宋体"/>
              </w:rPr>
            </w:pPr>
          </w:p>
        </w:tc>
      </w:tr>
      <w:tr w:rsidR="0084406A" w14:paraId="5902A002" w14:textId="77777777">
        <w:trPr>
          <w:jc w:val="center"/>
        </w:trPr>
        <w:tc>
          <w:tcPr>
            <w:tcW w:w="0" w:type="auto"/>
            <w:gridSpan w:val="3"/>
            <w:shd w:val="clear" w:color="auto" w:fill="CCEEFF"/>
            <w:tcMar>
              <w:top w:w="40" w:type="dxa"/>
              <w:left w:w="20" w:type="dxa"/>
              <w:bottom w:w="40" w:type="dxa"/>
              <w:right w:w="20" w:type="dxa"/>
            </w:tcMar>
            <w:vAlign w:val="bottom"/>
          </w:tcPr>
          <w:p w14:paraId="59029FF9" w14:textId="77777777" w:rsidR="0084406A" w:rsidRDefault="002B18AF">
            <w:pPr>
              <w:textAlignment w:val="bottom"/>
            </w:pPr>
            <w:r>
              <w:rPr>
                <w:rFonts w:ascii="Arial" w:eastAsia="宋体" w:hAnsi="Arial" w:cs="Arial"/>
                <w:color w:val="000000"/>
                <w:sz w:val="20"/>
                <w:szCs w:val="20"/>
              </w:rPr>
              <w:t>  Diluted</w:t>
            </w:r>
          </w:p>
        </w:tc>
        <w:tc>
          <w:tcPr>
            <w:tcW w:w="0" w:type="auto"/>
            <w:gridSpan w:val="2"/>
            <w:shd w:val="clear" w:color="auto" w:fill="CCEEFF"/>
            <w:tcMar>
              <w:top w:w="40" w:type="dxa"/>
              <w:left w:w="20" w:type="dxa"/>
              <w:bottom w:w="40" w:type="dxa"/>
              <w:right w:w="0" w:type="dxa"/>
            </w:tcMar>
            <w:vAlign w:val="bottom"/>
          </w:tcPr>
          <w:p w14:paraId="59029FFA" w14:textId="77777777" w:rsidR="0084406A" w:rsidRDefault="002B18AF">
            <w:pPr>
              <w:jc w:val="right"/>
              <w:textAlignment w:val="bottom"/>
            </w:pPr>
            <w:r>
              <w:rPr>
                <w:rFonts w:ascii="Arial" w:eastAsia="宋体" w:hAnsi="Arial" w:cs="Arial"/>
                <w:color w:val="000000"/>
                <w:sz w:val="20"/>
                <w:szCs w:val="20"/>
              </w:rPr>
              <w:t>1,229 </w:t>
            </w:r>
          </w:p>
        </w:tc>
        <w:tc>
          <w:tcPr>
            <w:tcW w:w="0" w:type="auto"/>
            <w:shd w:val="clear" w:color="auto" w:fill="CCEEFF"/>
            <w:tcMar>
              <w:top w:w="40" w:type="dxa"/>
              <w:left w:w="0" w:type="dxa"/>
              <w:bottom w:w="40" w:type="dxa"/>
              <w:right w:w="20" w:type="dxa"/>
            </w:tcMar>
            <w:vAlign w:val="bottom"/>
          </w:tcPr>
          <w:p w14:paraId="59029FF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F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9FFD" w14:textId="77777777" w:rsidR="0084406A" w:rsidRDefault="002B18AF">
            <w:pPr>
              <w:jc w:val="right"/>
              <w:textAlignment w:val="bottom"/>
            </w:pPr>
            <w:r>
              <w:rPr>
                <w:rFonts w:ascii="Arial" w:eastAsia="宋体" w:hAnsi="Arial" w:cs="Arial"/>
                <w:color w:val="000000"/>
                <w:sz w:val="20"/>
                <w:szCs w:val="20"/>
              </w:rPr>
              <w:t>1,207 </w:t>
            </w:r>
          </w:p>
        </w:tc>
        <w:tc>
          <w:tcPr>
            <w:tcW w:w="0" w:type="auto"/>
            <w:shd w:val="clear" w:color="auto" w:fill="CCEEFF"/>
            <w:tcMar>
              <w:top w:w="40" w:type="dxa"/>
              <w:left w:w="0" w:type="dxa"/>
              <w:bottom w:w="40" w:type="dxa"/>
              <w:right w:w="20" w:type="dxa"/>
            </w:tcMar>
            <w:vAlign w:val="bottom"/>
          </w:tcPr>
          <w:p w14:paraId="59029FF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9FF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00" w14:textId="77777777" w:rsidR="0084406A" w:rsidRDefault="002B18AF">
            <w:pPr>
              <w:jc w:val="right"/>
              <w:textAlignment w:val="bottom"/>
            </w:pPr>
            <w:r>
              <w:rPr>
                <w:rFonts w:ascii="Arial" w:eastAsia="宋体" w:hAnsi="Arial" w:cs="Arial"/>
                <w:color w:val="000000"/>
                <w:sz w:val="20"/>
                <w:szCs w:val="20"/>
              </w:rPr>
              <w:t>1,120 </w:t>
            </w:r>
          </w:p>
        </w:tc>
        <w:tc>
          <w:tcPr>
            <w:tcW w:w="0" w:type="auto"/>
            <w:shd w:val="clear" w:color="auto" w:fill="CCEEFF"/>
            <w:tcMar>
              <w:top w:w="40" w:type="dxa"/>
              <w:left w:w="0" w:type="dxa"/>
              <w:bottom w:w="40" w:type="dxa"/>
              <w:right w:w="20" w:type="dxa"/>
            </w:tcMar>
            <w:vAlign w:val="bottom"/>
          </w:tcPr>
          <w:p w14:paraId="5902A001" w14:textId="77777777" w:rsidR="0084406A" w:rsidRDefault="0084406A">
            <w:pPr>
              <w:jc w:val="right"/>
              <w:rPr>
                <w:rFonts w:ascii="宋体"/>
              </w:rPr>
            </w:pPr>
          </w:p>
        </w:tc>
      </w:tr>
    </w:tbl>
    <w:p w14:paraId="5902A003" w14:textId="77777777" w:rsidR="0084406A" w:rsidRDefault="002B18AF">
      <w:pPr>
        <w:spacing w:before="260"/>
        <w:jc w:val="center"/>
      </w:pPr>
      <w:r>
        <w:rPr>
          <w:rFonts w:ascii="Arial" w:eastAsia="宋体" w:hAnsi="Arial" w:cs="Arial"/>
          <w:color w:val="000000"/>
          <w:sz w:val="20"/>
          <w:szCs w:val="20"/>
        </w:rPr>
        <w:t>See accompanying notes to consolidated financial statements.</w:t>
      </w:r>
    </w:p>
    <w:p w14:paraId="5902A004" w14:textId="77777777" w:rsidR="0084406A" w:rsidRDefault="002B18AF">
      <w:pPr>
        <w:jc w:val="center"/>
      </w:pPr>
      <w:r>
        <w:rPr>
          <w:rFonts w:ascii="Arial" w:eastAsia="宋体" w:hAnsi="Arial" w:cs="Arial"/>
          <w:color w:val="000000"/>
          <w:sz w:val="20"/>
          <w:szCs w:val="20"/>
        </w:rPr>
        <w:t>48</w:t>
      </w:r>
    </w:p>
    <w:p w14:paraId="5902A005" w14:textId="77777777" w:rsidR="0084406A" w:rsidRDefault="002B18AF">
      <w:r>
        <w:pict w14:anchorId="5902BB26">
          <v:rect id="_x0000_i1075" style="width:415.3pt;height:1.5pt" o:hralign="center" o:hrstd="t" o:hr="t" fillcolor="#a0a0a0" stroked="f"/>
        </w:pict>
      </w:r>
    </w:p>
    <w:p w14:paraId="5902A006" w14:textId="77777777" w:rsidR="0084406A" w:rsidRDefault="0084406A"/>
    <w:p w14:paraId="5902A007" w14:textId="77777777" w:rsidR="0084406A" w:rsidRDefault="002B18AF">
      <w:pPr>
        <w:spacing w:before="180"/>
        <w:jc w:val="center"/>
      </w:pPr>
      <w:r>
        <w:rPr>
          <w:rFonts w:ascii="Arial" w:eastAsia="宋体" w:hAnsi="Arial" w:cs="Arial"/>
          <w:b/>
          <w:bCs/>
          <w:color w:val="000000"/>
          <w:sz w:val="20"/>
          <w:szCs w:val="20"/>
        </w:rPr>
        <w:t>Advanced Micro Devices, Inc.</w:t>
      </w:r>
    </w:p>
    <w:p w14:paraId="5902A008" w14:textId="77777777" w:rsidR="0084406A" w:rsidRDefault="002B18AF">
      <w:pPr>
        <w:spacing w:before="180"/>
        <w:jc w:val="center"/>
      </w:pPr>
      <w:r>
        <w:rPr>
          <w:rFonts w:ascii="Arial" w:eastAsia="宋体" w:hAnsi="Arial" w:cs="Arial"/>
          <w:b/>
          <w:bCs/>
          <w:color w:val="000000"/>
          <w:sz w:val="20"/>
          <w:szCs w:val="20"/>
        </w:rPr>
        <w:t xml:space="preserve">Consolidated </w:t>
      </w:r>
      <w:r>
        <w:rPr>
          <w:rFonts w:ascii="Arial" w:eastAsia="宋体" w:hAnsi="Arial" w:cs="Arial"/>
          <w:b/>
          <w:bCs/>
          <w:color w:val="000000"/>
          <w:sz w:val="20"/>
          <w:szCs w:val="20"/>
        </w:rPr>
        <w:t>Statements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469"/>
        <w:gridCol w:w="36"/>
        <w:gridCol w:w="133"/>
        <w:gridCol w:w="1037"/>
        <w:gridCol w:w="36"/>
        <w:gridCol w:w="36"/>
        <w:gridCol w:w="36"/>
        <w:gridCol w:w="36"/>
        <w:gridCol w:w="133"/>
        <w:gridCol w:w="1016"/>
        <w:gridCol w:w="36"/>
        <w:gridCol w:w="36"/>
        <w:gridCol w:w="36"/>
        <w:gridCol w:w="36"/>
        <w:gridCol w:w="133"/>
        <w:gridCol w:w="1017"/>
        <w:gridCol w:w="36"/>
      </w:tblGrid>
      <w:tr w:rsidR="0084406A" w14:paraId="5902A01B" w14:textId="77777777">
        <w:trPr>
          <w:jc w:val="center"/>
        </w:trPr>
        <w:tc>
          <w:tcPr>
            <w:tcW w:w="50" w:type="pct"/>
            <w:shd w:val="clear" w:color="auto" w:fill="auto"/>
            <w:vAlign w:val="bottom"/>
          </w:tcPr>
          <w:p w14:paraId="5902A009" w14:textId="77777777" w:rsidR="0084406A" w:rsidRDefault="0084406A">
            <w:pPr>
              <w:rPr>
                <w:rFonts w:ascii="宋体"/>
              </w:rPr>
            </w:pPr>
          </w:p>
        </w:tc>
        <w:tc>
          <w:tcPr>
            <w:tcW w:w="2715" w:type="pct"/>
            <w:shd w:val="clear" w:color="auto" w:fill="auto"/>
            <w:vAlign w:val="bottom"/>
          </w:tcPr>
          <w:p w14:paraId="5902A00A" w14:textId="77777777" w:rsidR="0084406A" w:rsidRDefault="0084406A">
            <w:pPr>
              <w:rPr>
                <w:rFonts w:ascii="宋体"/>
              </w:rPr>
            </w:pPr>
          </w:p>
        </w:tc>
        <w:tc>
          <w:tcPr>
            <w:tcW w:w="5" w:type="pct"/>
            <w:shd w:val="clear" w:color="auto" w:fill="auto"/>
            <w:vAlign w:val="bottom"/>
          </w:tcPr>
          <w:p w14:paraId="5902A00B" w14:textId="77777777" w:rsidR="0084406A" w:rsidRDefault="0084406A">
            <w:pPr>
              <w:rPr>
                <w:rFonts w:ascii="宋体"/>
              </w:rPr>
            </w:pPr>
          </w:p>
        </w:tc>
        <w:tc>
          <w:tcPr>
            <w:tcW w:w="50" w:type="pct"/>
            <w:shd w:val="clear" w:color="auto" w:fill="auto"/>
            <w:vAlign w:val="bottom"/>
          </w:tcPr>
          <w:p w14:paraId="5902A00C" w14:textId="77777777" w:rsidR="0084406A" w:rsidRDefault="0084406A">
            <w:pPr>
              <w:rPr>
                <w:rFonts w:ascii="宋体"/>
              </w:rPr>
            </w:pPr>
          </w:p>
        </w:tc>
        <w:tc>
          <w:tcPr>
            <w:tcW w:w="654" w:type="pct"/>
            <w:shd w:val="clear" w:color="auto" w:fill="auto"/>
            <w:vAlign w:val="bottom"/>
          </w:tcPr>
          <w:p w14:paraId="5902A00D" w14:textId="77777777" w:rsidR="0084406A" w:rsidRDefault="0084406A">
            <w:pPr>
              <w:rPr>
                <w:rFonts w:ascii="宋体"/>
              </w:rPr>
            </w:pPr>
          </w:p>
        </w:tc>
        <w:tc>
          <w:tcPr>
            <w:tcW w:w="5" w:type="pct"/>
            <w:shd w:val="clear" w:color="auto" w:fill="auto"/>
            <w:vAlign w:val="bottom"/>
          </w:tcPr>
          <w:p w14:paraId="5902A00E" w14:textId="77777777" w:rsidR="0084406A" w:rsidRDefault="0084406A">
            <w:pPr>
              <w:rPr>
                <w:rFonts w:ascii="宋体"/>
              </w:rPr>
            </w:pPr>
          </w:p>
        </w:tc>
        <w:tc>
          <w:tcPr>
            <w:tcW w:w="5" w:type="pct"/>
            <w:shd w:val="clear" w:color="auto" w:fill="auto"/>
            <w:vAlign w:val="bottom"/>
          </w:tcPr>
          <w:p w14:paraId="5902A00F" w14:textId="77777777" w:rsidR="0084406A" w:rsidRDefault="0084406A">
            <w:pPr>
              <w:rPr>
                <w:rFonts w:ascii="宋体"/>
              </w:rPr>
            </w:pPr>
          </w:p>
        </w:tc>
        <w:tc>
          <w:tcPr>
            <w:tcW w:w="26" w:type="pct"/>
            <w:shd w:val="clear" w:color="auto" w:fill="auto"/>
            <w:vAlign w:val="bottom"/>
          </w:tcPr>
          <w:p w14:paraId="5902A010" w14:textId="77777777" w:rsidR="0084406A" w:rsidRDefault="0084406A">
            <w:pPr>
              <w:rPr>
                <w:rFonts w:ascii="宋体"/>
              </w:rPr>
            </w:pPr>
          </w:p>
        </w:tc>
        <w:tc>
          <w:tcPr>
            <w:tcW w:w="5" w:type="pct"/>
            <w:shd w:val="clear" w:color="auto" w:fill="auto"/>
            <w:vAlign w:val="bottom"/>
          </w:tcPr>
          <w:p w14:paraId="5902A011" w14:textId="77777777" w:rsidR="0084406A" w:rsidRDefault="0084406A">
            <w:pPr>
              <w:rPr>
                <w:rFonts w:ascii="宋体"/>
              </w:rPr>
            </w:pPr>
          </w:p>
        </w:tc>
        <w:tc>
          <w:tcPr>
            <w:tcW w:w="50" w:type="pct"/>
            <w:shd w:val="clear" w:color="auto" w:fill="auto"/>
            <w:vAlign w:val="bottom"/>
          </w:tcPr>
          <w:p w14:paraId="5902A012" w14:textId="77777777" w:rsidR="0084406A" w:rsidRDefault="0084406A">
            <w:pPr>
              <w:rPr>
                <w:rFonts w:ascii="宋体"/>
              </w:rPr>
            </w:pPr>
          </w:p>
        </w:tc>
        <w:tc>
          <w:tcPr>
            <w:tcW w:w="668" w:type="pct"/>
            <w:shd w:val="clear" w:color="auto" w:fill="auto"/>
            <w:vAlign w:val="bottom"/>
          </w:tcPr>
          <w:p w14:paraId="5902A013" w14:textId="77777777" w:rsidR="0084406A" w:rsidRDefault="0084406A">
            <w:pPr>
              <w:rPr>
                <w:rFonts w:ascii="宋体"/>
              </w:rPr>
            </w:pPr>
          </w:p>
        </w:tc>
        <w:tc>
          <w:tcPr>
            <w:tcW w:w="5" w:type="pct"/>
            <w:shd w:val="clear" w:color="auto" w:fill="auto"/>
            <w:vAlign w:val="bottom"/>
          </w:tcPr>
          <w:p w14:paraId="5902A014" w14:textId="77777777" w:rsidR="0084406A" w:rsidRDefault="0084406A">
            <w:pPr>
              <w:rPr>
                <w:rFonts w:ascii="宋体"/>
              </w:rPr>
            </w:pPr>
          </w:p>
        </w:tc>
        <w:tc>
          <w:tcPr>
            <w:tcW w:w="5" w:type="pct"/>
            <w:shd w:val="clear" w:color="auto" w:fill="auto"/>
            <w:vAlign w:val="bottom"/>
          </w:tcPr>
          <w:p w14:paraId="5902A015" w14:textId="77777777" w:rsidR="0084406A" w:rsidRDefault="0084406A">
            <w:pPr>
              <w:rPr>
                <w:rFonts w:ascii="宋体"/>
              </w:rPr>
            </w:pPr>
          </w:p>
        </w:tc>
        <w:tc>
          <w:tcPr>
            <w:tcW w:w="26" w:type="pct"/>
            <w:shd w:val="clear" w:color="auto" w:fill="auto"/>
            <w:vAlign w:val="bottom"/>
          </w:tcPr>
          <w:p w14:paraId="5902A016" w14:textId="77777777" w:rsidR="0084406A" w:rsidRDefault="0084406A">
            <w:pPr>
              <w:rPr>
                <w:rFonts w:ascii="宋体"/>
              </w:rPr>
            </w:pPr>
          </w:p>
        </w:tc>
        <w:tc>
          <w:tcPr>
            <w:tcW w:w="5" w:type="pct"/>
            <w:shd w:val="clear" w:color="auto" w:fill="auto"/>
            <w:vAlign w:val="bottom"/>
          </w:tcPr>
          <w:p w14:paraId="5902A017" w14:textId="77777777" w:rsidR="0084406A" w:rsidRDefault="0084406A">
            <w:pPr>
              <w:rPr>
                <w:rFonts w:ascii="宋体"/>
              </w:rPr>
            </w:pPr>
          </w:p>
        </w:tc>
        <w:tc>
          <w:tcPr>
            <w:tcW w:w="50" w:type="pct"/>
            <w:shd w:val="clear" w:color="auto" w:fill="auto"/>
            <w:vAlign w:val="bottom"/>
          </w:tcPr>
          <w:p w14:paraId="5902A018" w14:textId="77777777" w:rsidR="0084406A" w:rsidRDefault="0084406A">
            <w:pPr>
              <w:rPr>
                <w:rFonts w:ascii="宋体"/>
              </w:rPr>
            </w:pPr>
          </w:p>
        </w:tc>
        <w:tc>
          <w:tcPr>
            <w:tcW w:w="668" w:type="pct"/>
            <w:shd w:val="clear" w:color="auto" w:fill="auto"/>
            <w:vAlign w:val="bottom"/>
          </w:tcPr>
          <w:p w14:paraId="5902A019" w14:textId="77777777" w:rsidR="0084406A" w:rsidRDefault="0084406A">
            <w:pPr>
              <w:rPr>
                <w:rFonts w:ascii="宋体"/>
              </w:rPr>
            </w:pPr>
          </w:p>
        </w:tc>
        <w:tc>
          <w:tcPr>
            <w:tcW w:w="5" w:type="pct"/>
            <w:shd w:val="clear" w:color="auto" w:fill="auto"/>
            <w:vAlign w:val="bottom"/>
          </w:tcPr>
          <w:p w14:paraId="5902A01A" w14:textId="77777777" w:rsidR="0084406A" w:rsidRDefault="0084406A">
            <w:pPr>
              <w:rPr>
                <w:rFonts w:ascii="宋体"/>
              </w:rPr>
            </w:pPr>
          </w:p>
        </w:tc>
      </w:tr>
      <w:tr w:rsidR="0084406A" w14:paraId="5902A01E" w14:textId="77777777">
        <w:trPr>
          <w:jc w:val="center"/>
        </w:trPr>
        <w:tc>
          <w:tcPr>
            <w:tcW w:w="0" w:type="auto"/>
            <w:gridSpan w:val="3"/>
            <w:shd w:val="clear" w:color="auto" w:fill="auto"/>
            <w:tcMar>
              <w:top w:w="0" w:type="dxa"/>
              <w:left w:w="20" w:type="dxa"/>
              <w:bottom w:w="0" w:type="dxa"/>
              <w:right w:w="20" w:type="dxa"/>
            </w:tcMar>
            <w:vAlign w:val="bottom"/>
          </w:tcPr>
          <w:p w14:paraId="5902A01C"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01D"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A025" w14:textId="77777777">
        <w:trPr>
          <w:jc w:val="center"/>
        </w:trPr>
        <w:tc>
          <w:tcPr>
            <w:tcW w:w="0" w:type="auto"/>
            <w:gridSpan w:val="3"/>
            <w:shd w:val="clear" w:color="auto" w:fill="auto"/>
            <w:tcMar>
              <w:top w:w="0" w:type="dxa"/>
              <w:left w:w="20" w:type="dxa"/>
              <w:bottom w:w="0" w:type="dxa"/>
              <w:right w:w="20" w:type="dxa"/>
            </w:tcMar>
            <w:vAlign w:val="bottom"/>
          </w:tcPr>
          <w:p w14:paraId="5902A01F"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020"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021"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022"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023"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024"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84406A" w14:paraId="5902A028" w14:textId="77777777">
        <w:trPr>
          <w:jc w:val="center"/>
        </w:trPr>
        <w:tc>
          <w:tcPr>
            <w:tcW w:w="0" w:type="auto"/>
            <w:gridSpan w:val="3"/>
            <w:shd w:val="clear" w:color="auto" w:fill="auto"/>
            <w:tcMar>
              <w:top w:w="40" w:type="dxa"/>
              <w:left w:w="20" w:type="dxa"/>
              <w:bottom w:w="40" w:type="dxa"/>
              <w:right w:w="20" w:type="dxa"/>
            </w:tcMar>
            <w:vAlign w:val="bottom"/>
          </w:tcPr>
          <w:p w14:paraId="5902A026"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027"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035" w14:textId="77777777">
        <w:trPr>
          <w:jc w:val="center"/>
        </w:trPr>
        <w:tc>
          <w:tcPr>
            <w:tcW w:w="0" w:type="auto"/>
            <w:gridSpan w:val="3"/>
            <w:shd w:val="clear" w:color="auto" w:fill="CCEEFF"/>
            <w:tcMar>
              <w:top w:w="40" w:type="dxa"/>
              <w:left w:w="20" w:type="dxa"/>
              <w:bottom w:w="40" w:type="dxa"/>
              <w:right w:w="20" w:type="dxa"/>
            </w:tcMar>
            <w:vAlign w:val="bottom"/>
          </w:tcPr>
          <w:p w14:paraId="5902A029" w14:textId="77777777" w:rsidR="0084406A" w:rsidRDefault="002B18AF">
            <w:pPr>
              <w:textAlignment w:val="bottom"/>
            </w:pPr>
            <w:r>
              <w:rPr>
                <w:rFonts w:ascii="Arial" w:eastAsia="宋体" w:hAnsi="Arial" w:cs="Arial"/>
                <w:color w:val="000000"/>
                <w:sz w:val="20"/>
                <w:szCs w:val="20"/>
              </w:rPr>
              <w:t>Net income</w:t>
            </w:r>
          </w:p>
        </w:tc>
        <w:tc>
          <w:tcPr>
            <w:tcW w:w="0" w:type="auto"/>
            <w:shd w:val="clear" w:color="auto" w:fill="CCEEFF"/>
            <w:tcMar>
              <w:top w:w="40" w:type="dxa"/>
              <w:left w:w="20" w:type="dxa"/>
              <w:bottom w:w="40" w:type="dxa"/>
              <w:right w:w="0" w:type="dxa"/>
            </w:tcMar>
            <w:vAlign w:val="bottom"/>
          </w:tcPr>
          <w:p w14:paraId="5902A02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2B" w14:textId="77777777" w:rsidR="0084406A" w:rsidRDefault="002B18AF">
            <w:pPr>
              <w:jc w:val="right"/>
              <w:textAlignment w:val="bottom"/>
            </w:pPr>
            <w:r>
              <w:rPr>
                <w:rFonts w:ascii="Arial" w:eastAsia="宋体" w:hAnsi="Arial" w:cs="Arial"/>
                <w:color w:val="000000"/>
                <w:sz w:val="20"/>
                <w:szCs w:val="20"/>
              </w:rPr>
              <w:t>3,162 </w:t>
            </w:r>
          </w:p>
        </w:tc>
        <w:tc>
          <w:tcPr>
            <w:tcW w:w="0" w:type="auto"/>
            <w:shd w:val="clear" w:color="auto" w:fill="CCEEFF"/>
            <w:tcMar>
              <w:top w:w="40" w:type="dxa"/>
              <w:left w:w="0" w:type="dxa"/>
              <w:bottom w:w="40" w:type="dxa"/>
              <w:right w:w="20" w:type="dxa"/>
            </w:tcMar>
            <w:vAlign w:val="bottom"/>
          </w:tcPr>
          <w:p w14:paraId="5902A02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2D"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02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2F" w14:textId="77777777" w:rsidR="0084406A" w:rsidRDefault="002B18AF">
            <w:pPr>
              <w:jc w:val="right"/>
              <w:textAlignment w:val="bottom"/>
            </w:pPr>
            <w:r>
              <w:rPr>
                <w:rFonts w:ascii="Arial" w:eastAsia="宋体" w:hAnsi="Arial" w:cs="Arial"/>
                <w:color w:val="000000"/>
                <w:sz w:val="20"/>
                <w:szCs w:val="20"/>
              </w:rPr>
              <w:t>2,490 </w:t>
            </w:r>
          </w:p>
        </w:tc>
        <w:tc>
          <w:tcPr>
            <w:tcW w:w="0" w:type="auto"/>
            <w:shd w:val="clear" w:color="auto" w:fill="CCEEFF"/>
            <w:tcMar>
              <w:top w:w="40" w:type="dxa"/>
              <w:left w:w="0" w:type="dxa"/>
              <w:bottom w:w="40" w:type="dxa"/>
              <w:right w:w="20" w:type="dxa"/>
            </w:tcMar>
            <w:vAlign w:val="bottom"/>
          </w:tcPr>
          <w:p w14:paraId="5902A03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3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03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33" w14:textId="77777777" w:rsidR="0084406A" w:rsidRDefault="002B18AF">
            <w:pPr>
              <w:jc w:val="right"/>
              <w:textAlignment w:val="bottom"/>
            </w:pPr>
            <w:r>
              <w:rPr>
                <w:rFonts w:ascii="Arial" w:eastAsia="宋体" w:hAnsi="Arial" w:cs="Arial"/>
                <w:color w:val="000000"/>
                <w:sz w:val="20"/>
                <w:szCs w:val="20"/>
              </w:rPr>
              <w:t>341 </w:t>
            </w:r>
          </w:p>
        </w:tc>
        <w:tc>
          <w:tcPr>
            <w:tcW w:w="0" w:type="auto"/>
            <w:shd w:val="clear" w:color="auto" w:fill="CCEEFF"/>
            <w:tcMar>
              <w:top w:w="40" w:type="dxa"/>
              <w:left w:w="0" w:type="dxa"/>
              <w:bottom w:w="40" w:type="dxa"/>
              <w:right w:w="20" w:type="dxa"/>
            </w:tcMar>
            <w:vAlign w:val="bottom"/>
          </w:tcPr>
          <w:p w14:paraId="5902A034" w14:textId="77777777" w:rsidR="0084406A" w:rsidRDefault="0084406A">
            <w:pPr>
              <w:jc w:val="right"/>
              <w:rPr>
                <w:rFonts w:ascii="宋体"/>
              </w:rPr>
            </w:pPr>
          </w:p>
        </w:tc>
      </w:tr>
      <w:tr w:rsidR="0084406A" w14:paraId="5902A03C" w14:textId="77777777">
        <w:trPr>
          <w:jc w:val="center"/>
        </w:trPr>
        <w:tc>
          <w:tcPr>
            <w:tcW w:w="0" w:type="auto"/>
            <w:gridSpan w:val="3"/>
            <w:shd w:val="clear" w:color="auto" w:fill="FFFFFF"/>
            <w:tcMar>
              <w:top w:w="40" w:type="dxa"/>
              <w:left w:w="20" w:type="dxa"/>
              <w:bottom w:w="40" w:type="dxa"/>
              <w:right w:w="20" w:type="dxa"/>
            </w:tcMar>
            <w:vAlign w:val="bottom"/>
          </w:tcPr>
          <w:p w14:paraId="5902A036" w14:textId="77777777" w:rsidR="0084406A" w:rsidRDefault="002B18AF">
            <w:pPr>
              <w:textAlignment w:val="bottom"/>
            </w:pPr>
            <w:r>
              <w:rPr>
                <w:rFonts w:ascii="Arial" w:eastAsia="宋体" w:hAnsi="Arial" w:cs="Arial"/>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5902A03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3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3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3A"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3B" w14:textId="77777777" w:rsidR="0084406A" w:rsidRDefault="0084406A">
            <w:pPr>
              <w:rPr>
                <w:rFonts w:ascii="宋体"/>
              </w:rPr>
            </w:pPr>
          </w:p>
        </w:tc>
      </w:tr>
      <w:tr w:rsidR="0084406A" w14:paraId="5902A046" w14:textId="77777777">
        <w:trPr>
          <w:jc w:val="center"/>
        </w:trPr>
        <w:tc>
          <w:tcPr>
            <w:tcW w:w="0" w:type="auto"/>
            <w:gridSpan w:val="3"/>
            <w:shd w:val="clear" w:color="auto" w:fill="CCEEFF"/>
            <w:tcMar>
              <w:top w:w="40" w:type="dxa"/>
              <w:left w:w="260" w:type="dxa"/>
              <w:bottom w:w="40" w:type="dxa"/>
              <w:right w:w="20" w:type="dxa"/>
            </w:tcMar>
            <w:vAlign w:val="bottom"/>
          </w:tcPr>
          <w:p w14:paraId="5902A03D" w14:textId="77777777" w:rsidR="0084406A" w:rsidRDefault="002B18AF">
            <w:pPr>
              <w:textAlignment w:val="bottom"/>
            </w:pPr>
            <w:r>
              <w:rPr>
                <w:rFonts w:ascii="Arial" w:eastAsia="宋体" w:hAnsi="Arial" w:cs="Arial"/>
                <w:color w:val="000000"/>
                <w:sz w:val="20"/>
                <w:szCs w:val="20"/>
              </w:rPr>
              <w:t>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5902A03E" w14:textId="77777777" w:rsidR="0084406A" w:rsidRDefault="002B18AF">
            <w:pPr>
              <w:jc w:val="right"/>
              <w:textAlignment w:val="bottom"/>
            </w:pPr>
            <w:r>
              <w:rPr>
                <w:rFonts w:ascii="Arial" w:eastAsia="宋体" w:hAnsi="Arial" w:cs="Arial"/>
                <w:color w:val="000000"/>
                <w:sz w:val="20"/>
                <w:szCs w:val="20"/>
              </w:rPr>
              <w:t>(20)</w:t>
            </w:r>
          </w:p>
        </w:tc>
        <w:tc>
          <w:tcPr>
            <w:tcW w:w="0" w:type="auto"/>
            <w:shd w:val="clear" w:color="auto" w:fill="CCEEFF"/>
            <w:tcMar>
              <w:top w:w="40" w:type="dxa"/>
              <w:left w:w="0" w:type="dxa"/>
              <w:bottom w:w="40" w:type="dxa"/>
              <w:right w:w="20" w:type="dxa"/>
            </w:tcMar>
            <w:vAlign w:val="bottom"/>
          </w:tcPr>
          <w:p w14:paraId="5902A03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4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41"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5902A04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4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44"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5902A045" w14:textId="77777777" w:rsidR="0084406A" w:rsidRDefault="0084406A">
            <w:pPr>
              <w:jc w:val="right"/>
              <w:rPr>
                <w:rFonts w:ascii="宋体"/>
              </w:rPr>
            </w:pPr>
          </w:p>
        </w:tc>
      </w:tr>
      <w:tr w:rsidR="0084406A" w14:paraId="5902A053" w14:textId="77777777">
        <w:trPr>
          <w:jc w:val="center"/>
        </w:trPr>
        <w:tc>
          <w:tcPr>
            <w:tcW w:w="0" w:type="auto"/>
            <w:gridSpan w:val="3"/>
            <w:shd w:val="clear" w:color="auto" w:fill="FFFFFF"/>
            <w:tcMar>
              <w:top w:w="40" w:type="dxa"/>
              <w:left w:w="20" w:type="dxa"/>
              <w:bottom w:w="40" w:type="dxa"/>
              <w:right w:w="20" w:type="dxa"/>
            </w:tcMar>
            <w:vAlign w:val="bottom"/>
          </w:tcPr>
          <w:p w14:paraId="5902A047" w14:textId="77777777" w:rsidR="0084406A" w:rsidRDefault="002B18AF">
            <w:pPr>
              <w:textAlignment w:val="bottom"/>
            </w:pPr>
            <w:r>
              <w:rPr>
                <w:rFonts w:ascii="Arial" w:eastAsia="宋体" w:hAnsi="Arial" w:cs="Arial"/>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048"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049" w14:textId="77777777" w:rsidR="0084406A" w:rsidRDefault="002B18AF">
            <w:pPr>
              <w:jc w:val="right"/>
              <w:textAlignment w:val="bottom"/>
            </w:pPr>
            <w:r>
              <w:rPr>
                <w:rFonts w:ascii="Arial" w:eastAsia="宋体" w:hAnsi="Arial" w:cs="Arial"/>
                <w:color w:val="000000"/>
                <w:sz w:val="20"/>
                <w:szCs w:val="20"/>
              </w:rPr>
              <w:t>3,142 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04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4B"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04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04D" w14:textId="77777777" w:rsidR="0084406A" w:rsidRDefault="002B18AF">
            <w:pPr>
              <w:jc w:val="right"/>
              <w:textAlignment w:val="bottom"/>
            </w:pPr>
            <w:r>
              <w:rPr>
                <w:rFonts w:ascii="Arial" w:eastAsia="宋体" w:hAnsi="Arial" w:cs="Arial"/>
                <w:color w:val="000000"/>
                <w:sz w:val="20"/>
                <w:szCs w:val="20"/>
              </w:rPr>
              <w:t>2,507 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04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4F"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05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051" w14:textId="77777777" w:rsidR="0084406A" w:rsidRDefault="002B18AF">
            <w:pPr>
              <w:jc w:val="right"/>
              <w:textAlignment w:val="bottom"/>
            </w:pPr>
            <w:r>
              <w:rPr>
                <w:rFonts w:ascii="Arial" w:eastAsia="宋体" w:hAnsi="Arial" w:cs="Arial"/>
                <w:color w:val="000000"/>
                <w:sz w:val="20"/>
                <w:szCs w:val="20"/>
              </w:rPr>
              <w:t>349 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052" w14:textId="77777777" w:rsidR="0084406A" w:rsidRDefault="0084406A">
            <w:pPr>
              <w:jc w:val="right"/>
              <w:rPr>
                <w:rFonts w:ascii="宋体"/>
              </w:rPr>
            </w:pPr>
          </w:p>
        </w:tc>
      </w:tr>
    </w:tbl>
    <w:p w14:paraId="5902A054" w14:textId="77777777" w:rsidR="0084406A" w:rsidRDefault="002B18AF">
      <w:pPr>
        <w:spacing w:before="260"/>
        <w:jc w:val="center"/>
      </w:pPr>
      <w:r>
        <w:rPr>
          <w:rFonts w:ascii="Arial" w:eastAsia="宋体" w:hAnsi="Arial" w:cs="Arial"/>
          <w:color w:val="000000"/>
          <w:sz w:val="20"/>
          <w:szCs w:val="20"/>
        </w:rPr>
        <w:t>See accompanying notes to consolidated financial statements.</w:t>
      </w:r>
    </w:p>
    <w:p w14:paraId="5902A055" w14:textId="77777777" w:rsidR="0084406A" w:rsidRDefault="002B18AF">
      <w:pPr>
        <w:jc w:val="center"/>
      </w:pPr>
      <w:r>
        <w:rPr>
          <w:rFonts w:ascii="Arial" w:eastAsia="宋体" w:hAnsi="Arial" w:cs="Arial"/>
          <w:color w:val="000000"/>
          <w:sz w:val="20"/>
          <w:szCs w:val="20"/>
        </w:rPr>
        <w:t>49</w:t>
      </w:r>
    </w:p>
    <w:p w14:paraId="5902A056" w14:textId="77777777" w:rsidR="0084406A" w:rsidRDefault="002B18AF">
      <w:r>
        <w:pict w14:anchorId="5902BB27">
          <v:rect id="_x0000_i1076" style="width:415.3pt;height:1.5pt" o:hralign="center" o:hrstd="t" o:hr="t" fillcolor="#a0a0a0" stroked="f"/>
        </w:pict>
      </w:r>
    </w:p>
    <w:p w14:paraId="5902A057" w14:textId="77777777" w:rsidR="0084406A" w:rsidRDefault="0084406A"/>
    <w:p w14:paraId="5902A058" w14:textId="77777777" w:rsidR="0084406A" w:rsidRDefault="002B18AF">
      <w:pPr>
        <w:spacing w:before="180"/>
        <w:jc w:val="center"/>
      </w:pPr>
      <w:r>
        <w:rPr>
          <w:rFonts w:ascii="Arial" w:eastAsia="宋体" w:hAnsi="Arial" w:cs="Arial"/>
          <w:b/>
          <w:bCs/>
          <w:color w:val="000000"/>
          <w:sz w:val="20"/>
          <w:szCs w:val="20"/>
        </w:rPr>
        <w:t>Advanced Micro Devices, Inc.</w:t>
      </w:r>
    </w:p>
    <w:p w14:paraId="5902A059" w14:textId="77777777" w:rsidR="0084406A" w:rsidRDefault="002B18AF">
      <w:pPr>
        <w:spacing w:before="180"/>
        <w:jc w:val="center"/>
      </w:pPr>
      <w:r>
        <w:rPr>
          <w:rFonts w:ascii="Arial" w:eastAsia="宋体" w:hAnsi="Arial" w:cs="Arial"/>
          <w:b/>
          <w:bCs/>
          <w:color w:val="000000"/>
          <w:sz w:val="20"/>
          <w:szCs w:val="20"/>
        </w:rPr>
        <w:t>Consolidated Balance Sheets</w:t>
      </w:r>
    </w:p>
    <w:p w14:paraId="5902A05A" w14:textId="77777777" w:rsidR="0084406A" w:rsidRDefault="002B18AF">
      <w:pPr>
        <w:spacing w:before="60"/>
      </w:pP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375"/>
        <w:gridCol w:w="41"/>
        <w:gridCol w:w="132"/>
        <w:gridCol w:w="1237"/>
        <w:gridCol w:w="36"/>
        <w:gridCol w:w="36"/>
        <w:gridCol w:w="36"/>
        <w:gridCol w:w="36"/>
        <w:gridCol w:w="133"/>
        <w:gridCol w:w="1196"/>
        <w:gridCol w:w="36"/>
      </w:tblGrid>
      <w:tr w:rsidR="0084406A" w14:paraId="5902A067" w14:textId="77777777">
        <w:tc>
          <w:tcPr>
            <w:tcW w:w="50" w:type="pct"/>
            <w:shd w:val="clear" w:color="auto" w:fill="auto"/>
            <w:vAlign w:val="bottom"/>
          </w:tcPr>
          <w:p w14:paraId="5902A05B" w14:textId="77777777" w:rsidR="0084406A" w:rsidRDefault="0084406A">
            <w:pPr>
              <w:rPr>
                <w:rFonts w:ascii="宋体"/>
              </w:rPr>
            </w:pPr>
          </w:p>
        </w:tc>
        <w:tc>
          <w:tcPr>
            <w:tcW w:w="3256" w:type="pct"/>
            <w:shd w:val="clear" w:color="auto" w:fill="auto"/>
            <w:vAlign w:val="bottom"/>
          </w:tcPr>
          <w:p w14:paraId="5902A05C" w14:textId="77777777" w:rsidR="0084406A" w:rsidRDefault="0084406A">
            <w:pPr>
              <w:rPr>
                <w:rFonts w:ascii="宋体"/>
              </w:rPr>
            </w:pPr>
          </w:p>
        </w:tc>
        <w:tc>
          <w:tcPr>
            <w:tcW w:w="5" w:type="pct"/>
            <w:shd w:val="clear" w:color="auto" w:fill="auto"/>
            <w:vAlign w:val="bottom"/>
          </w:tcPr>
          <w:p w14:paraId="5902A05D" w14:textId="77777777" w:rsidR="0084406A" w:rsidRDefault="0084406A">
            <w:pPr>
              <w:rPr>
                <w:rFonts w:ascii="宋体"/>
              </w:rPr>
            </w:pPr>
          </w:p>
        </w:tc>
        <w:tc>
          <w:tcPr>
            <w:tcW w:w="50" w:type="pct"/>
            <w:shd w:val="clear" w:color="auto" w:fill="auto"/>
            <w:vAlign w:val="bottom"/>
          </w:tcPr>
          <w:p w14:paraId="5902A05E" w14:textId="77777777" w:rsidR="0084406A" w:rsidRDefault="0084406A">
            <w:pPr>
              <w:rPr>
                <w:rFonts w:ascii="宋体"/>
              </w:rPr>
            </w:pPr>
          </w:p>
        </w:tc>
        <w:tc>
          <w:tcPr>
            <w:tcW w:w="771" w:type="pct"/>
            <w:shd w:val="clear" w:color="auto" w:fill="auto"/>
            <w:vAlign w:val="bottom"/>
          </w:tcPr>
          <w:p w14:paraId="5902A05F" w14:textId="77777777" w:rsidR="0084406A" w:rsidRDefault="0084406A">
            <w:pPr>
              <w:rPr>
                <w:rFonts w:ascii="宋体"/>
              </w:rPr>
            </w:pPr>
          </w:p>
        </w:tc>
        <w:tc>
          <w:tcPr>
            <w:tcW w:w="5" w:type="pct"/>
            <w:shd w:val="clear" w:color="auto" w:fill="auto"/>
            <w:vAlign w:val="bottom"/>
          </w:tcPr>
          <w:p w14:paraId="5902A060" w14:textId="77777777" w:rsidR="0084406A" w:rsidRDefault="0084406A">
            <w:pPr>
              <w:rPr>
                <w:rFonts w:ascii="宋体"/>
              </w:rPr>
            </w:pPr>
          </w:p>
        </w:tc>
        <w:tc>
          <w:tcPr>
            <w:tcW w:w="5" w:type="pct"/>
            <w:shd w:val="clear" w:color="auto" w:fill="auto"/>
            <w:vAlign w:val="bottom"/>
          </w:tcPr>
          <w:p w14:paraId="5902A061" w14:textId="77777777" w:rsidR="0084406A" w:rsidRDefault="0084406A">
            <w:pPr>
              <w:rPr>
                <w:rFonts w:ascii="宋体"/>
              </w:rPr>
            </w:pPr>
          </w:p>
        </w:tc>
        <w:tc>
          <w:tcPr>
            <w:tcW w:w="26" w:type="pct"/>
            <w:shd w:val="clear" w:color="auto" w:fill="auto"/>
            <w:vAlign w:val="bottom"/>
          </w:tcPr>
          <w:p w14:paraId="5902A062" w14:textId="77777777" w:rsidR="0084406A" w:rsidRDefault="0084406A">
            <w:pPr>
              <w:rPr>
                <w:rFonts w:ascii="宋体"/>
              </w:rPr>
            </w:pPr>
          </w:p>
        </w:tc>
        <w:tc>
          <w:tcPr>
            <w:tcW w:w="5" w:type="pct"/>
            <w:shd w:val="clear" w:color="auto" w:fill="auto"/>
            <w:vAlign w:val="bottom"/>
          </w:tcPr>
          <w:p w14:paraId="5902A063" w14:textId="77777777" w:rsidR="0084406A" w:rsidRDefault="0084406A">
            <w:pPr>
              <w:rPr>
                <w:rFonts w:ascii="宋体"/>
              </w:rPr>
            </w:pPr>
          </w:p>
        </w:tc>
        <w:tc>
          <w:tcPr>
            <w:tcW w:w="50" w:type="pct"/>
            <w:shd w:val="clear" w:color="auto" w:fill="auto"/>
            <w:vAlign w:val="bottom"/>
          </w:tcPr>
          <w:p w14:paraId="5902A064" w14:textId="77777777" w:rsidR="0084406A" w:rsidRDefault="0084406A">
            <w:pPr>
              <w:rPr>
                <w:rFonts w:ascii="宋体"/>
              </w:rPr>
            </w:pPr>
          </w:p>
        </w:tc>
        <w:tc>
          <w:tcPr>
            <w:tcW w:w="771" w:type="pct"/>
            <w:shd w:val="clear" w:color="auto" w:fill="auto"/>
            <w:vAlign w:val="bottom"/>
          </w:tcPr>
          <w:p w14:paraId="5902A065" w14:textId="77777777" w:rsidR="0084406A" w:rsidRDefault="0084406A">
            <w:pPr>
              <w:rPr>
                <w:rFonts w:ascii="宋体"/>
              </w:rPr>
            </w:pPr>
          </w:p>
        </w:tc>
        <w:tc>
          <w:tcPr>
            <w:tcW w:w="5" w:type="pct"/>
            <w:shd w:val="clear" w:color="auto" w:fill="auto"/>
            <w:vAlign w:val="bottom"/>
          </w:tcPr>
          <w:p w14:paraId="5902A066" w14:textId="77777777" w:rsidR="0084406A" w:rsidRDefault="0084406A">
            <w:pPr>
              <w:rPr>
                <w:rFonts w:ascii="宋体"/>
              </w:rPr>
            </w:pPr>
          </w:p>
        </w:tc>
      </w:tr>
      <w:tr w:rsidR="0084406A" w14:paraId="5902A06C" w14:textId="77777777">
        <w:tc>
          <w:tcPr>
            <w:tcW w:w="0" w:type="auto"/>
            <w:gridSpan w:val="3"/>
            <w:shd w:val="clear" w:color="auto" w:fill="auto"/>
            <w:tcMar>
              <w:top w:w="0" w:type="dxa"/>
              <w:left w:w="20" w:type="dxa"/>
              <w:bottom w:w="0" w:type="dxa"/>
              <w:right w:w="20" w:type="dxa"/>
            </w:tcMar>
            <w:vAlign w:val="bottom"/>
          </w:tcPr>
          <w:p w14:paraId="5902A06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069"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06A"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06B"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06F" w14:textId="77777777">
        <w:tc>
          <w:tcPr>
            <w:tcW w:w="0" w:type="auto"/>
            <w:gridSpan w:val="3"/>
            <w:shd w:val="clear" w:color="auto" w:fill="auto"/>
            <w:tcMar>
              <w:top w:w="40" w:type="dxa"/>
              <w:left w:w="20" w:type="dxa"/>
              <w:bottom w:w="40" w:type="dxa"/>
              <w:right w:w="20" w:type="dxa"/>
            </w:tcMar>
            <w:vAlign w:val="bottom"/>
          </w:tcPr>
          <w:p w14:paraId="5902A06D" w14:textId="77777777" w:rsidR="0084406A" w:rsidRDefault="002B18AF">
            <w:pPr>
              <w:textAlignment w:val="bottom"/>
            </w:pPr>
            <w:r>
              <w:rPr>
                <w:rFonts w:ascii="Arial" w:eastAsia="宋体" w:hAnsi="Arial" w:cs="Arial"/>
                <w:color w:val="000000"/>
                <w:sz w:val="19"/>
                <w:szCs w:val="19"/>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06E" w14:textId="77777777" w:rsidR="0084406A" w:rsidRDefault="002B18AF">
            <w:pPr>
              <w:jc w:val="center"/>
              <w:textAlignment w:val="bottom"/>
            </w:pPr>
            <w:r>
              <w:rPr>
                <w:rFonts w:ascii="Arial" w:eastAsia="宋体" w:hAnsi="Arial" w:cs="Arial"/>
                <w:b/>
                <w:bCs/>
                <w:color w:val="000000"/>
                <w:sz w:val="16"/>
                <w:szCs w:val="16"/>
              </w:rPr>
              <w:t>(In millions, except par value amounts)</w:t>
            </w:r>
          </w:p>
        </w:tc>
      </w:tr>
      <w:tr w:rsidR="0084406A" w14:paraId="5902A074" w14:textId="77777777">
        <w:tc>
          <w:tcPr>
            <w:tcW w:w="0" w:type="auto"/>
            <w:gridSpan w:val="3"/>
            <w:shd w:val="clear" w:color="auto" w:fill="CCEEFF"/>
            <w:tcMar>
              <w:top w:w="40" w:type="dxa"/>
              <w:left w:w="20" w:type="dxa"/>
              <w:bottom w:w="40" w:type="dxa"/>
              <w:right w:w="20" w:type="dxa"/>
            </w:tcMar>
            <w:vAlign w:val="bottom"/>
          </w:tcPr>
          <w:p w14:paraId="5902A070" w14:textId="77777777" w:rsidR="0084406A" w:rsidRDefault="002B18AF">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5902A07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07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073" w14:textId="77777777" w:rsidR="0084406A" w:rsidRDefault="0084406A">
            <w:pPr>
              <w:rPr>
                <w:rFonts w:ascii="宋体"/>
              </w:rPr>
            </w:pPr>
          </w:p>
        </w:tc>
      </w:tr>
      <w:tr w:rsidR="0084406A" w14:paraId="5902A079" w14:textId="77777777">
        <w:tc>
          <w:tcPr>
            <w:tcW w:w="0" w:type="auto"/>
            <w:gridSpan w:val="3"/>
            <w:shd w:val="clear" w:color="auto" w:fill="FFFFFF"/>
            <w:tcMar>
              <w:top w:w="40" w:type="dxa"/>
              <w:left w:w="20" w:type="dxa"/>
              <w:bottom w:w="40" w:type="dxa"/>
              <w:right w:w="20" w:type="dxa"/>
            </w:tcMar>
            <w:vAlign w:val="bottom"/>
          </w:tcPr>
          <w:p w14:paraId="5902A075" w14:textId="77777777" w:rsidR="0084406A" w:rsidRDefault="002B18AF">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5902A07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7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78" w14:textId="77777777" w:rsidR="0084406A" w:rsidRDefault="0084406A">
            <w:pPr>
              <w:rPr>
                <w:rFonts w:ascii="宋体"/>
              </w:rPr>
            </w:pPr>
          </w:p>
        </w:tc>
      </w:tr>
      <w:tr w:rsidR="0084406A" w14:paraId="5902A082" w14:textId="77777777">
        <w:tc>
          <w:tcPr>
            <w:tcW w:w="0" w:type="auto"/>
            <w:gridSpan w:val="3"/>
            <w:shd w:val="clear" w:color="auto" w:fill="CCEEFF"/>
            <w:tcMar>
              <w:top w:w="40" w:type="dxa"/>
              <w:left w:w="380" w:type="dxa"/>
              <w:bottom w:w="40" w:type="dxa"/>
              <w:right w:w="20" w:type="dxa"/>
            </w:tcMar>
            <w:vAlign w:val="bottom"/>
          </w:tcPr>
          <w:p w14:paraId="5902A07A" w14:textId="77777777" w:rsidR="0084406A" w:rsidRDefault="002B18AF">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5902A07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7C" w14:textId="77777777" w:rsidR="0084406A" w:rsidRDefault="002B18AF">
            <w:pPr>
              <w:jc w:val="right"/>
              <w:textAlignment w:val="bottom"/>
            </w:pPr>
            <w:r>
              <w:rPr>
                <w:rFonts w:ascii="Arial" w:eastAsia="宋体" w:hAnsi="Arial" w:cs="Arial"/>
                <w:color w:val="000000"/>
                <w:sz w:val="20"/>
                <w:szCs w:val="20"/>
              </w:rPr>
              <w:t>2,535 </w:t>
            </w:r>
          </w:p>
        </w:tc>
        <w:tc>
          <w:tcPr>
            <w:tcW w:w="0" w:type="auto"/>
            <w:shd w:val="clear" w:color="auto" w:fill="CCEEFF"/>
            <w:tcMar>
              <w:top w:w="40" w:type="dxa"/>
              <w:left w:w="0" w:type="dxa"/>
              <w:bottom w:w="40" w:type="dxa"/>
              <w:right w:w="20" w:type="dxa"/>
            </w:tcMar>
            <w:vAlign w:val="bottom"/>
          </w:tcPr>
          <w:p w14:paraId="5902A07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7E"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07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80" w14:textId="77777777" w:rsidR="0084406A" w:rsidRDefault="002B18AF">
            <w:pPr>
              <w:jc w:val="right"/>
              <w:textAlignment w:val="bottom"/>
            </w:pPr>
            <w:r>
              <w:rPr>
                <w:rFonts w:ascii="Arial" w:eastAsia="宋体" w:hAnsi="Arial" w:cs="Arial"/>
                <w:color w:val="000000"/>
                <w:sz w:val="20"/>
                <w:szCs w:val="20"/>
              </w:rPr>
              <w:t>1,595 </w:t>
            </w:r>
          </w:p>
        </w:tc>
        <w:tc>
          <w:tcPr>
            <w:tcW w:w="0" w:type="auto"/>
            <w:shd w:val="clear" w:color="auto" w:fill="CCEEFF"/>
            <w:tcMar>
              <w:top w:w="40" w:type="dxa"/>
              <w:left w:w="0" w:type="dxa"/>
              <w:bottom w:w="40" w:type="dxa"/>
              <w:right w:w="20" w:type="dxa"/>
            </w:tcMar>
            <w:vAlign w:val="bottom"/>
          </w:tcPr>
          <w:p w14:paraId="5902A081" w14:textId="77777777" w:rsidR="0084406A" w:rsidRDefault="0084406A">
            <w:pPr>
              <w:jc w:val="right"/>
              <w:rPr>
                <w:rFonts w:ascii="宋体"/>
              </w:rPr>
            </w:pPr>
          </w:p>
        </w:tc>
      </w:tr>
      <w:tr w:rsidR="0084406A" w14:paraId="5902A089" w14:textId="77777777">
        <w:tc>
          <w:tcPr>
            <w:tcW w:w="0" w:type="auto"/>
            <w:gridSpan w:val="3"/>
            <w:shd w:val="clear" w:color="auto" w:fill="FFFFFF"/>
            <w:tcMar>
              <w:top w:w="40" w:type="dxa"/>
              <w:left w:w="380" w:type="dxa"/>
              <w:bottom w:w="40" w:type="dxa"/>
              <w:right w:w="20" w:type="dxa"/>
            </w:tcMar>
            <w:vAlign w:val="bottom"/>
          </w:tcPr>
          <w:p w14:paraId="5902A083" w14:textId="77777777" w:rsidR="0084406A" w:rsidRDefault="002B18AF">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5902A084" w14:textId="77777777" w:rsidR="0084406A" w:rsidRDefault="002B18AF">
            <w:pPr>
              <w:jc w:val="right"/>
              <w:textAlignment w:val="bottom"/>
            </w:pPr>
            <w:r>
              <w:rPr>
                <w:rFonts w:ascii="Arial" w:eastAsia="宋体" w:hAnsi="Arial" w:cs="Arial"/>
                <w:color w:val="000000"/>
                <w:sz w:val="20"/>
                <w:szCs w:val="20"/>
              </w:rPr>
              <w:t>1,073 </w:t>
            </w:r>
          </w:p>
        </w:tc>
        <w:tc>
          <w:tcPr>
            <w:tcW w:w="0" w:type="auto"/>
            <w:shd w:val="clear" w:color="auto" w:fill="FFFFFF"/>
            <w:tcMar>
              <w:top w:w="40" w:type="dxa"/>
              <w:left w:w="0" w:type="dxa"/>
              <w:bottom w:w="40" w:type="dxa"/>
              <w:right w:w="20" w:type="dxa"/>
            </w:tcMar>
            <w:vAlign w:val="bottom"/>
          </w:tcPr>
          <w:p w14:paraId="5902A08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8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87" w14:textId="77777777" w:rsidR="0084406A" w:rsidRDefault="002B18AF">
            <w:pPr>
              <w:jc w:val="right"/>
              <w:textAlignment w:val="bottom"/>
            </w:pPr>
            <w:r>
              <w:rPr>
                <w:rFonts w:ascii="Arial" w:eastAsia="宋体" w:hAnsi="Arial" w:cs="Arial"/>
                <w:color w:val="000000"/>
                <w:sz w:val="20"/>
                <w:szCs w:val="20"/>
              </w:rPr>
              <w:t>695 </w:t>
            </w:r>
          </w:p>
        </w:tc>
        <w:tc>
          <w:tcPr>
            <w:tcW w:w="0" w:type="auto"/>
            <w:shd w:val="clear" w:color="auto" w:fill="FFFFFF"/>
            <w:tcMar>
              <w:top w:w="40" w:type="dxa"/>
              <w:left w:w="0" w:type="dxa"/>
              <w:bottom w:w="40" w:type="dxa"/>
              <w:right w:w="20" w:type="dxa"/>
            </w:tcMar>
            <w:vAlign w:val="bottom"/>
          </w:tcPr>
          <w:p w14:paraId="5902A088" w14:textId="77777777" w:rsidR="0084406A" w:rsidRDefault="0084406A">
            <w:pPr>
              <w:jc w:val="right"/>
              <w:rPr>
                <w:rFonts w:ascii="宋体"/>
              </w:rPr>
            </w:pPr>
          </w:p>
        </w:tc>
      </w:tr>
      <w:tr w:rsidR="0084406A" w14:paraId="5902A090" w14:textId="77777777">
        <w:tc>
          <w:tcPr>
            <w:tcW w:w="0" w:type="auto"/>
            <w:gridSpan w:val="3"/>
            <w:shd w:val="clear" w:color="auto" w:fill="CCEEFF"/>
            <w:tcMar>
              <w:top w:w="40" w:type="dxa"/>
              <w:left w:w="380" w:type="dxa"/>
              <w:bottom w:w="40" w:type="dxa"/>
              <w:right w:w="20" w:type="dxa"/>
            </w:tcMar>
            <w:vAlign w:val="bottom"/>
          </w:tcPr>
          <w:p w14:paraId="5902A08A" w14:textId="77777777" w:rsidR="0084406A" w:rsidRDefault="002B18AF">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5902A08B" w14:textId="77777777" w:rsidR="0084406A" w:rsidRDefault="002B18AF">
            <w:pPr>
              <w:jc w:val="right"/>
              <w:textAlignment w:val="bottom"/>
            </w:pPr>
            <w:r>
              <w:rPr>
                <w:rFonts w:ascii="Arial" w:eastAsia="宋体" w:hAnsi="Arial" w:cs="Arial"/>
                <w:color w:val="000000"/>
                <w:sz w:val="20"/>
                <w:szCs w:val="20"/>
              </w:rPr>
              <w:t>2,706 </w:t>
            </w:r>
          </w:p>
        </w:tc>
        <w:tc>
          <w:tcPr>
            <w:tcW w:w="0" w:type="auto"/>
            <w:shd w:val="clear" w:color="auto" w:fill="CCEEFF"/>
            <w:tcMar>
              <w:top w:w="40" w:type="dxa"/>
              <w:left w:w="0" w:type="dxa"/>
              <w:bottom w:w="40" w:type="dxa"/>
              <w:right w:w="20" w:type="dxa"/>
            </w:tcMar>
            <w:vAlign w:val="bottom"/>
          </w:tcPr>
          <w:p w14:paraId="5902A08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8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8E" w14:textId="77777777" w:rsidR="0084406A" w:rsidRDefault="002B18AF">
            <w:pPr>
              <w:jc w:val="right"/>
              <w:textAlignment w:val="bottom"/>
            </w:pPr>
            <w:r>
              <w:rPr>
                <w:rFonts w:ascii="Arial" w:eastAsia="宋体" w:hAnsi="Arial" w:cs="Arial"/>
                <w:color w:val="000000"/>
                <w:sz w:val="20"/>
                <w:szCs w:val="20"/>
              </w:rPr>
              <w:t>2,066 </w:t>
            </w:r>
          </w:p>
        </w:tc>
        <w:tc>
          <w:tcPr>
            <w:tcW w:w="0" w:type="auto"/>
            <w:shd w:val="clear" w:color="auto" w:fill="CCEEFF"/>
            <w:tcMar>
              <w:top w:w="40" w:type="dxa"/>
              <w:left w:w="0" w:type="dxa"/>
              <w:bottom w:w="40" w:type="dxa"/>
              <w:right w:w="20" w:type="dxa"/>
            </w:tcMar>
            <w:vAlign w:val="bottom"/>
          </w:tcPr>
          <w:p w14:paraId="5902A08F" w14:textId="77777777" w:rsidR="0084406A" w:rsidRDefault="0084406A">
            <w:pPr>
              <w:jc w:val="right"/>
              <w:rPr>
                <w:rFonts w:ascii="宋体"/>
              </w:rPr>
            </w:pPr>
          </w:p>
        </w:tc>
      </w:tr>
      <w:tr w:rsidR="0084406A" w14:paraId="5902A097" w14:textId="77777777">
        <w:tc>
          <w:tcPr>
            <w:tcW w:w="0" w:type="auto"/>
            <w:gridSpan w:val="3"/>
            <w:shd w:val="clear" w:color="auto" w:fill="FFFFFF"/>
            <w:tcMar>
              <w:top w:w="40" w:type="dxa"/>
              <w:left w:w="380" w:type="dxa"/>
              <w:bottom w:w="40" w:type="dxa"/>
              <w:right w:w="20" w:type="dxa"/>
            </w:tcMar>
            <w:vAlign w:val="bottom"/>
          </w:tcPr>
          <w:p w14:paraId="5902A091" w14:textId="77777777" w:rsidR="0084406A" w:rsidRDefault="002B18AF">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5902A092" w14:textId="77777777" w:rsidR="0084406A" w:rsidRDefault="002B18AF">
            <w:pPr>
              <w:jc w:val="right"/>
              <w:textAlignment w:val="bottom"/>
            </w:pPr>
            <w:r>
              <w:rPr>
                <w:rFonts w:ascii="Arial" w:eastAsia="宋体" w:hAnsi="Arial" w:cs="Arial"/>
                <w:color w:val="000000"/>
                <w:sz w:val="20"/>
                <w:szCs w:val="20"/>
              </w:rPr>
              <w:t>1,955 </w:t>
            </w:r>
          </w:p>
        </w:tc>
        <w:tc>
          <w:tcPr>
            <w:tcW w:w="0" w:type="auto"/>
            <w:shd w:val="clear" w:color="auto" w:fill="FFFFFF"/>
            <w:tcMar>
              <w:top w:w="40" w:type="dxa"/>
              <w:left w:w="0" w:type="dxa"/>
              <w:bottom w:w="40" w:type="dxa"/>
              <w:right w:w="20" w:type="dxa"/>
            </w:tcMar>
            <w:vAlign w:val="bottom"/>
          </w:tcPr>
          <w:p w14:paraId="5902A09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9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95" w14:textId="77777777" w:rsidR="0084406A" w:rsidRDefault="002B18AF">
            <w:pPr>
              <w:jc w:val="right"/>
              <w:textAlignment w:val="bottom"/>
            </w:pPr>
            <w:r>
              <w:rPr>
                <w:rFonts w:ascii="Arial" w:eastAsia="宋体" w:hAnsi="Arial" w:cs="Arial"/>
                <w:color w:val="000000"/>
                <w:sz w:val="20"/>
                <w:szCs w:val="20"/>
              </w:rPr>
              <w:t>1,399 </w:t>
            </w:r>
          </w:p>
        </w:tc>
        <w:tc>
          <w:tcPr>
            <w:tcW w:w="0" w:type="auto"/>
            <w:shd w:val="clear" w:color="auto" w:fill="FFFFFF"/>
            <w:tcMar>
              <w:top w:w="40" w:type="dxa"/>
              <w:left w:w="0" w:type="dxa"/>
              <w:bottom w:w="40" w:type="dxa"/>
              <w:right w:w="20" w:type="dxa"/>
            </w:tcMar>
            <w:vAlign w:val="bottom"/>
          </w:tcPr>
          <w:p w14:paraId="5902A096" w14:textId="77777777" w:rsidR="0084406A" w:rsidRDefault="0084406A">
            <w:pPr>
              <w:jc w:val="right"/>
              <w:rPr>
                <w:rFonts w:ascii="宋体"/>
              </w:rPr>
            </w:pPr>
          </w:p>
        </w:tc>
      </w:tr>
      <w:tr w:rsidR="0084406A" w14:paraId="5902A09E" w14:textId="77777777">
        <w:tc>
          <w:tcPr>
            <w:tcW w:w="0" w:type="auto"/>
            <w:gridSpan w:val="3"/>
            <w:shd w:val="clear" w:color="auto" w:fill="CCEEFF"/>
            <w:tcMar>
              <w:top w:w="40" w:type="dxa"/>
              <w:left w:w="380" w:type="dxa"/>
              <w:bottom w:w="40" w:type="dxa"/>
              <w:right w:w="20" w:type="dxa"/>
            </w:tcMar>
            <w:vAlign w:val="bottom"/>
          </w:tcPr>
          <w:p w14:paraId="5902A098" w14:textId="77777777" w:rsidR="0084406A" w:rsidRDefault="002B18AF">
            <w:pPr>
              <w:textAlignment w:val="bottom"/>
            </w:pPr>
            <w:r>
              <w:rPr>
                <w:rFonts w:ascii="Arial" w:eastAsia="宋体" w:hAnsi="Arial" w:cs="Arial"/>
                <w:color w:val="000000"/>
                <w:sz w:val="20"/>
                <w:szCs w:val="20"/>
              </w:rPr>
              <w:t xml:space="preserve">Receivables from </w:t>
            </w:r>
            <w:r>
              <w:rPr>
                <w:rFonts w:ascii="Arial" w:eastAsia="宋体" w:hAnsi="Arial" w:cs="Arial"/>
                <w:color w:val="000000"/>
                <w:sz w:val="20"/>
                <w:szCs w:val="20"/>
              </w:rPr>
              <w:t>related parties</w:t>
            </w:r>
          </w:p>
        </w:tc>
        <w:tc>
          <w:tcPr>
            <w:tcW w:w="0" w:type="auto"/>
            <w:gridSpan w:val="2"/>
            <w:shd w:val="clear" w:color="auto" w:fill="CCEEFF"/>
            <w:tcMar>
              <w:top w:w="40" w:type="dxa"/>
              <w:left w:w="20" w:type="dxa"/>
              <w:bottom w:w="40" w:type="dxa"/>
              <w:right w:w="0" w:type="dxa"/>
            </w:tcMar>
            <w:vAlign w:val="bottom"/>
          </w:tcPr>
          <w:p w14:paraId="5902A099" w14:textId="77777777" w:rsidR="0084406A" w:rsidRDefault="002B18AF">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5902A09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9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9C" w14:textId="77777777" w:rsidR="0084406A" w:rsidRDefault="002B18AF">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902A09D" w14:textId="77777777" w:rsidR="0084406A" w:rsidRDefault="0084406A">
            <w:pPr>
              <w:jc w:val="right"/>
              <w:rPr>
                <w:rFonts w:ascii="宋体"/>
              </w:rPr>
            </w:pPr>
          </w:p>
        </w:tc>
      </w:tr>
      <w:tr w:rsidR="0084406A" w14:paraId="5902A0A5" w14:textId="77777777">
        <w:tc>
          <w:tcPr>
            <w:tcW w:w="0" w:type="auto"/>
            <w:gridSpan w:val="3"/>
            <w:shd w:val="clear" w:color="auto" w:fill="FFFFFF"/>
            <w:tcMar>
              <w:top w:w="40" w:type="dxa"/>
              <w:left w:w="380" w:type="dxa"/>
              <w:bottom w:w="40" w:type="dxa"/>
              <w:right w:w="20" w:type="dxa"/>
            </w:tcMar>
          </w:tcPr>
          <w:p w14:paraId="5902A09F" w14:textId="77777777" w:rsidR="0084406A" w:rsidRDefault="002B18AF">
            <w:pPr>
              <w:textAlignment w:val="top"/>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5902A0A0"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5902A0A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A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A3" w14:textId="77777777" w:rsidR="0084406A" w:rsidRDefault="002B18AF">
            <w:pPr>
              <w:jc w:val="right"/>
              <w:textAlignment w:val="bottom"/>
            </w:pPr>
            <w:r>
              <w:rPr>
                <w:rFonts w:ascii="Arial" w:eastAsia="宋体" w:hAnsi="Arial" w:cs="Arial"/>
                <w:color w:val="000000"/>
                <w:sz w:val="20"/>
                <w:szCs w:val="20"/>
              </w:rPr>
              <w:t>378 </w:t>
            </w:r>
          </w:p>
        </w:tc>
        <w:tc>
          <w:tcPr>
            <w:tcW w:w="0" w:type="auto"/>
            <w:shd w:val="clear" w:color="auto" w:fill="FFFFFF"/>
            <w:tcMar>
              <w:top w:w="40" w:type="dxa"/>
              <w:left w:w="0" w:type="dxa"/>
              <w:bottom w:w="40" w:type="dxa"/>
              <w:right w:w="20" w:type="dxa"/>
            </w:tcMar>
            <w:vAlign w:val="bottom"/>
          </w:tcPr>
          <w:p w14:paraId="5902A0A4" w14:textId="77777777" w:rsidR="0084406A" w:rsidRDefault="0084406A">
            <w:pPr>
              <w:jc w:val="right"/>
              <w:rPr>
                <w:rFonts w:ascii="宋体"/>
              </w:rPr>
            </w:pPr>
          </w:p>
        </w:tc>
      </w:tr>
      <w:tr w:rsidR="0084406A" w14:paraId="5902A0AC" w14:textId="77777777">
        <w:tc>
          <w:tcPr>
            <w:tcW w:w="0" w:type="auto"/>
            <w:gridSpan w:val="3"/>
            <w:shd w:val="clear" w:color="auto" w:fill="CCEEFF"/>
            <w:tcMar>
              <w:top w:w="40" w:type="dxa"/>
              <w:left w:w="1220" w:type="dxa"/>
              <w:bottom w:w="40" w:type="dxa"/>
              <w:right w:w="20" w:type="dxa"/>
            </w:tcMar>
            <w:vAlign w:val="bottom"/>
          </w:tcPr>
          <w:p w14:paraId="5902A0A6" w14:textId="77777777" w:rsidR="0084406A" w:rsidRDefault="002B18AF">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0A7" w14:textId="77777777" w:rsidR="0084406A" w:rsidRDefault="002B18AF">
            <w:pPr>
              <w:jc w:val="right"/>
              <w:textAlignment w:val="bottom"/>
            </w:pPr>
            <w:r>
              <w:rPr>
                <w:rFonts w:ascii="Arial" w:eastAsia="宋体" w:hAnsi="Arial" w:cs="Arial"/>
                <w:color w:val="000000"/>
                <w:sz w:val="20"/>
                <w:szCs w:val="20"/>
              </w:rPr>
              <w:t>8,583 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0A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A9"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0AA" w14:textId="77777777" w:rsidR="0084406A" w:rsidRDefault="002B18AF">
            <w:pPr>
              <w:jc w:val="right"/>
              <w:textAlignment w:val="bottom"/>
            </w:pPr>
            <w:r>
              <w:rPr>
                <w:rFonts w:ascii="Arial" w:eastAsia="宋体" w:hAnsi="Arial" w:cs="Arial"/>
                <w:color w:val="000000"/>
                <w:sz w:val="20"/>
                <w:szCs w:val="20"/>
              </w:rPr>
              <w:t>6,143 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0AB" w14:textId="77777777" w:rsidR="0084406A" w:rsidRDefault="0084406A">
            <w:pPr>
              <w:jc w:val="right"/>
              <w:rPr>
                <w:rFonts w:ascii="宋体"/>
              </w:rPr>
            </w:pPr>
          </w:p>
        </w:tc>
      </w:tr>
      <w:tr w:rsidR="0084406A" w14:paraId="5902A0B3" w14:textId="77777777">
        <w:tc>
          <w:tcPr>
            <w:tcW w:w="0" w:type="auto"/>
            <w:gridSpan w:val="3"/>
            <w:shd w:val="clear" w:color="auto" w:fill="FFFFFF"/>
            <w:tcMar>
              <w:top w:w="40" w:type="dxa"/>
              <w:left w:w="20" w:type="dxa"/>
              <w:bottom w:w="40" w:type="dxa"/>
              <w:right w:w="20" w:type="dxa"/>
            </w:tcMar>
            <w:vAlign w:val="bottom"/>
          </w:tcPr>
          <w:p w14:paraId="5902A0AD" w14:textId="77777777" w:rsidR="0084406A" w:rsidRDefault="002B18AF">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5902A0AE" w14:textId="77777777" w:rsidR="0084406A" w:rsidRDefault="002B18AF">
            <w:pPr>
              <w:jc w:val="right"/>
              <w:textAlignment w:val="bottom"/>
            </w:pPr>
            <w:r>
              <w:rPr>
                <w:rFonts w:ascii="Arial" w:eastAsia="宋体" w:hAnsi="Arial" w:cs="Arial"/>
                <w:color w:val="000000"/>
                <w:sz w:val="20"/>
                <w:szCs w:val="20"/>
              </w:rPr>
              <w:t>702 </w:t>
            </w:r>
          </w:p>
        </w:tc>
        <w:tc>
          <w:tcPr>
            <w:tcW w:w="0" w:type="auto"/>
            <w:shd w:val="clear" w:color="auto" w:fill="FFFFFF"/>
            <w:tcMar>
              <w:top w:w="40" w:type="dxa"/>
              <w:left w:w="0" w:type="dxa"/>
              <w:bottom w:w="40" w:type="dxa"/>
              <w:right w:w="20" w:type="dxa"/>
            </w:tcMar>
            <w:vAlign w:val="bottom"/>
          </w:tcPr>
          <w:p w14:paraId="5902A0A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B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B1" w14:textId="77777777" w:rsidR="0084406A" w:rsidRDefault="002B18AF">
            <w:pPr>
              <w:jc w:val="right"/>
              <w:textAlignment w:val="bottom"/>
            </w:pPr>
            <w:r>
              <w:rPr>
                <w:rFonts w:ascii="Arial" w:eastAsia="宋体" w:hAnsi="Arial" w:cs="Arial"/>
                <w:color w:val="000000"/>
                <w:sz w:val="20"/>
                <w:szCs w:val="20"/>
              </w:rPr>
              <w:t>641 </w:t>
            </w:r>
          </w:p>
        </w:tc>
        <w:tc>
          <w:tcPr>
            <w:tcW w:w="0" w:type="auto"/>
            <w:shd w:val="clear" w:color="auto" w:fill="FFFFFF"/>
            <w:tcMar>
              <w:top w:w="40" w:type="dxa"/>
              <w:left w:w="0" w:type="dxa"/>
              <w:bottom w:w="40" w:type="dxa"/>
              <w:right w:w="20" w:type="dxa"/>
            </w:tcMar>
            <w:vAlign w:val="bottom"/>
          </w:tcPr>
          <w:p w14:paraId="5902A0B2" w14:textId="77777777" w:rsidR="0084406A" w:rsidRDefault="0084406A">
            <w:pPr>
              <w:jc w:val="right"/>
              <w:rPr>
                <w:rFonts w:ascii="宋体"/>
              </w:rPr>
            </w:pPr>
          </w:p>
        </w:tc>
      </w:tr>
      <w:tr w:rsidR="0084406A" w14:paraId="5902A0BA" w14:textId="77777777">
        <w:tc>
          <w:tcPr>
            <w:tcW w:w="0" w:type="auto"/>
            <w:gridSpan w:val="3"/>
            <w:shd w:val="clear" w:color="auto" w:fill="CCEEFF"/>
            <w:tcMar>
              <w:top w:w="40" w:type="dxa"/>
              <w:left w:w="20" w:type="dxa"/>
              <w:bottom w:w="40" w:type="dxa"/>
              <w:right w:w="20" w:type="dxa"/>
            </w:tcMar>
            <w:vAlign w:val="bottom"/>
          </w:tcPr>
          <w:p w14:paraId="5902A0B4" w14:textId="77777777" w:rsidR="0084406A" w:rsidRDefault="002B18AF">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5902A0B5" w14:textId="77777777" w:rsidR="0084406A" w:rsidRDefault="002B18AF">
            <w:pPr>
              <w:jc w:val="right"/>
              <w:textAlignment w:val="bottom"/>
            </w:pPr>
            <w:r>
              <w:rPr>
                <w:rFonts w:ascii="Arial" w:eastAsia="宋体" w:hAnsi="Arial" w:cs="Arial"/>
                <w:color w:val="000000"/>
                <w:sz w:val="20"/>
                <w:szCs w:val="20"/>
              </w:rPr>
              <w:t>367 </w:t>
            </w:r>
          </w:p>
        </w:tc>
        <w:tc>
          <w:tcPr>
            <w:tcW w:w="0" w:type="auto"/>
            <w:shd w:val="clear" w:color="auto" w:fill="CCEEFF"/>
            <w:tcMar>
              <w:top w:w="40" w:type="dxa"/>
              <w:left w:w="0" w:type="dxa"/>
              <w:bottom w:w="40" w:type="dxa"/>
              <w:right w:w="20" w:type="dxa"/>
            </w:tcMar>
            <w:vAlign w:val="bottom"/>
          </w:tcPr>
          <w:p w14:paraId="5902A0B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B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B8" w14:textId="77777777" w:rsidR="0084406A" w:rsidRDefault="002B18AF">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5902A0B9" w14:textId="77777777" w:rsidR="0084406A" w:rsidRDefault="0084406A">
            <w:pPr>
              <w:jc w:val="right"/>
              <w:rPr>
                <w:rFonts w:ascii="宋体"/>
              </w:rPr>
            </w:pPr>
          </w:p>
        </w:tc>
      </w:tr>
      <w:tr w:rsidR="0084406A" w14:paraId="5902A0C1" w14:textId="77777777">
        <w:tc>
          <w:tcPr>
            <w:tcW w:w="0" w:type="auto"/>
            <w:gridSpan w:val="3"/>
            <w:shd w:val="clear" w:color="auto" w:fill="FFFFFF"/>
            <w:tcMar>
              <w:top w:w="40" w:type="dxa"/>
              <w:left w:w="20" w:type="dxa"/>
              <w:bottom w:w="40" w:type="dxa"/>
              <w:right w:w="20" w:type="dxa"/>
            </w:tcMar>
            <w:vAlign w:val="bottom"/>
          </w:tcPr>
          <w:p w14:paraId="5902A0BB" w14:textId="77777777" w:rsidR="0084406A" w:rsidRDefault="002B18AF">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5902A0BC" w14:textId="77777777" w:rsidR="0084406A" w:rsidRDefault="002B18AF">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5902A0B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B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BF" w14:textId="77777777" w:rsidR="0084406A" w:rsidRDefault="002B18AF">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5902A0C0" w14:textId="77777777" w:rsidR="0084406A" w:rsidRDefault="0084406A">
            <w:pPr>
              <w:jc w:val="right"/>
              <w:rPr>
                <w:rFonts w:ascii="宋体"/>
              </w:rPr>
            </w:pPr>
          </w:p>
        </w:tc>
      </w:tr>
      <w:tr w:rsidR="0084406A" w14:paraId="5902A0C8" w14:textId="77777777">
        <w:tc>
          <w:tcPr>
            <w:tcW w:w="0" w:type="auto"/>
            <w:gridSpan w:val="3"/>
            <w:shd w:val="clear" w:color="auto" w:fill="CCEEFF"/>
            <w:tcMar>
              <w:top w:w="40" w:type="dxa"/>
              <w:left w:w="20" w:type="dxa"/>
              <w:bottom w:w="40" w:type="dxa"/>
              <w:right w:w="20" w:type="dxa"/>
            </w:tcMar>
            <w:vAlign w:val="bottom"/>
          </w:tcPr>
          <w:p w14:paraId="5902A0C2" w14:textId="77777777" w:rsidR="0084406A" w:rsidRDefault="002B18AF">
            <w:pPr>
              <w:textAlignment w:val="bottom"/>
            </w:pPr>
            <w:r>
              <w:rPr>
                <w:rFonts w:ascii="Arial" w:eastAsia="宋体" w:hAnsi="Arial" w:cs="Arial"/>
                <w:color w:val="000000"/>
                <w:sz w:val="20"/>
                <w:szCs w:val="20"/>
              </w:rPr>
              <w:t>Investment: equity method</w:t>
            </w:r>
          </w:p>
        </w:tc>
        <w:tc>
          <w:tcPr>
            <w:tcW w:w="0" w:type="auto"/>
            <w:gridSpan w:val="2"/>
            <w:shd w:val="clear" w:color="auto" w:fill="CCEEFF"/>
            <w:tcMar>
              <w:top w:w="40" w:type="dxa"/>
              <w:left w:w="20" w:type="dxa"/>
              <w:bottom w:w="40" w:type="dxa"/>
              <w:right w:w="0" w:type="dxa"/>
            </w:tcMar>
            <w:vAlign w:val="bottom"/>
          </w:tcPr>
          <w:p w14:paraId="5902A0C3" w14:textId="77777777" w:rsidR="0084406A" w:rsidRDefault="002B18AF">
            <w:pPr>
              <w:jc w:val="right"/>
              <w:textAlignment w:val="bottom"/>
            </w:pPr>
            <w:r>
              <w:rPr>
                <w:rFonts w:ascii="Arial" w:eastAsia="宋体" w:hAnsi="Arial" w:cs="Arial"/>
                <w:color w:val="000000"/>
                <w:sz w:val="20"/>
                <w:szCs w:val="20"/>
              </w:rPr>
              <w:t>69 </w:t>
            </w:r>
          </w:p>
        </w:tc>
        <w:tc>
          <w:tcPr>
            <w:tcW w:w="0" w:type="auto"/>
            <w:shd w:val="clear" w:color="auto" w:fill="CCEEFF"/>
            <w:tcMar>
              <w:top w:w="40" w:type="dxa"/>
              <w:left w:w="0" w:type="dxa"/>
              <w:bottom w:w="40" w:type="dxa"/>
              <w:right w:w="20" w:type="dxa"/>
            </w:tcMar>
            <w:vAlign w:val="bottom"/>
          </w:tcPr>
          <w:p w14:paraId="5902A0C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C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C6" w14:textId="77777777" w:rsidR="0084406A" w:rsidRDefault="002B18AF">
            <w:pPr>
              <w:jc w:val="right"/>
              <w:textAlignment w:val="bottom"/>
            </w:pPr>
            <w:r>
              <w:rPr>
                <w:rFonts w:ascii="Arial" w:eastAsia="宋体"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5902A0C7" w14:textId="77777777" w:rsidR="0084406A" w:rsidRDefault="0084406A">
            <w:pPr>
              <w:jc w:val="right"/>
              <w:rPr>
                <w:rFonts w:ascii="宋体"/>
              </w:rPr>
            </w:pPr>
          </w:p>
        </w:tc>
      </w:tr>
      <w:tr w:rsidR="0084406A" w14:paraId="5902A0CF" w14:textId="77777777">
        <w:tc>
          <w:tcPr>
            <w:tcW w:w="0" w:type="auto"/>
            <w:gridSpan w:val="3"/>
            <w:shd w:val="clear" w:color="auto" w:fill="FFFFFF"/>
            <w:tcMar>
              <w:top w:w="40" w:type="dxa"/>
              <w:left w:w="20" w:type="dxa"/>
              <w:bottom w:w="40" w:type="dxa"/>
              <w:right w:w="20" w:type="dxa"/>
            </w:tcMar>
            <w:vAlign w:val="bottom"/>
          </w:tcPr>
          <w:p w14:paraId="5902A0C9" w14:textId="77777777" w:rsidR="0084406A" w:rsidRDefault="002B18AF">
            <w:pPr>
              <w:textAlignment w:val="bottom"/>
            </w:pPr>
            <w:r>
              <w:rPr>
                <w:rFonts w:ascii="Arial" w:eastAsia="宋体"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5902A0CA" w14:textId="77777777" w:rsidR="0084406A" w:rsidRDefault="002B18AF">
            <w:pPr>
              <w:jc w:val="right"/>
              <w:textAlignment w:val="bottom"/>
            </w:pPr>
            <w:r>
              <w:rPr>
                <w:rFonts w:ascii="Arial" w:eastAsia="宋体" w:hAnsi="Arial" w:cs="Arial"/>
                <w:color w:val="000000"/>
                <w:sz w:val="20"/>
                <w:szCs w:val="20"/>
              </w:rPr>
              <w:t>931 </w:t>
            </w:r>
          </w:p>
        </w:tc>
        <w:tc>
          <w:tcPr>
            <w:tcW w:w="0" w:type="auto"/>
            <w:shd w:val="clear" w:color="auto" w:fill="FFFFFF"/>
            <w:tcMar>
              <w:top w:w="40" w:type="dxa"/>
              <w:left w:w="0" w:type="dxa"/>
              <w:bottom w:w="40" w:type="dxa"/>
              <w:right w:w="20" w:type="dxa"/>
            </w:tcMar>
            <w:vAlign w:val="bottom"/>
          </w:tcPr>
          <w:p w14:paraId="5902A0C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C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CD" w14:textId="77777777" w:rsidR="0084406A" w:rsidRDefault="002B18AF">
            <w:pPr>
              <w:jc w:val="right"/>
              <w:textAlignment w:val="bottom"/>
            </w:pPr>
            <w:r>
              <w:rPr>
                <w:rFonts w:ascii="Arial" w:eastAsia="宋体" w:hAnsi="Arial" w:cs="Arial"/>
                <w:color w:val="000000"/>
                <w:sz w:val="20"/>
                <w:szCs w:val="20"/>
              </w:rPr>
              <w:t>1,245 </w:t>
            </w:r>
          </w:p>
        </w:tc>
        <w:tc>
          <w:tcPr>
            <w:tcW w:w="0" w:type="auto"/>
            <w:shd w:val="clear" w:color="auto" w:fill="FFFFFF"/>
            <w:tcMar>
              <w:top w:w="40" w:type="dxa"/>
              <w:left w:w="0" w:type="dxa"/>
              <w:bottom w:w="40" w:type="dxa"/>
              <w:right w:w="20" w:type="dxa"/>
            </w:tcMar>
            <w:vAlign w:val="bottom"/>
          </w:tcPr>
          <w:p w14:paraId="5902A0CE" w14:textId="77777777" w:rsidR="0084406A" w:rsidRDefault="0084406A">
            <w:pPr>
              <w:jc w:val="right"/>
              <w:rPr>
                <w:rFonts w:ascii="宋体"/>
              </w:rPr>
            </w:pPr>
          </w:p>
        </w:tc>
      </w:tr>
      <w:tr w:rsidR="0084406A" w14:paraId="5902A0D6" w14:textId="77777777">
        <w:tc>
          <w:tcPr>
            <w:tcW w:w="0" w:type="auto"/>
            <w:gridSpan w:val="3"/>
            <w:shd w:val="clear" w:color="auto" w:fill="CCEEFF"/>
            <w:tcMar>
              <w:top w:w="40" w:type="dxa"/>
              <w:left w:w="20" w:type="dxa"/>
              <w:bottom w:w="40" w:type="dxa"/>
              <w:right w:w="20" w:type="dxa"/>
            </w:tcMar>
            <w:vAlign w:val="bottom"/>
          </w:tcPr>
          <w:p w14:paraId="5902A0D0" w14:textId="77777777" w:rsidR="0084406A" w:rsidRDefault="002B18AF">
            <w:pPr>
              <w:textAlignment w:val="bottom"/>
            </w:pPr>
            <w:r>
              <w:rPr>
                <w:rFonts w:ascii="Arial" w:eastAsia="宋体" w:hAnsi="Arial" w:cs="Arial"/>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5902A0D1" w14:textId="77777777" w:rsidR="0084406A" w:rsidRDefault="002B18AF">
            <w:pPr>
              <w:jc w:val="right"/>
              <w:textAlignment w:val="bottom"/>
            </w:pPr>
            <w:r>
              <w:rPr>
                <w:rFonts w:ascii="Arial" w:eastAsia="宋体" w:hAnsi="Arial" w:cs="Arial"/>
                <w:color w:val="000000"/>
                <w:sz w:val="20"/>
                <w:szCs w:val="20"/>
              </w:rPr>
              <w:t>1,478 </w:t>
            </w:r>
          </w:p>
        </w:tc>
        <w:tc>
          <w:tcPr>
            <w:tcW w:w="0" w:type="auto"/>
            <w:shd w:val="clear" w:color="auto" w:fill="CCEEFF"/>
            <w:tcMar>
              <w:top w:w="40" w:type="dxa"/>
              <w:left w:w="0" w:type="dxa"/>
              <w:bottom w:w="40" w:type="dxa"/>
              <w:right w:w="20" w:type="dxa"/>
            </w:tcMar>
            <w:vAlign w:val="bottom"/>
          </w:tcPr>
          <w:p w14:paraId="5902A0D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D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D4" w14:textId="77777777" w:rsidR="0084406A" w:rsidRDefault="002B18AF">
            <w:pPr>
              <w:jc w:val="right"/>
              <w:textAlignment w:val="bottom"/>
            </w:pPr>
            <w:r>
              <w:rPr>
                <w:rFonts w:ascii="Arial" w:eastAsia="宋体" w:hAnsi="Arial" w:cs="Arial"/>
                <w:color w:val="000000"/>
                <w:sz w:val="20"/>
                <w:szCs w:val="20"/>
              </w:rPr>
              <w:t>373 </w:t>
            </w:r>
          </w:p>
        </w:tc>
        <w:tc>
          <w:tcPr>
            <w:tcW w:w="0" w:type="auto"/>
            <w:shd w:val="clear" w:color="auto" w:fill="CCEEFF"/>
            <w:tcMar>
              <w:top w:w="40" w:type="dxa"/>
              <w:left w:w="0" w:type="dxa"/>
              <w:bottom w:w="40" w:type="dxa"/>
              <w:right w:w="20" w:type="dxa"/>
            </w:tcMar>
            <w:vAlign w:val="bottom"/>
          </w:tcPr>
          <w:p w14:paraId="5902A0D5" w14:textId="77777777" w:rsidR="0084406A" w:rsidRDefault="0084406A">
            <w:pPr>
              <w:jc w:val="right"/>
              <w:rPr>
                <w:rFonts w:ascii="宋体"/>
              </w:rPr>
            </w:pPr>
          </w:p>
        </w:tc>
      </w:tr>
      <w:tr w:rsidR="0084406A" w14:paraId="5902A0DF" w14:textId="77777777">
        <w:tc>
          <w:tcPr>
            <w:tcW w:w="0" w:type="auto"/>
            <w:gridSpan w:val="3"/>
            <w:shd w:val="clear" w:color="auto" w:fill="FFFFFF"/>
            <w:tcMar>
              <w:top w:w="40" w:type="dxa"/>
              <w:left w:w="20" w:type="dxa"/>
              <w:bottom w:w="40" w:type="dxa"/>
              <w:right w:w="20" w:type="dxa"/>
            </w:tcMar>
            <w:vAlign w:val="bottom"/>
          </w:tcPr>
          <w:p w14:paraId="5902A0D7" w14:textId="77777777" w:rsidR="0084406A" w:rsidRDefault="002B18AF">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A0D8"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0D9" w14:textId="77777777" w:rsidR="0084406A" w:rsidRDefault="002B18AF">
            <w:pPr>
              <w:jc w:val="right"/>
              <w:textAlignment w:val="bottom"/>
            </w:pPr>
            <w:r>
              <w:rPr>
                <w:rFonts w:ascii="Arial" w:eastAsia="宋体" w:hAnsi="Arial" w:cs="Arial"/>
                <w:color w:val="000000"/>
                <w:sz w:val="20"/>
                <w:szCs w:val="20"/>
              </w:rPr>
              <w:t>12,419 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0D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DB"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A0D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0DD" w14:textId="77777777" w:rsidR="0084406A" w:rsidRDefault="002B18AF">
            <w:pPr>
              <w:jc w:val="right"/>
              <w:textAlignment w:val="bottom"/>
            </w:pPr>
            <w:r>
              <w:rPr>
                <w:rFonts w:ascii="Arial" w:eastAsia="宋体" w:hAnsi="Arial" w:cs="Arial"/>
                <w:color w:val="000000"/>
                <w:sz w:val="20"/>
                <w:szCs w:val="20"/>
              </w:rPr>
              <w:t>8,962 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0DE" w14:textId="77777777" w:rsidR="0084406A" w:rsidRDefault="0084406A">
            <w:pPr>
              <w:jc w:val="right"/>
              <w:rPr>
                <w:rFonts w:ascii="宋体"/>
              </w:rPr>
            </w:pPr>
          </w:p>
        </w:tc>
      </w:tr>
      <w:tr w:rsidR="0084406A" w14:paraId="5902A0E4" w14:textId="77777777">
        <w:tc>
          <w:tcPr>
            <w:tcW w:w="0" w:type="auto"/>
            <w:gridSpan w:val="3"/>
            <w:shd w:val="clear" w:color="auto" w:fill="CCEEFF"/>
            <w:tcMar>
              <w:top w:w="40" w:type="dxa"/>
              <w:left w:w="20" w:type="dxa"/>
              <w:bottom w:w="40" w:type="dxa"/>
              <w:right w:w="20" w:type="dxa"/>
            </w:tcMar>
            <w:vAlign w:val="bottom"/>
          </w:tcPr>
          <w:p w14:paraId="5902A0E0" w14:textId="77777777" w:rsidR="0084406A" w:rsidRDefault="002B18AF">
            <w:pPr>
              <w:jc w:val="center"/>
              <w:textAlignment w:val="bottom"/>
            </w:pPr>
            <w:r>
              <w:rPr>
                <w:rFonts w:ascii="Arial" w:eastAsia="宋体" w:hAnsi="Arial" w:cs="Arial"/>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A0E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0E2"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A0E3" w14:textId="77777777" w:rsidR="0084406A" w:rsidRDefault="0084406A">
            <w:pPr>
              <w:rPr>
                <w:rFonts w:ascii="宋体"/>
              </w:rPr>
            </w:pPr>
          </w:p>
        </w:tc>
      </w:tr>
      <w:tr w:rsidR="0084406A" w14:paraId="5902A0E9" w14:textId="77777777">
        <w:tc>
          <w:tcPr>
            <w:tcW w:w="0" w:type="auto"/>
            <w:gridSpan w:val="3"/>
            <w:shd w:val="clear" w:color="auto" w:fill="FFFFFF"/>
            <w:tcMar>
              <w:top w:w="40" w:type="dxa"/>
              <w:left w:w="20" w:type="dxa"/>
              <w:bottom w:w="40" w:type="dxa"/>
              <w:right w:w="20" w:type="dxa"/>
            </w:tcMar>
            <w:vAlign w:val="bottom"/>
          </w:tcPr>
          <w:p w14:paraId="5902A0E5" w14:textId="77777777" w:rsidR="0084406A" w:rsidRDefault="002B18AF">
            <w:pPr>
              <w:textAlignment w:val="bottom"/>
            </w:pPr>
            <w:r>
              <w:rPr>
                <w:rFonts w:ascii="Arial" w:eastAsia="宋体" w:hAnsi="Arial" w:cs="Arial"/>
                <w:b/>
                <w:bCs/>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14:paraId="5902A0E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E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0E8" w14:textId="77777777" w:rsidR="0084406A" w:rsidRDefault="0084406A">
            <w:pPr>
              <w:rPr>
                <w:rFonts w:ascii="宋体"/>
              </w:rPr>
            </w:pPr>
          </w:p>
        </w:tc>
      </w:tr>
      <w:tr w:rsidR="0084406A" w14:paraId="5902A0F2" w14:textId="77777777">
        <w:tc>
          <w:tcPr>
            <w:tcW w:w="0" w:type="auto"/>
            <w:gridSpan w:val="3"/>
            <w:shd w:val="clear" w:color="auto" w:fill="CCEEFF"/>
            <w:tcMar>
              <w:top w:w="40" w:type="dxa"/>
              <w:left w:w="380" w:type="dxa"/>
              <w:bottom w:w="40" w:type="dxa"/>
              <w:right w:w="20" w:type="dxa"/>
            </w:tcMar>
            <w:vAlign w:val="bottom"/>
          </w:tcPr>
          <w:p w14:paraId="5902A0EA" w14:textId="77777777" w:rsidR="0084406A" w:rsidRDefault="002B18AF">
            <w:pPr>
              <w:textAlignment w:val="bottom"/>
            </w:pPr>
            <w:r>
              <w:rPr>
                <w:rFonts w:ascii="Arial" w:eastAsia="宋体" w:hAnsi="Arial" w:cs="Arial"/>
                <w:color w:val="000000"/>
                <w:sz w:val="20"/>
                <w:szCs w:val="20"/>
              </w:rPr>
              <w:t>Accounts payable</w:t>
            </w:r>
          </w:p>
        </w:tc>
        <w:tc>
          <w:tcPr>
            <w:tcW w:w="0" w:type="auto"/>
            <w:shd w:val="clear" w:color="auto" w:fill="CCEEFF"/>
            <w:tcMar>
              <w:top w:w="40" w:type="dxa"/>
              <w:left w:w="20" w:type="dxa"/>
              <w:bottom w:w="40" w:type="dxa"/>
              <w:right w:w="0" w:type="dxa"/>
            </w:tcMar>
            <w:vAlign w:val="bottom"/>
          </w:tcPr>
          <w:p w14:paraId="5902A0E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EC" w14:textId="77777777" w:rsidR="0084406A" w:rsidRDefault="002B18AF">
            <w:pPr>
              <w:jc w:val="right"/>
              <w:textAlignment w:val="bottom"/>
            </w:pPr>
            <w:r>
              <w:rPr>
                <w:rFonts w:ascii="Arial" w:eastAsia="宋体" w:hAnsi="Arial" w:cs="Arial"/>
                <w:color w:val="000000"/>
                <w:sz w:val="20"/>
                <w:szCs w:val="20"/>
              </w:rPr>
              <w:t>1,321 </w:t>
            </w:r>
          </w:p>
        </w:tc>
        <w:tc>
          <w:tcPr>
            <w:tcW w:w="0" w:type="auto"/>
            <w:shd w:val="clear" w:color="auto" w:fill="CCEEFF"/>
            <w:tcMar>
              <w:top w:w="40" w:type="dxa"/>
              <w:left w:w="0" w:type="dxa"/>
              <w:bottom w:w="40" w:type="dxa"/>
              <w:right w:w="20" w:type="dxa"/>
            </w:tcMar>
            <w:vAlign w:val="bottom"/>
          </w:tcPr>
          <w:p w14:paraId="5902A0E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EE"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0E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0F0" w14:textId="77777777" w:rsidR="0084406A" w:rsidRDefault="002B18AF">
            <w:pPr>
              <w:jc w:val="right"/>
              <w:textAlignment w:val="bottom"/>
            </w:pPr>
            <w:r>
              <w:rPr>
                <w:rFonts w:ascii="Arial" w:eastAsia="宋体" w:hAnsi="Arial" w:cs="Arial"/>
                <w:color w:val="000000"/>
                <w:sz w:val="20"/>
                <w:szCs w:val="20"/>
              </w:rPr>
              <w:t>468 </w:t>
            </w:r>
          </w:p>
        </w:tc>
        <w:tc>
          <w:tcPr>
            <w:tcW w:w="0" w:type="auto"/>
            <w:shd w:val="clear" w:color="auto" w:fill="CCEEFF"/>
            <w:tcMar>
              <w:top w:w="40" w:type="dxa"/>
              <w:left w:w="0" w:type="dxa"/>
              <w:bottom w:w="40" w:type="dxa"/>
              <w:right w:w="20" w:type="dxa"/>
            </w:tcMar>
            <w:vAlign w:val="bottom"/>
          </w:tcPr>
          <w:p w14:paraId="5902A0F1" w14:textId="77777777" w:rsidR="0084406A" w:rsidRDefault="0084406A">
            <w:pPr>
              <w:jc w:val="right"/>
              <w:rPr>
                <w:rFonts w:ascii="宋体"/>
              </w:rPr>
            </w:pPr>
          </w:p>
        </w:tc>
      </w:tr>
      <w:tr w:rsidR="0084406A" w14:paraId="5902A0F9" w14:textId="77777777">
        <w:tc>
          <w:tcPr>
            <w:tcW w:w="0" w:type="auto"/>
            <w:gridSpan w:val="3"/>
            <w:shd w:val="clear" w:color="auto" w:fill="FFFFFF"/>
            <w:tcMar>
              <w:top w:w="40" w:type="dxa"/>
              <w:left w:w="380" w:type="dxa"/>
              <w:bottom w:w="40" w:type="dxa"/>
              <w:right w:w="20" w:type="dxa"/>
            </w:tcMar>
            <w:vAlign w:val="bottom"/>
          </w:tcPr>
          <w:p w14:paraId="5902A0F3" w14:textId="77777777" w:rsidR="0084406A" w:rsidRDefault="002B18AF">
            <w:pPr>
              <w:textAlignment w:val="bottom"/>
            </w:pPr>
            <w:r>
              <w:rPr>
                <w:rFonts w:ascii="Arial" w:eastAsia="宋体" w:hAnsi="Arial" w:cs="Arial"/>
                <w:color w:val="000000"/>
                <w:sz w:val="20"/>
                <w:szCs w:val="20"/>
              </w:rPr>
              <w:t>Payables to related parties</w:t>
            </w:r>
          </w:p>
        </w:tc>
        <w:tc>
          <w:tcPr>
            <w:tcW w:w="0" w:type="auto"/>
            <w:gridSpan w:val="2"/>
            <w:shd w:val="clear" w:color="auto" w:fill="FFFFFF"/>
            <w:tcMar>
              <w:top w:w="40" w:type="dxa"/>
              <w:left w:w="20" w:type="dxa"/>
              <w:bottom w:w="40" w:type="dxa"/>
              <w:right w:w="0" w:type="dxa"/>
            </w:tcMar>
            <w:vAlign w:val="bottom"/>
          </w:tcPr>
          <w:p w14:paraId="5902A0F4" w14:textId="77777777" w:rsidR="0084406A" w:rsidRDefault="002B18AF">
            <w:pPr>
              <w:jc w:val="right"/>
              <w:textAlignment w:val="bottom"/>
            </w:pPr>
            <w:r>
              <w:rPr>
                <w:rFonts w:ascii="Arial" w:eastAsia="宋体" w:hAnsi="Arial" w:cs="Arial"/>
                <w:color w:val="000000"/>
                <w:sz w:val="20"/>
                <w:szCs w:val="20"/>
              </w:rPr>
              <w:t>85 </w:t>
            </w:r>
          </w:p>
        </w:tc>
        <w:tc>
          <w:tcPr>
            <w:tcW w:w="0" w:type="auto"/>
            <w:shd w:val="clear" w:color="auto" w:fill="FFFFFF"/>
            <w:tcMar>
              <w:top w:w="40" w:type="dxa"/>
              <w:left w:w="0" w:type="dxa"/>
              <w:bottom w:w="40" w:type="dxa"/>
              <w:right w:w="20" w:type="dxa"/>
            </w:tcMar>
            <w:vAlign w:val="bottom"/>
          </w:tcPr>
          <w:p w14:paraId="5902A0F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0F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0F7" w14:textId="77777777" w:rsidR="0084406A" w:rsidRDefault="002B18AF">
            <w:pPr>
              <w:jc w:val="right"/>
              <w:textAlignment w:val="bottom"/>
            </w:pPr>
            <w:r>
              <w:rPr>
                <w:rFonts w:ascii="Arial" w:eastAsia="宋体"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5902A0F8" w14:textId="77777777" w:rsidR="0084406A" w:rsidRDefault="0084406A">
            <w:pPr>
              <w:jc w:val="right"/>
              <w:rPr>
                <w:rFonts w:ascii="宋体"/>
              </w:rPr>
            </w:pPr>
          </w:p>
        </w:tc>
      </w:tr>
      <w:tr w:rsidR="0084406A" w14:paraId="5902A100" w14:textId="77777777">
        <w:tc>
          <w:tcPr>
            <w:tcW w:w="0" w:type="auto"/>
            <w:gridSpan w:val="3"/>
            <w:shd w:val="clear" w:color="auto" w:fill="CCEEFF"/>
            <w:tcMar>
              <w:top w:w="40" w:type="dxa"/>
              <w:left w:w="380" w:type="dxa"/>
              <w:bottom w:w="40" w:type="dxa"/>
              <w:right w:w="20" w:type="dxa"/>
            </w:tcMar>
            <w:vAlign w:val="bottom"/>
          </w:tcPr>
          <w:p w14:paraId="5902A0FA" w14:textId="77777777" w:rsidR="0084406A" w:rsidRDefault="002B18AF">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5902A0FB" w14:textId="77777777" w:rsidR="0084406A" w:rsidRDefault="002B18AF">
            <w:pPr>
              <w:jc w:val="right"/>
              <w:textAlignment w:val="bottom"/>
            </w:pPr>
            <w:r>
              <w:rPr>
                <w:rFonts w:ascii="Arial" w:eastAsia="宋体" w:hAnsi="Arial" w:cs="Arial"/>
                <w:color w:val="000000"/>
                <w:sz w:val="20"/>
                <w:szCs w:val="20"/>
              </w:rPr>
              <w:t>2,424 </w:t>
            </w:r>
          </w:p>
        </w:tc>
        <w:tc>
          <w:tcPr>
            <w:tcW w:w="0" w:type="auto"/>
            <w:shd w:val="clear" w:color="auto" w:fill="CCEEFF"/>
            <w:tcMar>
              <w:top w:w="40" w:type="dxa"/>
              <w:left w:w="0" w:type="dxa"/>
              <w:bottom w:w="40" w:type="dxa"/>
              <w:right w:w="20" w:type="dxa"/>
            </w:tcMar>
            <w:vAlign w:val="bottom"/>
          </w:tcPr>
          <w:p w14:paraId="5902A0F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0F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0FE" w14:textId="77777777" w:rsidR="0084406A" w:rsidRDefault="002B18AF">
            <w:pPr>
              <w:jc w:val="right"/>
              <w:textAlignment w:val="bottom"/>
            </w:pPr>
            <w:r>
              <w:rPr>
                <w:rFonts w:ascii="Arial" w:eastAsia="宋体" w:hAnsi="Arial" w:cs="Arial"/>
                <w:color w:val="000000"/>
                <w:sz w:val="20"/>
                <w:szCs w:val="20"/>
              </w:rPr>
              <w:t>1,796 </w:t>
            </w:r>
          </w:p>
        </w:tc>
        <w:tc>
          <w:tcPr>
            <w:tcW w:w="0" w:type="auto"/>
            <w:shd w:val="clear" w:color="auto" w:fill="CCEEFF"/>
            <w:tcMar>
              <w:top w:w="40" w:type="dxa"/>
              <w:left w:w="0" w:type="dxa"/>
              <w:bottom w:w="40" w:type="dxa"/>
              <w:right w:w="20" w:type="dxa"/>
            </w:tcMar>
            <w:vAlign w:val="bottom"/>
          </w:tcPr>
          <w:p w14:paraId="5902A0FF" w14:textId="77777777" w:rsidR="0084406A" w:rsidRDefault="0084406A">
            <w:pPr>
              <w:jc w:val="right"/>
              <w:rPr>
                <w:rFonts w:ascii="宋体"/>
              </w:rPr>
            </w:pPr>
          </w:p>
        </w:tc>
      </w:tr>
      <w:tr w:rsidR="0084406A" w14:paraId="5902A107" w14:textId="77777777">
        <w:tc>
          <w:tcPr>
            <w:tcW w:w="0" w:type="auto"/>
            <w:gridSpan w:val="3"/>
            <w:shd w:val="clear" w:color="auto" w:fill="FFFFFF"/>
            <w:tcMar>
              <w:top w:w="40" w:type="dxa"/>
              <w:left w:w="380" w:type="dxa"/>
              <w:bottom w:w="40" w:type="dxa"/>
              <w:right w:w="20" w:type="dxa"/>
            </w:tcMar>
            <w:vAlign w:val="bottom"/>
          </w:tcPr>
          <w:p w14:paraId="5902A101" w14:textId="77777777" w:rsidR="0084406A" w:rsidRDefault="002B18AF">
            <w:pPr>
              <w:textAlignment w:val="bottom"/>
            </w:pPr>
            <w:r>
              <w:rPr>
                <w:rFonts w:ascii="Arial" w:eastAsia="宋体" w:hAnsi="Arial" w:cs="Arial"/>
                <w:color w:val="000000"/>
                <w:sz w:val="20"/>
                <w:szCs w:val="20"/>
              </w:rPr>
              <w:t>Current portion of long-term debt, net</w:t>
            </w:r>
          </w:p>
        </w:tc>
        <w:tc>
          <w:tcPr>
            <w:tcW w:w="0" w:type="auto"/>
            <w:gridSpan w:val="2"/>
            <w:shd w:val="clear" w:color="auto" w:fill="FFFFFF"/>
            <w:tcMar>
              <w:top w:w="40" w:type="dxa"/>
              <w:left w:w="20" w:type="dxa"/>
              <w:bottom w:w="40" w:type="dxa"/>
              <w:right w:w="0" w:type="dxa"/>
            </w:tcMar>
            <w:vAlign w:val="bottom"/>
          </w:tcPr>
          <w:p w14:paraId="5902A102"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5902A10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0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05"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106" w14:textId="77777777" w:rsidR="0084406A" w:rsidRDefault="0084406A">
            <w:pPr>
              <w:jc w:val="right"/>
              <w:rPr>
                <w:rFonts w:ascii="宋体"/>
              </w:rPr>
            </w:pPr>
          </w:p>
        </w:tc>
      </w:tr>
      <w:tr w:rsidR="0084406A" w14:paraId="5902A10E" w14:textId="77777777">
        <w:tc>
          <w:tcPr>
            <w:tcW w:w="0" w:type="auto"/>
            <w:gridSpan w:val="3"/>
            <w:shd w:val="clear" w:color="auto" w:fill="CCEEFF"/>
            <w:tcMar>
              <w:top w:w="40" w:type="dxa"/>
              <w:left w:w="380" w:type="dxa"/>
              <w:bottom w:w="40" w:type="dxa"/>
              <w:right w:w="20" w:type="dxa"/>
            </w:tcMar>
            <w:vAlign w:val="bottom"/>
          </w:tcPr>
          <w:p w14:paraId="5902A108" w14:textId="77777777" w:rsidR="0084406A" w:rsidRDefault="002B18AF">
            <w:pPr>
              <w:textAlignment w:val="bottom"/>
            </w:pPr>
            <w:r>
              <w:rPr>
                <w:rFonts w:ascii="Arial" w:eastAsia="宋体" w:hAnsi="Arial" w:cs="Arial"/>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5902A109" w14:textId="77777777" w:rsidR="0084406A" w:rsidRDefault="002B18AF">
            <w:pPr>
              <w:jc w:val="right"/>
              <w:textAlignment w:val="bottom"/>
            </w:pPr>
            <w:r>
              <w:rPr>
                <w:rFonts w:ascii="Arial" w:eastAsia="宋体" w:hAnsi="Arial" w:cs="Arial"/>
                <w:color w:val="000000"/>
                <w:sz w:val="20"/>
                <w:szCs w:val="20"/>
              </w:rPr>
              <w:t>98 </w:t>
            </w:r>
          </w:p>
        </w:tc>
        <w:tc>
          <w:tcPr>
            <w:tcW w:w="0" w:type="auto"/>
            <w:shd w:val="clear" w:color="auto" w:fill="CCEEFF"/>
            <w:tcMar>
              <w:top w:w="40" w:type="dxa"/>
              <w:left w:w="0" w:type="dxa"/>
              <w:bottom w:w="40" w:type="dxa"/>
              <w:right w:w="20" w:type="dxa"/>
            </w:tcMar>
            <w:vAlign w:val="bottom"/>
          </w:tcPr>
          <w:p w14:paraId="5902A10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0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0C" w14:textId="77777777" w:rsidR="0084406A" w:rsidRDefault="002B18AF">
            <w:pPr>
              <w:jc w:val="right"/>
              <w:textAlignment w:val="bottom"/>
            </w:pPr>
            <w:r>
              <w:rPr>
                <w:rFonts w:ascii="Arial" w:eastAsia="宋体" w:hAnsi="Arial" w:cs="Arial"/>
                <w:color w:val="000000"/>
                <w:sz w:val="20"/>
                <w:szCs w:val="20"/>
              </w:rPr>
              <w:t>75 </w:t>
            </w:r>
          </w:p>
        </w:tc>
        <w:tc>
          <w:tcPr>
            <w:tcW w:w="0" w:type="auto"/>
            <w:shd w:val="clear" w:color="auto" w:fill="CCEEFF"/>
            <w:tcMar>
              <w:top w:w="40" w:type="dxa"/>
              <w:left w:w="0" w:type="dxa"/>
              <w:bottom w:w="40" w:type="dxa"/>
              <w:right w:w="20" w:type="dxa"/>
            </w:tcMar>
            <w:vAlign w:val="bottom"/>
          </w:tcPr>
          <w:p w14:paraId="5902A10D" w14:textId="77777777" w:rsidR="0084406A" w:rsidRDefault="0084406A">
            <w:pPr>
              <w:jc w:val="right"/>
              <w:rPr>
                <w:rFonts w:ascii="宋体"/>
              </w:rPr>
            </w:pPr>
          </w:p>
        </w:tc>
      </w:tr>
      <w:tr w:rsidR="0084406A" w14:paraId="5902A115" w14:textId="77777777">
        <w:tc>
          <w:tcPr>
            <w:tcW w:w="0" w:type="auto"/>
            <w:gridSpan w:val="3"/>
            <w:shd w:val="clear" w:color="auto" w:fill="FFFFFF"/>
            <w:tcMar>
              <w:top w:w="40" w:type="dxa"/>
              <w:left w:w="1235" w:type="dxa"/>
              <w:bottom w:w="40" w:type="dxa"/>
              <w:right w:w="20" w:type="dxa"/>
            </w:tcMar>
            <w:vAlign w:val="bottom"/>
          </w:tcPr>
          <w:p w14:paraId="5902A10F" w14:textId="77777777" w:rsidR="0084406A" w:rsidRDefault="002B18AF">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110" w14:textId="77777777" w:rsidR="0084406A" w:rsidRDefault="002B18AF">
            <w:pPr>
              <w:jc w:val="right"/>
              <w:textAlignment w:val="bottom"/>
            </w:pPr>
            <w:r>
              <w:rPr>
                <w:rFonts w:ascii="Arial" w:eastAsia="宋体" w:hAnsi="Arial" w:cs="Arial"/>
                <w:color w:val="000000"/>
                <w:sz w:val="20"/>
                <w:szCs w:val="20"/>
              </w:rPr>
              <w:t>4,240 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11" w14:textId="77777777" w:rsidR="0084406A" w:rsidRDefault="0084406A">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112"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113" w14:textId="77777777" w:rsidR="0084406A" w:rsidRDefault="002B18AF">
            <w:pPr>
              <w:jc w:val="right"/>
              <w:textAlignment w:val="bottom"/>
            </w:pPr>
            <w:r>
              <w:rPr>
                <w:rFonts w:ascii="Arial" w:eastAsia="宋体" w:hAnsi="Arial" w:cs="Arial"/>
                <w:color w:val="000000"/>
                <w:sz w:val="20"/>
                <w:szCs w:val="20"/>
              </w:rPr>
              <w:t>2,417 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14" w14:textId="77777777" w:rsidR="0084406A" w:rsidRDefault="0084406A">
            <w:pPr>
              <w:jc w:val="right"/>
              <w:rPr>
                <w:rFonts w:ascii="宋体"/>
              </w:rPr>
            </w:pPr>
          </w:p>
        </w:tc>
      </w:tr>
      <w:tr w:rsidR="0084406A" w14:paraId="5902A11C" w14:textId="77777777">
        <w:tc>
          <w:tcPr>
            <w:tcW w:w="0" w:type="auto"/>
            <w:gridSpan w:val="3"/>
            <w:shd w:val="clear" w:color="auto" w:fill="CCEEFF"/>
            <w:tcMar>
              <w:top w:w="40" w:type="dxa"/>
              <w:left w:w="20" w:type="dxa"/>
              <w:bottom w:w="40" w:type="dxa"/>
              <w:right w:w="20" w:type="dxa"/>
            </w:tcMar>
            <w:vAlign w:val="bottom"/>
          </w:tcPr>
          <w:p w14:paraId="5902A116" w14:textId="77777777" w:rsidR="0084406A" w:rsidRDefault="002B18AF">
            <w:pPr>
              <w:textAlignment w:val="bottom"/>
            </w:pPr>
            <w:r>
              <w:rPr>
                <w:rFonts w:ascii="Arial" w:eastAsia="宋体" w:hAnsi="Arial" w:cs="Arial"/>
                <w:color w:val="000000"/>
                <w:sz w:val="20"/>
                <w:szCs w:val="20"/>
              </w:rPr>
              <w:t>Long-term debt, net of current portion</w:t>
            </w:r>
          </w:p>
        </w:tc>
        <w:tc>
          <w:tcPr>
            <w:tcW w:w="0" w:type="auto"/>
            <w:gridSpan w:val="2"/>
            <w:shd w:val="clear" w:color="auto" w:fill="CCEEFF"/>
            <w:tcMar>
              <w:top w:w="40" w:type="dxa"/>
              <w:left w:w="20" w:type="dxa"/>
              <w:bottom w:w="40" w:type="dxa"/>
              <w:right w:w="0" w:type="dxa"/>
            </w:tcMar>
            <w:vAlign w:val="bottom"/>
          </w:tcPr>
          <w:p w14:paraId="5902A117"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A11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1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1A" w14:textId="77777777" w:rsidR="0084406A" w:rsidRDefault="002B18AF">
            <w:pPr>
              <w:jc w:val="right"/>
              <w:textAlignment w:val="bottom"/>
            </w:pPr>
            <w:r>
              <w:rPr>
                <w:rFonts w:ascii="Arial" w:eastAsia="宋体" w:hAnsi="Arial" w:cs="Arial"/>
                <w:color w:val="000000"/>
                <w:sz w:val="20"/>
                <w:szCs w:val="20"/>
              </w:rPr>
              <w:t>330 </w:t>
            </w:r>
          </w:p>
        </w:tc>
        <w:tc>
          <w:tcPr>
            <w:tcW w:w="0" w:type="auto"/>
            <w:shd w:val="clear" w:color="auto" w:fill="CCEEFF"/>
            <w:tcMar>
              <w:top w:w="40" w:type="dxa"/>
              <w:left w:w="0" w:type="dxa"/>
              <w:bottom w:w="40" w:type="dxa"/>
              <w:right w:w="20" w:type="dxa"/>
            </w:tcMar>
            <w:vAlign w:val="bottom"/>
          </w:tcPr>
          <w:p w14:paraId="5902A11B" w14:textId="77777777" w:rsidR="0084406A" w:rsidRDefault="0084406A">
            <w:pPr>
              <w:jc w:val="right"/>
              <w:rPr>
                <w:rFonts w:ascii="宋体"/>
              </w:rPr>
            </w:pPr>
          </w:p>
        </w:tc>
      </w:tr>
      <w:tr w:rsidR="0084406A" w14:paraId="5902A123" w14:textId="77777777">
        <w:tc>
          <w:tcPr>
            <w:tcW w:w="0" w:type="auto"/>
            <w:gridSpan w:val="3"/>
            <w:shd w:val="clear" w:color="auto" w:fill="FFFFFF"/>
            <w:tcMar>
              <w:top w:w="40" w:type="dxa"/>
              <w:left w:w="20" w:type="dxa"/>
              <w:bottom w:w="40" w:type="dxa"/>
              <w:right w:w="20" w:type="dxa"/>
            </w:tcMar>
            <w:vAlign w:val="bottom"/>
          </w:tcPr>
          <w:p w14:paraId="5902A11D" w14:textId="77777777" w:rsidR="0084406A" w:rsidRDefault="002B18AF">
            <w:pPr>
              <w:textAlignment w:val="bottom"/>
            </w:pPr>
            <w:r>
              <w:rPr>
                <w:rFonts w:ascii="Arial" w:eastAsia="宋体" w:hAnsi="Arial" w:cs="Arial"/>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5902A11E" w14:textId="77777777" w:rsidR="0084406A" w:rsidRDefault="002B18AF">
            <w:pPr>
              <w:jc w:val="right"/>
              <w:textAlignment w:val="bottom"/>
            </w:pPr>
            <w:r>
              <w:rPr>
                <w:rFonts w:ascii="Arial" w:eastAsia="宋体" w:hAnsi="Arial" w:cs="Arial"/>
                <w:color w:val="000000"/>
                <w:sz w:val="20"/>
                <w:szCs w:val="20"/>
              </w:rPr>
              <w:t>348 </w:t>
            </w:r>
          </w:p>
        </w:tc>
        <w:tc>
          <w:tcPr>
            <w:tcW w:w="0" w:type="auto"/>
            <w:shd w:val="clear" w:color="auto" w:fill="FFFFFF"/>
            <w:tcMar>
              <w:top w:w="40" w:type="dxa"/>
              <w:left w:w="0" w:type="dxa"/>
              <w:bottom w:w="40" w:type="dxa"/>
              <w:right w:w="20" w:type="dxa"/>
            </w:tcMar>
            <w:vAlign w:val="bottom"/>
          </w:tcPr>
          <w:p w14:paraId="5902A11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2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21" w14:textId="77777777" w:rsidR="0084406A" w:rsidRDefault="002B18AF">
            <w:pPr>
              <w:jc w:val="right"/>
              <w:textAlignment w:val="bottom"/>
            </w:pPr>
            <w:r>
              <w:rPr>
                <w:rFonts w:ascii="Arial" w:eastAsia="宋体" w:hAnsi="Arial" w:cs="Arial"/>
                <w:color w:val="000000"/>
                <w:sz w:val="20"/>
                <w:szCs w:val="20"/>
              </w:rPr>
              <w:t>201 </w:t>
            </w:r>
          </w:p>
        </w:tc>
        <w:tc>
          <w:tcPr>
            <w:tcW w:w="0" w:type="auto"/>
            <w:shd w:val="clear" w:color="auto" w:fill="FFFFFF"/>
            <w:tcMar>
              <w:top w:w="40" w:type="dxa"/>
              <w:left w:w="0" w:type="dxa"/>
              <w:bottom w:w="40" w:type="dxa"/>
              <w:right w:w="20" w:type="dxa"/>
            </w:tcMar>
            <w:vAlign w:val="bottom"/>
          </w:tcPr>
          <w:p w14:paraId="5902A122" w14:textId="77777777" w:rsidR="0084406A" w:rsidRDefault="0084406A">
            <w:pPr>
              <w:jc w:val="right"/>
              <w:rPr>
                <w:rFonts w:ascii="宋体"/>
              </w:rPr>
            </w:pPr>
          </w:p>
        </w:tc>
      </w:tr>
      <w:tr w:rsidR="0084406A" w14:paraId="5902A12A" w14:textId="77777777">
        <w:tc>
          <w:tcPr>
            <w:tcW w:w="0" w:type="auto"/>
            <w:gridSpan w:val="3"/>
            <w:shd w:val="clear" w:color="auto" w:fill="CCEEFF"/>
            <w:tcMar>
              <w:top w:w="40" w:type="dxa"/>
              <w:left w:w="20" w:type="dxa"/>
              <w:bottom w:w="40" w:type="dxa"/>
              <w:right w:w="20" w:type="dxa"/>
            </w:tcMar>
            <w:vAlign w:val="bottom"/>
          </w:tcPr>
          <w:p w14:paraId="5902A124" w14:textId="77777777" w:rsidR="0084406A" w:rsidRDefault="002B18AF">
            <w:pPr>
              <w:textAlignment w:val="bottom"/>
            </w:pPr>
            <w:r>
              <w:rPr>
                <w:rFonts w:ascii="Arial" w:eastAsia="宋体"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5902A125" w14:textId="77777777" w:rsidR="0084406A" w:rsidRDefault="002B18AF">
            <w:pPr>
              <w:jc w:val="right"/>
              <w:textAlignment w:val="bottom"/>
            </w:pPr>
            <w:r>
              <w:rPr>
                <w:rFonts w:ascii="Arial" w:eastAsia="宋体" w:hAnsi="Arial" w:cs="Arial"/>
                <w:color w:val="000000"/>
                <w:sz w:val="20"/>
                <w:szCs w:val="20"/>
              </w:rPr>
              <w:t>333 </w:t>
            </w:r>
          </w:p>
        </w:tc>
        <w:tc>
          <w:tcPr>
            <w:tcW w:w="0" w:type="auto"/>
            <w:shd w:val="clear" w:color="auto" w:fill="CCEEFF"/>
            <w:tcMar>
              <w:top w:w="40" w:type="dxa"/>
              <w:left w:w="0" w:type="dxa"/>
              <w:bottom w:w="40" w:type="dxa"/>
              <w:right w:w="20" w:type="dxa"/>
            </w:tcMar>
            <w:vAlign w:val="bottom"/>
          </w:tcPr>
          <w:p w14:paraId="5902A12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2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28" w14:textId="77777777" w:rsidR="0084406A" w:rsidRDefault="002B18AF">
            <w:pPr>
              <w:jc w:val="right"/>
              <w:textAlignment w:val="bottom"/>
            </w:pPr>
            <w:r>
              <w:rPr>
                <w:rFonts w:ascii="Arial" w:eastAsia="宋体" w:hAnsi="Arial" w:cs="Arial"/>
                <w:color w:val="000000"/>
                <w:sz w:val="20"/>
                <w:szCs w:val="20"/>
              </w:rPr>
              <w:t>177 </w:t>
            </w:r>
          </w:p>
        </w:tc>
        <w:tc>
          <w:tcPr>
            <w:tcW w:w="0" w:type="auto"/>
            <w:shd w:val="clear" w:color="auto" w:fill="CCEEFF"/>
            <w:tcMar>
              <w:top w:w="40" w:type="dxa"/>
              <w:left w:w="0" w:type="dxa"/>
              <w:bottom w:w="40" w:type="dxa"/>
              <w:right w:w="20" w:type="dxa"/>
            </w:tcMar>
            <w:vAlign w:val="bottom"/>
          </w:tcPr>
          <w:p w14:paraId="5902A129" w14:textId="77777777" w:rsidR="0084406A" w:rsidRDefault="0084406A">
            <w:pPr>
              <w:jc w:val="right"/>
              <w:rPr>
                <w:rFonts w:ascii="宋体"/>
              </w:rPr>
            </w:pPr>
          </w:p>
        </w:tc>
      </w:tr>
      <w:tr w:rsidR="0084406A" w14:paraId="5902A12F" w14:textId="77777777">
        <w:tc>
          <w:tcPr>
            <w:tcW w:w="0" w:type="auto"/>
            <w:gridSpan w:val="3"/>
            <w:shd w:val="clear" w:color="auto" w:fill="FFFFFF"/>
            <w:tcMar>
              <w:top w:w="40" w:type="dxa"/>
              <w:left w:w="20" w:type="dxa"/>
              <w:bottom w:w="40" w:type="dxa"/>
              <w:right w:w="20" w:type="dxa"/>
            </w:tcMar>
            <w:vAlign w:val="bottom"/>
          </w:tcPr>
          <w:p w14:paraId="5902A12B" w14:textId="77777777" w:rsidR="0084406A" w:rsidRDefault="002B18AF">
            <w:pPr>
              <w:textAlignment w:val="bottom"/>
            </w:pPr>
            <w:r>
              <w:rPr>
                <w:rFonts w:ascii="Arial" w:eastAsia="宋体" w:hAnsi="Arial" w:cs="Arial"/>
                <w:color w:val="000000"/>
                <w:sz w:val="20"/>
                <w:szCs w:val="20"/>
              </w:rPr>
              <w:t>Commitments and Contingencies (see Notes 16 and 17)</w:t>
            </w:r>
          </w:p>
        </w:tc>
        <w:tc>
          <w:tcPr>
            <w:tcW w:w="0" w:type="auto"/>
            <w:gridSpan w:val="3"/>
            <w:shd w:val="clear" w:color="auto" w:fill="FFFFFF"/>
            <w:tcMar>
              <w:top w:w="0" w:type="dxa"/>
              <w:left w:w="20" w:type="dxa"/>
              <w:bottom w:w="0" w:type="dxa"/>
              <w:right w:w="20" w:type="dxa"/>
            </w:tcMar>
            <w:vAlign w:val="bottom"/>
          </w:tcPr>
          <w:p w14:paraId="5902A12C"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2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2E" w14:textId="77777777" w:rsidR="0084406A" w:rsidRDefault="0084406A">
            <w:pPr>
              <w:rPr>
                <w:rFonts w:ascii="宋体"/>
              </w:rPr>
            </w:pPr>
          </w:p>
        </w:tc>
      </w:tr>
      <w:tr w:rsidR="0084406A" w14:paraId="5902A134" w14:textId="77777777">
        <w:tc>
          <w:tcPr>
            <w:tcW w:w="0" w:type="auto"/>
            <w:gridSpan w:val="3"/>
            <w:shd w:val="clear" w:color="auto" w:fill="CCEEFF"/>
            <w:tcMar>
              <w:top w:w="40" w:type="dxa"/>
              <w:left w:w="20" w:type="dxa"/>
              <w:bottom w:w="40" w:type="dxa"/>
              <w:right w:w="20" w:type="dxa"/>
            </w:tcMar>
            <w:vAlign w:val="bottom"/>
          </w:tcPr>
          <w:p w14:paraId="5902A130" w14:textId="77777777" w:rsidR="0084406A" w:rsidRDefault="002B18AF">
            <w:pPr>
              <w:textAlignment w:val="bottom"/>
            </w:pPr>
            <w:r>
              <w:rPr>
                <w:rFonts w:ascii="Arial" w:eastAsia="宋体"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5902A13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3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33" w14:textId="77777777" w:rsidR="0084406A" w:rsidRDefault="0084406A">
            <w:pPr>
              <w:rPr>
                <w:rFonts w:ascii="宋体"/>
              </w:rPr>
            </w:pPr>
          </w:p>
        </w:tc>
      </w:tr>
      <w:tr w:rsidR="0084406A" w14:paraId="5902A139" w14:textId="77777777">
        <w:tc>
          <w:tcPr>
            <w:tcW w:w="0" w:type="auto"/>
            <w:gridSpan w:val="3"/>
            <w:shd w:val="clear" w:color="auto" w:fill="FFFFFF"/>
            <w:tcMar>
              <w:top w:w="40" w:type="dxa"/>
              <w:left w:w="380" w:type="dxa"/>
              <w:bottom w:w="40" w:type="dxa"/>
              <w:right w:w="20" w:type="dxa"/>
            </w:tcMar>
            <w:vAlign w:val="bottom"/>
          </w:tcPr>
          <w:p w14:paraId="5902A135" w14:textId="77777777" w:rsidR="0084406A" w:rsidRDefault="002B18AF">
            <w:pPr>
              <w:textAlignment w:val="bottom"/>
            </w:pPr>
            <w:r>
              <w:rPr>
                <w:rFonts w:ascii="Arial" w:eastAsia="宋体" w:hAnsi="Arial" w:cs="Arial"/>
                <w:color w:val="000000"/>
                <w:sz w:val="20"/>
                <w:szCs w:val="20"/>
              </w:rPr>
              <w:t>Capital stock:</w:t>
            </w:r>
          </w:p>
        </w:tc>
        <w:tc>
          <w:tcPr>
            <w:tcW w:w="0" w:type="auto"/>
            <w:gridSpan w:val="3"/>
            <w:shd w:val="clear" w:color="auto" w:fill="FFFFFF"/>
            <w:tcMar>
              <w:top w:w="0" w:type="dxa"/>
              <w:left w:w="20" w:type="dxa"/>
              <w:bottom w:w="0" w:type="dxa"/>
              <w:right w:w="20" w:type="dxa"/>
            </w:tcMar>
            <w:vAlign w:val="bottom"/>
          </w:tcPr>
          <w:p w14:paraId="5902A13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3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38" w14:textId="77777777" w:rsidR="0084406A" w:rsidRDefault="0084406A">
            <w:pPr>
              <w:rPr>
                <w:rFonts w:ascii="宋体"/>
              </w:rPr>
            </w:pPr>
          </w:p>
        </w:tc>
      </w:tr>
      <w:tr w:rsidR="0084406A" w14:paraId="5902A140" w14:textId="77777777">
        <w:tc>
          <w:tcPr>
            <w:tcW w:w="0" w:type="auto"/>
            <w:gridSpan w:val="3"/>
            <w:shd w:val="clear" w:color="auto" w:fill="CCEEFF"/>
            <w:tcMar>
              <w:top w:w="40" w:type="dxa"/>
              <w:left w:w="20" w:type="dxa"/>
              <w:bottom w:w="40" w:type="dxa"/>
              <w:right w:w="20" w:type="dxa"/>
            </w:tcMar>
            <w:vAlign w:val="bottom"/>
          </w:tcPr>
          <w:p w14:paraId="5902A13A" w14:textId="77777777" w:rsidR="0084406A" w:rsidRDefault="002B18AF">
            <w:pPr>
              <w:textAlignment w:val="bottom"/>
            </w:pPr>
            <w:r>
              <w:rPr>
                <w:rFonts w:ascii="Arial" w:eastAsia="宋体" w:hAnsi="Arial" w:cs="Arial"/>
                <w:color w:val="000000"/>
                <w:sz w:val="20"/>
                <w:szCs w:val="20"/>
              </w:rPr>
              <w:t xml:space="preserve">Common stock, par value $0.01; shares </w:t>
            </w:r>
            <w:r>
              <w:rPr>
                <w:rFonts w:ascii="Arial" w:eastAsia="宋体" w:hAnsi="Arial" w:cs="Arial"/>
                <w:color w:val="000000"/>
                <w:sz w:val="20"/>
                <w:szCs w:val="20"/>
              </w:rPr>
              <w:t>authorized: 2,250; shares issued: 1,232 and 1,217; shares outstanding: 1,207 and 1,211</w:t>
            </w:r>
          </w:p>
        </w:tc>
        <w:tc>
          <w:tcPr>
            <w:tcW w:w="0" w:type="auto"/>
            <w:gridSpan w:val="2"/>
            <w:shd w:val="clear" w:color="auto" w:fill="CCEEFF"/>
            <w:tcMar>
              <w:top w:w="40" w:type="dxa"/>
              <w:left w:w="20" w:type="dxa"/>
              <w:bottom w:w="40" w:type="dxa"/>
              <w:right w:w="0" w:type="dxa"/>
            </w:tcMar>
            <w:vAlign w:val="bottom"/>
          </w:tcPr>
          <w:p w14:paraId="5902A13B"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902A13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3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3E"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902A13F" w14:textId="77777777" w:rsidR="0084406A" w:rsidRDefault="0084406A">
            <w:pPr>
              <w:jc w:val="right"/>
              <w:rPr>
                <w:rFonts w:ascii="宋体"/>
              </w:rPr>
            </w:pPr>
          </w:p>
        </w:tc>
      </w:tr>
      <w:tr w:rsidR="0084406A" w14:paraId="5902A147" w14:textId="77777777">
        <w:tc>
          <w:tcPr>
            <w:tcW w:w="0" w:type="auto"/>
            <w:gridSpan w:val="3"/>
            <w:shd w:val="clear" w:color="auto" w:fill="FFFFFF"/>
            <w:tcMar>
              <w:top w:w="40" w:type="dxa"/>
              <w:left w:w="380" w:type="dxa"/>
              <w:bottom w:w="40" w:type="dxa"/>
              <w:right w:w="20" w:type="dxa"/>
            </w:tcMar>
            <w:vAlign w:val="bottom"/>
          </w:tcPr>
          <w:p w14:paraId="5902A141" w14:textId="77777777" w:rsidR="0084406A" w:rsidRDefault="002B18AF">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5902A142" w14:textId="77777777" w:rsidR="0084406A" w:rsidRDefault="002B18AF">
            <w:pPr>
              <w:jc w:val="right"/>
              <w:textAlignment w:val="bottom"/>
            </w:pPr>
            <w:r>
              <w:rPr>
                <w:rFonts w:ascii="Arial" w:eastAsia="宋体" w:hAnsi="Arial" w:cs="Arial"/>
                <w:color w:val="000000"/>
                <w:sz w:val="20"/>
                <w:szCs w:val="20"/>
              </w:rPr>
              <w:t>11,069 </w:t>
            </w:r>
          </w:p>
        </w:tc>
        <w:tc>
          <w:tcPr>
            <w:tcW w:w="0" w:type="auto"/>
            <w:shd w:val="clear" w:color="auto" w:fill="FFFFFF"/>
            <w:tcMar>
              <w:top w:w="40" w:type="dxa"/>
              <w:left w:w="0" w:type="dxa"/>
              <w:bottom w:w="40" w:type="dxa"/>
              <w:right w:w="20" w:type="dxa"/>
            </w:tcMar>
            <w:vAlign w:val="bottom"/>
          </w:tcPr>
          <w:p w14:paraId="5902A14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4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45" w14:textId="77777777" w:rsidR="0084406A" w:rsidRDefault="002B18AF">
            <w:pPr>
              <w:jc w:val="right"/>
              <w:textAlignment w:val="bottom"/>
            </w:pPr>
            <w:r>
              <w:rPr>
                <w:rFonts w:ascii="Arial" w:eastAsia="宋体" w:hAnsi="Arial" w:cs="Arial"/>
                <w:color w:val="000000"/>
                <w:sz w:val="20"/>
                <w:szCs w:val="20"/>
              </w:rPr>
              <w:t>10,544 </w:t>
            </w:r>
          </w:p>
        </w:tc>
        <w:tc>
          <w:tcPr>
            <w:tcW w:w="0" w:type="auto"/>
            <w:shd w:val="clear" w:color="auto" w:fill="FFFFFF"/>
            <w:tcMar>
              <w:top w:w="40" w:type="dxa"/>
              <w:left w:w="0" w:type="dxa"/>
              <w:bottom w:w="40" w:type="dxa"/>
              <w:right w:w="20" w:type="dxa"/>
            </w:tcMar>
            <w:vAlign w:val="bottom"/>
          </w:tcPr>
          <w:p w14:paraId="5902A146" w14:textId="77777777" w:rsidR="0084406A" w:rsidRDefault="0084406A">
            <w:pPr>
              <w:jc w:val="right"/>
              <w:rPr>
                <w:rFonts w:ascii="宋体"/>
              </w:rPr>
            </w:pPr>
          </w:p>
        </w:tc>
      </w:tr>
      <w:tr w:rsidR="0084406A" w14:paraId="5902A14E" w14:textId="77777777">
        <w:tc>
          <w:tcPr>
            <w:tcW w:w="0" w:type="auto"/>
            <w:gridSpan w:val="3"/>
            <w:shd w:val="clear" w:color="auto" w:fill="CCEEFF"/>
            <w:tcMar>
              <w:top w:w="40" w:type="dxa"/>
              <w:left w:w="20" w:type="dxa"/>
              <w:bottom w:w="40" w:type="dxa"/>
              <w:right w:w="20" w:type="dxa"/>
            </w:tcMar>
            <w:vAlign w:val="bottom"/>
          </w:tcPr>
          <w:p w14:paraId="5902A148" w14:textId="77777777" w:rsidR="0084406A" w:rsidRDefault="002B18AF">
            <w:pPr>
              <w:textAlignment w:val="bottom"/>
            </w:pPr>
            <w:r>
              <w:rPr>
                <w:rFonts w:ascii="Arial" w:eastAsia="宋体" w:hAnsi="Arial" w:cs="Arial"/>
                <w:color w:val="000000"/>
                <w:sz w:val="20"/>
                <w:szCs w:val="20"/>
              </w:rPr>
              <w:t>Treasury stock, at cost (shares held: 25 and 6)</w:t>
            </w:r>
          </w:p>
        </w:tc>
        <w:tc>
          <w:tcPr>
            <w:tcW w:w="0" w:type="auto"/>
            <w:gridSpan w:val="2"/>
            <w:shd w:val="clear" w:color="auto" w:fill="CCEEFF"/>
            <w:tcMar>
              <w:top w:w="40" w:type="dxa"/>
              <w:left w:w="20" w:type="dxa"/>
              <w:bottom w:w="40" w:type="dxa"/>
              <w:right w:w="0" w:type="dxa"/>
            </w:tcMar>
            <w:vAlign w:val="bottom"/>
          </w:tcPr>
          <w:p w14:paraId="5902A149" w14:textId="77777777" w:rsidR="0084406A" w:rsidRDefault="002B18AF">
            <w:pPr>
              <w:jc w:val="right"/>
              <w:textAlignment w:val="bottom"/>
            </w:pPr>
            <w:r>
              <w:rPr>
                <w:rFonts w:ascii="Arial" w:eastAsia="宋体" w:hAnsi="Arial" w:cs="Arial"/>
                <w:color w:val="000000"/>
                <w:sz w:val="20"/>
                <w:szCs w:val="20"/>
              </w:rPr>
              <w:t>(2,130)</w:t>
            </w:r>
          </w:p>
        </w:tc>
        <w:tc>
          <w:tcPr>
            <w:tcW w:w="0" w:type="auto"/>
            <w:shd w:val="clear" w:color="auto" w:fill="CCEEFF"/>
            <w:tcMar>
              <w:top w:w="40" w:type="dxa"/>
              <w:left w:w="0" w:type="dxa"/>
              <w:bottom w:w="40" w:type="dxa"/>
              <w:right w:w="20" w:type="dxa"/>
            </w:tcMar>
            <w:vAlign w:val="bottom"/>
          </w:tcPr>
          <w:p w14:paraId="5902A14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4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4C" w14:textId="77777777" w:rsidR="0084406A" w:rsidRDefault="002B18AF">
            <w:pPr>
              <w:jc w:val="right"/>
              <w:textAlignment w:val="bottom"/>
            </w:pPr>
            <w:r>
              <w:rPr>
                <w:rFonts w:ascii="Arial" w:eastAsia="宋体" w:hAnsi="Arial" w:cs="Arial"/>
                <w:color w:val="000000"/>
                <w:sz w:val="20"/>
                <w:szCs w:val="20"/>
              </w:rPr>
              <w:t>(131)</w:t>
            </w:r>
          </w:p>
        </w:tc>
        <w:tc>
          <w:tcPr>
            <w:tcW w:w="0" w:type="auto"/>
            <w:shd w:val="clear" w:color="auto" w:fill="CCEEFF"/>
            <w:tcMar>
              <w:top w:w="40" w:type="dxa"/>
              <w:left w:w="0" w:type="dxa"/>
              <w:bottom w:w="40" w:type="dxa"/>
              <w:right w:w="20" w:type="dxa"/>
            </w:tcMar>
            <w:vAlign w:val="bottom"/>
          </w:tcPr>
          <w:p w14:paraId="5902A14D" w14:textId="77777777" w:rsidR="0084406A" w:rsidRDefault="0084406A">
            <w:pPr>
              <w:jc w:val="right"/>
              <w:rPr>
                <w:rFonts w:ascii="宋体"/>
              </w:rPr>
            </w:pPr>
          </w:p>
        </w:tc>
      </w:tr>
      <w:tr w:rsidR="0084406A" w14:paraId="5902A155" w14:textId="77777777">
        <w:tc>
          <w:tcPr>
            <w:tcW w:w="0" w:type="auto"/>
            <w:gridSpan w:val="3"/>
            <w:shd w:val="clear" w:color="auto" w:fill="FFFFFF"/>
            <w:tcMar>
              <w:top w:w="40" w:type="dxa"/>
              <w:left w:w="380" w:type="dxa"/>
              <w:bottom w:w="40" w:type="dxa"/>
              <w:right w:w="20" w:type="dxa"/>
            </w:tcMar>
            <w:vAlign w:val="bottom"/>
          </w:tcPr>
          <w:p w14:paraId="5902A14F" w14:textId="77777777" w:rsidR="0084406A" w:rsidRDefault="002B18AF">
            <w:pPr>
              <w:textAlignment w:val="bottom"/>
            </w:pPr>
            <w:r>
              <w:rPr>
                <w:rFonts w:ascii="Arial" w:eastAsia="宋体"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5902A150" w14:textId="77777777" w:rsidR="0084406A" w:rsidRDefault="002B18AF">
            <w:pPr>
              <w:jc w:val="right"/>
              <w:textAlignment w:val="bottom"/>
            </w:pPr>
            <w:r>
              <w:rPr>
                <w:rFonts w:ascii="Arial" w:eastAsia="宋体" w:hAnsi="Arial" w:cs="Arial"/>
                <w:color w:val="000000"/>
                <w:sz w:val="20"/>
                <w:szCs w:val="20"/>
              </w:rPr>
              <w:t>(1,451)</w:t>
            </w:r>
          </w:p>
        </w:tc>
        <w:tc>
          <w:tcPr>
            <w:tcW w:w="0" w:type="auto"/>
            <w:shd w:val="clear" w:color="auto" w:fill="FFFFFF"/>
            <w:tcMar>
              <w:top w:w="40" w:type="dxa"/>
              <w:left w:w="0" w:type="dxa"/>
              <w:bottom w:w="40" w:type="dxa"/>
              <w:right w:w="20" w:type="dxa"/>
            </w:tcMar>
            <w:vAlign w:val="bottom"/>
          </w:tcPr>
          <w:p w14:paraId="5902A15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5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53" w14:textId="77777777" w:rsidR="0084406A" w:rsidRDefault="002B18AF">
            <w:pPr>
              <w:jc w:val="right"/>
              <w:textAlignment w:val="bottom"/>
            </w:pPr>
            <w:r>
              <w:rPr>
                <w:rFonts w:ascii="Arial" w:eastAsia="宋体" w:hAnsi="Arial" w:cs="Arial"/>
                <w:color w:val="000000"/>
                <w:sz w:val="20"/>
                <w:szCs w:val="20"/>
              </w:rPr>
              <w:t>(4,605)</w:t>
            </w:r>
          </w:p>
        </w:tc>
        <w:tc>
          <w:tcPr>
            <w:tcW w:w="0" w:type="auto"/>
            <w:shd w:val="clear" w:color="auto" w:fill="FFFFFF"/>
            <w:tcMar>
              <w:top w:w="40" w:type="dxa"/>
              <w:left w:w="0" w:type="dxa"/>
              <w:bottom w:w="40" w:type="dxa"/>
              <w:right w:w="20" w:type="dxa"/>
            </w:tcMar>
            <w:vAlign w:val="bottom"/>
          </w:tcPr>
          <w:p w14:paraId="5902A154" w14:textId="77777777" w:rsidR="0084406A" w:rsidRDefault="0084406A">
            <w:pPr>
              <w:jc w:val="right"/>
              <w:rPr>
                <w:rFonts w:ascii="宋体"/>
              </w:rPr>
            </w:pPr>
          </w:p>
        </w:tc>
      </w:tr>
      <w:tr w:rsidR="0084406A" w14:paraId="5902A15C" w14:textId="77777777">
        <w:tc>
          <w:tcPr>
            <w:tcW w:w="0" w:type="auto"/>
            <w:gridSpan w:val="3"/>
            <w:shd w:val="clear" w:color="auto" w:fill="CCEEFF"/>
            <w:tcMar>
              <w:top w:w="40" w:type="dxa"/>
              <w:left w:w="20" w:type="dxa"/>
              <w:bottom w:w="40" w:type="dxa"/>
              <w:right w:w="20" w:type="dxa"/>
            </w:tcMar>
            <w:vAlign w:val="bottom"/>
          </w:tcPr>
          <w:p w14:paraId="5902A156" w14:textId="77777777" w:rsidR="0084406A" w:rsidRDefault="002B18AF">
            <w:pPr>
              <w:textAlignment w:val="bottom"/>
            </w:pPr>
            <w:r>
              <w:rPr>
                <w:rFonts w:ascii="Arial" w:eastAsia="宋体" w:hAnsi="Arial" w:cs="Arial"/>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14:paraId="5902A157" w14:textId="77777777" w:rsidR="0084406A" w:rsidRDefault="002B18AF">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5902A15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5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5A"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5902A15B" w14:textId="77777777" w:rsidR="0084406A" w:rsidRDefault="0084406A">
            <w:pPr>
              <w:jc w:val="right"/>
              <w:rPr>
                <w:rFonts w:ascii="宋体"/>
              </w:rPr>
            </w:pPr>
          </w:p>
        </w:tc>
      </w:tr>
      <w:tr w:rsidR="0084406A" w14:paraId="5902A163" w14:textId="77777777">
        <w:tc>
          <w:tcPr>
            <w:tcW w:w="0" w:type="auto"/>
            <w:gridSpan w:val="3"/>
            <w:shd w:val="clear" w:color="auto" w:fill="FFFFFF"/>
            <w:tcMar>
              <w:top w:w="40" w:type="dxa"/>
              <w:left w:w="1235" w:type="dxa"/>
              <w:bottom w:w="40" w:type="dxa"/>
              <w:right w:w="20" w:type="dxa"/>
            </w:tcMar>
            <w:vAlign w:val="bottom"/>
          </w:tcPr>
          <w:p w14:paraId="5902A15D" w14:textId="77777777" w:rsidR="0084406A" w:rsidRDefault="002B18AF">
            <w:pPr>
              <w:textAlignment w:val="bottom"/>
            </w:pPr>
            <w:r>
              <w:rPr>
                <w:rFonts w:ascii="Arial" w:eastAsia="宋体" w:hAnsi="Arial" w:cs="Arial"/>
                <w:b/>
                <w:bCs/>
                <w:color w:val="000000"/>
                <w:sz w:val="20"/>
                <w:szCs w:val="20"/>
              </w:rPr>
              <w:t>Total stockholders’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15E" w14:textId="77777777" w:rsidR="0084406A" w:rsidRDefault="002B18AF">
            <w:pPr>
              <w:jc w:val="right"/>
              <w:textAlignment w:val="bottom"/>
            </w:pPr>
            <w:r>
              <w:rPr>
                <w:rFonts w:ascii="Arial" w:eastAsia="宋体" w:hAnsi="Arial" w:cs="Arial"/>
                <w:color w:val="000000"/>
                <w:sz w:val="20"/>
                <w:szCs w:val="20"/>
              </w:rPr>
              <w:t>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5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60"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161" w14:textId="77777777" w:rsidR="0084406A" w:rsidRDefault="002B18AF">
            <w:pPr>
              <w:jc w:val="right"/>
              <w:textAlignment w:val="bottom"/>
            </w:pPr>
            <w:r>
              <w:rPr>
                <w:rFonts w:ascii="Arial" w:eastAsia="宋体" w:hAnsi="Arial" w:cs="Arial"/>
                <w:color w:val="000000"/>
                <w:sz w:val="20"/>
                <w:szCs w:val="20"/>
              </w:rPr>
              <w:t>5,837 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62" w14:textId="77777777" w:rsidR="0084406A" w:rsidRDefault="0084406A">
            <w:pPr>
              <w:jc w:val="right"/>
              <w:rPr>
                <w:rFonts w:ascii="宋体"/>
              </w:rPr>
            </w:pPr>
          </w:p>
        </w:tc>
      </w:tr>
      <w:tr w:rsidR="0084406A" w14:paraId="5902A16C" w14:textId="77777777">
        <w:tc>
          <w:tcPr>
            <w:tcW w:w="0" w:type="auto"/>
            <w:gridSpan w:val="3"/>
            <w:shd w:val="clear" w:color="auto" w:fill="CCEEFF"/>
            <w:tcMar>
              <w:top w:w="40" w:type="dxa"/>
              <w:left w:w="20" w:type="dxa"/>
              <w:bottom w:w="40" w:type="dxa"/>
              <w:right w:w="20" w:type="dxa"/>
            </w:tcMar>
            <w:vAlign w:val="bottom"/>
          </w:tcPr>
          <w:p w14:paraId="5902A164" w14:textId="77777777" w:rsidR="0084406A" w:rsidRDefault="002B18AF">
            <w:pPr>
              <w:textAlignment w:val="bottom"/>
            </w:pPr>
            <w:r>
              <w:rPr>
                <w:rFonts w:ascii="Arial" w:eastAsia="宋体" w:hAnsi="Arial" w:cs="Arial"/>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165"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166" w14:textId="77777777" w:rsidR="0084406A" w:rsidRDefault="002B18AF">
            <w:pPr>
              <w:jc w:val="right"/>
              <w:textAlignment w:val="bottom"/>
            </w:pPr>
            <w:r>
              <w:rPr>
                <w:rFonts w:ascii="Arial" w:eastAsia="宋体" w:hAnsi="Arial" w:cs="Arial"/>
                <w:color w:val="000000"/>
                <w:sz w:val="20"/>
                <w:szCs w:val="20"/>
              </w:rPr>
              <w:t>12,419 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16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68"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169"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16A" w14:textId="77777777" w:rsidR="0084406A" w:rsidRDefault="002B18AF">
            <w:pPr>
              <w:jc w:val="right"/>
              <w:textAlignment w:val="bottom"/>
            </w:pPr>
            <w:r>
              <w:rPr>
                <w:rFonts w:ascii="Arial" w:eastAsia="宋体" w:hAnsi="Arial" w:cs="Arial"/>
                <w:color w:val="000000"/>
                <w:sz w:val="20"/>
                <w:szCs w:val="20"/>
              </w:rPr>
              <w:t>8,962 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16B" w14:textId="77777777" w:rsidR="0084406A" w:rsidRDefault="0084406A">
            <w:pPr>
              <w:jc w:val="right"/>
              <w:rPr>
                <w:rFonts w:ascii="宋体"/>
              </w:rPr>
            </w:pPr>
          </w:p>
        </w:tc>
      </w:tr>
    </w:tbl>
    <w:p w14:paraId="5902A16D" w14:textId="77777777" w:rsidR="0084406A" w:rsidRDefault="002B18AF">
      <w:pPr>
        <w:spacing w:before="260"/>
        <w:jc w:val="center"/>
      </w:pPr>
      <w:r>
        <w:rPr>
          <w:rFonts w:ascii="Arial" w:eastAsia="宋体" w:hAnsi="Arial" w:cs="Arial"/>
          <w:color w:val="000000"/>
          <w:sz w:val="20"/>
          <w:szCs w:val="20"/>
        </w:rPr>
        <w:t>See accompanying notes to consolidated financial statements.</w:t>
      </w:r>
    </w:p>
    <w:p w14:paraId="5902A16E" w14:textId="77777777" w:rsidR="0084406A" w:rsidRDefault="002B18AF">
      <w:pPr>
        <w:jc w:val="center"/>
      </w:pPr>
      <w:r>
        <w:rPr>
          <w:rFonts w:ascii="Arial" w:eastAsia="宋体" w:hAnsi="Arial" w:cs="Arial"/>
          <w:color w:val="000000"/>
          <w:sz w:val="20"/>
          <w:szCs w:val="20"/>
        </w:rPr>
        <w:t>50</w:t>
      </w:r>
    </w:p>
    <w:p w14:paraId="5902A16F" w14:textId="77777777" w:rsidR="0084406A" w:rsidRDefault="002B18AF">
      <w:r>
        <w:pict w14:anchorId="5902BB28">
          <v:rect id="_x0000_i1077" style="width:415.3pt;height:1.5pt" o:hralign="center" o:hrstd="t" o:hr="t" fillcolor="#a0a0a0" stroked="f"/>
        </w:pict>
      </w:r>
    </w:p>
    <w:p w14:paraId="5902A170" w14:textId="77777777" w:rsidR="0084406A" w:rsidRDefault="0084406A"/>
    <w:p w14:paraId="5902A171" w14:textId="77777777" w:rsidR="0084406A" w:rsidRDefault="002B18AF">
      <w:pPr>
        <w:spacing w:before="180"/>
        <w:jc w:val="center"/>
      </w:pPr>
      <w:r>
        <w:rPr>
          <w:rFonts w:ascii="Arial" w:eastAsia="宋体" w:hAnsi="Arial" w:cs="Arial"/>
          <w:b/>
          <w:bCs/>
          <w:color w:val="000000"/>
          <w:sz w:val="20"/>
          <w:szCs w:val="20"/>
        </w:rPr>
        <w:t xml:space="preserve">Advanced Micro </w:t>
      </w:r>
      <w:r>
        <w:rPr>
          <w:rFonts w:ascii="Arial" w:eastAsia="宋体" w:hAnsi="Arial" w:cs="Arial"/>
          <w:b/>
          <w:bCs/>
          <w:color w:val="000000"/>
          <w:sz w:val="20"/>
          <w:szCs w:val="20"/>
        </w:rPr>
        <w:t>Devices, Inc.</w:t>
      </w:r>
    </w:p>
    <w:p w14:paraId="5902A172" w14:textId="77777777" w:rsidR="0084406A" w:rsidRDefault="002B18AF">
      <w:pPr>
        <w:spacing w:before="180"/>
        <w:jc w:val="center"/>
      </w:pPr>
      <w:r>
        <w:rPr>
          <w:rFonts w:ascii="Arial" w:eastAsia="宋体" w:hAnsi="Arial" w:cs="Arial"/>
          <w:b/>
          <w:bCs/>
          <w:color w:val="000000"/>
          <w:sz w:val="20"/>
          <w:szCs w:val="20"/>
        </w:rPr>
        <w:t>Consolidated Statements of Stockholders’ Equity</w:t>
      </w:r>
    </w:p>
    <w:p w14:paraId="5902A173" w14:textId="77777777" w:rsidR="0084406A" w:rsidRDefault="002B18AF">
      <w:pPr>
        <w:jc w:val="center"/>
      </w:pP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660"/>
        <w:gridCol w:w="41"/>
        <w:gridCol w:w="132"/>
        <w:gridCol w:w="987"/>
        <w:gridCol w:w="36"/>
        <w:gridCol w:w="36"/>
        <w:gridCol w:w="36"/>
        <w:gridCol w:w="36"/>
        <w:gridCol w:w="132"/>
        <w:gridCol w:w="941"/>
        <w:gridCol w:w="36"/>
        <w:gridCol w:w="36"/>
        <w:gridCol w:w="36"/>
        <w:gridCol w:w="36"/>
        <w:gridCol w:w="133"/>
        <w:gridCol w:w="944"/>
        <w:gridCol w:w="36"/>
      </w:tblGrid>
      <w:tr w:rsidR="0084406A" w14:paraId="5902A186" w14:textId="77777777">
        <w:trPr>
          <w:jc w:val="center"/>
        </w:trPr>
        <w:tc>
          <w:tcPr>
            <w:tcW w:w="50" w:type="pct"/>
            <w:shd w:val="clear" w:color="auto" w:fill="auto"/>
            <w:vAlign w:val="bottom"/>
          </w:tcPr>
          <w:p w14:paraId="5902A174" w14:textId="77777777" w:rsidR="0084406A" w:rsidRDefault="0084406A">
            <w:pPr>
              <w:rPr>
                <w:rFonts w:ascii="宋体"/>
              </w:rPr>
            </w:pPr>
          </w:p>
        </w:tc>
        <w:tc>
          <w:tcPr>
            <w:tcW w:w="2832" w:type="pct"/>
            <w:shd w:val="clear" w:color="auto" w:fill="auto"/>
            <w:vAlign w:val="bottom"/>
          </w:tcPr>
          <w:p w14:paraId="5902A175" w14:textId="77777777" w:rsidR="0084406A" w:rsidRDefault="0084406A">
            <w:pPr>
              <w:rPr>
                <w:rFonts w:ascii="宋体"/>
              </w:rPr>
            </w:pPr>
          </w:p>
        </w:tc>
        <w:tc>
          <w:tcPr>
            <w:tcW w:w="5" w:type="pct"/>
            <w:shd w:val="clear" w:color="auto" w:fill="auto"/>
            <w:vAlign w:val="bottom"/>
          </w:tcPr>
          <w:p w14:paraId="5902A176" w14:textId="77777777" w:rsidR="0084406A" w:rsidRDefault="0084406A">
            <w:pPr>
              <w:rPr>
                <w:rFonts w:ascii="宋体"/>
              </w:rPr>
            </w:pPr>
          </w:p>
        </w:tc>
        <w:tc>
          <w:tcPr>
            <w:tcW w:w="50" w:type="pct"/>
            <w:shd w:val="clear" w:color="auto" w:fill="auto"/>
            <w:vAlign w:val="bottom"/>
          </w:tcPr>
          <w:p w14:paraId="5902A177" w14:textId="77777777" w:rsidR="0084406A" w:rsidRDefault="0084406A">
            <w:pPr>
              <w:rPr>
                <w:rFonts w:ascii="宋体"/>
              </w:rPr>
            </w:pPr>
          </w:p>
        </w:tc>
        <w:tc>
          <w:tcPr>
            <w:tcW w:w="624" w:type="pct"/>
            <w:shd w:val="clear" w:color="auto" w:fill="auto"/>
            <w:vAlign w:val="bottom"/>
          </w:tcPr>
          <w:p w14:paraId="5902A178" w14:textId="77777777" w:rsidR="0084406A" w:rsidRDefault="0084406A">
            <w:pPr>
              <w:rPr>
                <w:rFonts w:ascii="宋体"/>
              </w:rPr>
            </w:pPr>
          </w:p>
        </w:tc>
        <w:tc>
          <w:tcPr>
            <w:tcW w:w="5" w:type="pct"/>
            <w:shd w:val="clear" w:color="auto" w:fill="auto"/>
            <w:vAlign w:val="bottom"/>
          </w:tcPr>
          <w:p w14:paraId="5902A179" w14:textId="77777777" w:rsidR="0084406A" w:rsidRDefault="0084406A">
            <w:pPr>
              <w:rPr>
                <w:rFonts w:ascii="宋体"/>
              </w:rPr>
            </w:pPr>
          </w:p>
        </w:tc>
        <w:tc>
          <w:tcPr>
            <w:tcW w:w="5" w:type="pct"/>
            <w:shd w:val="clear" w:color="auto" w:fill="auto"/>
            <w:vAlign w:val="bottom"/>
          </w:tcPr>
          <w:p w14:paraId="5902A17A" w14:textId="77777777" w:rsidR="0084406A" w:rsidRDefault="0084406A">
            <w:pPr>
              <w:rPr>
                <w:rFonts w:ascii="宋体"/>
              </w:rPr>
            </w:pPr>
          </w:p>
        </w:tc>
        <w:tc>
          <w:tcPr>
            <w:tcW w:w="26" w:type="pct"/>
            <w:shd w:val="clear" w:color="auto" w:fill="auto"/>
            <w:vAlign w:val="bottom"/>
          </w:tcPr>
          <w:p w14:paraId="5902A17B" w14:textId="77777777" w:rsidR="0084406A" w:rsidRDefault="0084406A">
            <w:pPr>
              <w:rPr>
                <w:rFonts w:ascii="宋体"/>
              </w:rPr>
            </w:pPr>
          </w:p>
        </w:tc>
        <w:tc>
          <w:tcPr>
            <w:tcW w:w="5" w:type="pct"/>
            <w:shd w:val="clear" w:color="auto" w:fill="auto"/>
            <w:vAlign w:val="bottom"/>
          </w:tcPr>
          <w:p w14:paraId="5902A17C" w14:textId="77777777" w:rsidR="0084406A" w:rsidRDefault="0084406A">
            <w:pPr>
              <w:rPr>
                <w:rFonts w:ascii="宋体"/>
              </w:rPr>
            </w:pPr>
          </w:p>
        </w:tc>
        <w:tc>
          <w:tcPr>
            <w:tcW w:w="50" w:type="pct"/>
            <w:shd w:val="clear" w:color="auto" w:fill="auto"/>
            <w:vAlign w:val="bottom"/>
          </w:tcPr>
          <w:p w14:paraId="5902A17D" w14:textId="77777777" w:rsidR="0084406A" w:rsidRDefault="0084406A">
            <w:pPr>
              <w:rPr>
                <w:rFonts w:ascii="宋体"/>
              </w:rPr>
            </w:pPr>
          </w:p>
        </w:tc>
        <w:tc>
          <w:tcPr>
            <w:tcW w:w="624" w:type="pct"/>
            <w:shd w:val="clear" w:color="auto" w:fill="auto"/>
            <w:vAlign w:val="bottom"/>
          </w:tcPr>
          <w:p w14:paraId="5902A17E" w14:textId="77777777" w:rsidR="0084406A" w:rsidRDefault="0084406A">
            <w:pPr>
              <w:rPr>
                <w:rFonts w:ascii="宋体"/>
              </w:rPr>
            </w:pPr>
          </w:p>
        </w:tc>
        <w:tc>
          <w:tcPr>
            <w:tcW w:w="5" w:type="pct"/>
            <w:shd w:val="clear" w:color="auto" w:fill="auto"/>
            <w:vAlign w:val="bottom"/>
          </w:tcPr>
          <w:p w14:paraId="5902A17F" w14:textId="77777777" w:rsidR="0084406A" w:rsidRDefault="0084406A">
            <w:pPr>
              <w:rPr>
                <w:rFonts w:ascii="宋体"/>
              </w:rPr>
            </w:pPr>
          </w:p>
        </w:tc>
        <w:tc>
          <w:tcPr>
            <w:tcW w:w="5" w:type="pct"/>
            <w:shd w:val="clear" w:color="auto" w:fill="auto"/>
            <w:vAlign w:val="bottom"/>
          </w:tcPr>
          <w:p w14:paraId="5902A180" w14:textId="77777777" w:rsidR="0084406A" w:rsidRDefault="0084406A">
            <w:pPr>
              <w:rPr>
                <w:rFonts w:ascii="宋体"/>
              </w:rPr>
            </w:pPr>
          </w:p>
        </w:tc>
        <w:tc>
          <w:tcPr>
            <w:tcW w:w="26" w:type="pct"/>
            <w:shd w:val="clear" w:color="auto" w:fill="auto"/>
            <w:vAlign w:val="bottom"/>
          </w:tcPr>
          <w:p w14:paraId="5902A181" w14:textId="77777777" w:rsidR="0084406A" w:rsidRDefault="0084406A">
            <w:pPr>
              <w:rPr>
                <w:rFonts w:ascii="宋体"/>
              </w:rPr>
            </w:pPr>
          </w:p>
        </w:tc>
        <w:tc>
          <w:tcPr>
            <w:tcW w:w="5" w:type="pct"/>
            <w:shd w:val="clear" w:color="auto" w:fill="auto"/>
            <w:vAlign w:val="bottom"/>
          </w:tcPr>
          <w:p w14:paraId="5902A182" w14:textId="77777777" w:rsidR="0084406A" w:rsidRDefault="0084406A">
            <w:pPr>
              <w:rPr>
                <w:rFonts w:ascii="宋体"/>
              </w:rPr>
            </w:pPr>
          </w:p>
        </w:tc>
        <w:tc>
          <w:tcPr>
            <w:tcW w:w="50" w:type="pct"/>
            <w:shd w:val="clear" w:color="auto" w:fill="auto"/>
            <w:vAlign w:val="bottom"/>
          </w:tcPr>
          <w:p w14:paraId="5902A183" w14:textId="77777777" w:rsidR="0084406A" w:rsidRDefault="0084406A">
            <w:pPr>
              <w:rPr>
                <w:rFonts w:ascii="宋体"/>
              </w:rPr>
            </w:pPr>
          </w:p>
        </w:tc>
        <w:tc>
          <w:tcPr>
            <w:tcW w:w="625" w:type="pct"/>
            <w:shd w:val="clear" w:color="auto" w:fill="auto"/>
            <w:vAlign w:val="bottom"/>
          </w:tcPr>
          <w:p w14:paraId="5902A184" w14:textId="77777777" w:rsidR="0084406A" w:rsidRDefault="0084406A">
            <w:pPr>
              <w:rPr>
                <w:rFonts w:ascii="宋体"/>
              </w:rPr>
            </w:pPr>
          </w:p>
        </w:tc>
        <w:tc>
          <w:tcPr>
            <w:tcW w:w="5" w:type="pct"/>
            <w:shd w:val="clear" w:color="auto" w:fill="auto"/>
            <w:vAlign w:val="bottom"/>
          </w:tcPr>
          <w:p w14:paraId="5902A185" w14:textId="77777777" w:rsidR="0084406A" w:rsidRDefault="0084406A">
            <w:pPr>
              <w:rPr>
                <w:rFonts w:ascii="宋体"/>
              </w:rPr>
            </w:pPr>
          </w:p>
        </w:tc>
      </w:tr>
      <w:tr w:rsidR="0084406A" w14:paraId="5902A189" w14:textId="77777777">
        <w:trPr>
          <w:jc w:val="center"/>
        </w:trPr>
        <w:tc>
          <w:tcPr>
            <w:tcW w:w="0" w:type="auto"/>
            <w:gridSpan w:val="3"/>
            <w:shd w:val="clear" w:color="auto" w:fill="auto"/>
            <w:tcMar>
              <w:top w:w="0" w:type="dxa"/>
              <w:left w:w="20" w:type="dxa"/>
              <w:bottom w:w="0" w:type="dxa"/>
              <w:right w:w="20" w:type="dxa"/>
            </w:tcMar>
            <w:vAlign w:val="bottom"/>
          </w:tcPr>
          <w:p w14:paraId="5902A187"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188"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A190" w14:textId="77777777">
        <w:trPr>
          <w:jc w:val="center"/>
        </w:trPr>
        <w:tc>
          <w:tcPr>
            <w:tcW w:w="0" w:type="auto"/>
            <w:gridSpan w:val="3"/>
            <w:shd w:val="clear" w:color="auto" w:fill="auto"/>
            <w:tcMar>
              <w:top w:w="0" w:type="dxa"/>
              <w:left w:w="20" w:type="dxa"/>
              <w:bottom w:w="0" w:type="dxa"/>
              <w:right w:w="20" w:type="dxa"/>
            </w:tcMar>
            <w:vAlign w:val="bottom"/>
          </w:tcPr>
          <w:p w14:paraId="5902A18A"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18B"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18C"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18D"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18E"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18F"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84406A" w14:paraId="5902A193" w14:textId="77777777">
        <w:trPr>
          <w:jc w:val="center"/>
        </w:trPr>
        <w:tc>
          <w:tcPr>
            <w:tcW w:w="0" w:type="auto"/>
            <w:gridSpan w:val="3"/>
            <w:shd w:val="clear" w:color="auto" w:fill="auto"/>
            <w:tcMar>
              <w:top w:w="0" w:type="dxa"/>
              <w:left w:w="20" w:type="dxa"/>
              <w:bottom w:w="0" w:type="dxa"/>
              <w:right w:w="20" w:type="dxa"/>
            </w:tcMar>
            <w:vAlign w:val="bottom"/>
          </w:tcPr>
          <w:p w14:paraId="5902A191" w14:textId="77777777" w:rsidR="0084406A" w:rsidRDefault="0084406A">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192"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19A" w14:textId="77777777">
        <w:trPr>
          <w:jc w:val="center"/>
        </w:trPr>
        <w:tc>
          <w:tcPr>
            <w:tcW w:w="0" w:type="auto"/>
            <w:gridSpan w:val="3"/>
            <w:shd w:val="clear" w:color="auto" w:fill="CCEEFF"/>
            <w:tcMar>
              <w:top w:w="40" w:type="dxa"/>
              <w:left w:w="20" w:type="dxa"/>
              <w:bottom w:w="40" w:type="dxa"/>
              <w:right w:w="20" w:type="dxa"/>
            </w:tcMar>
            <w:vAlign w:val="bottom"/>
          </w:tcPr>
          <w:p w14:paraId="5902A194" w14:textId="77777777" w:rsidR="0084406A" w:rsidRDefault="002B18AF">
            <w:pPr>
              <w:textAlignment w:val="bottom"/>
            </w:pPr>
            <w:r>
              <w:rPr>
                <w:rFonts w:ascii="Arial" w:eastAsia="宋体"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vAlign w:val="bottom"/>
          </w:tcPr>
          <w:p w14:paraId="5902A19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9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9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9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99" w14:textId="77777777" w:rsidR="0084406A" w:rsidRDefault="0084406A">
            <w:pPr>
              <w:rPr>
                <w:rFonts w:ascii="宋体"/>
              </w:rPr>
            </w:pPr>
          </w:p>
        </w:tc>
      </w:tr>
      <w:tr w:rsidR="0084406A" w14:paraId="5902A1A1" w14:textId="77777777">
        <w:trPr>
          <w:jc w:val="center"/>
        </w:trPr>
        <w:tc>
          <w:tcPr>
            <w:tcW w:w="0" w:type="auto"/>
            <w:gridSpan w:val="3"/>
            <w:shd w:val="clear" w:color="auto" w:fill="FFFFFF"/>
            <w:tcMar>
              <w:top w:w="40" w:type="dxa"/>
              <w:left w:w="20" w:type="dxa"/>
              <w:bottom w:w="40" w:type="dxa"/>
              <w:right w:w="20" w:type="dxa"/>
            </w:tcMar>
            <w:vAlign w:val="bottom"/>
          </w:tcPr>
          <w:p w14:paraId="5902A19B" w14:textId="77777777" w:rsidR="0084406A" w:rsidRDefault="002B18AF">
            <w:pPr>
              <w:textAlignment w:val="bottom"/>
            </w:pPr>
            <w:r>
              <w:rPr>
                <w:rFonts w:ascii="Arial" w:eastAsia="宋体" w:hAnsi="Arial" w:cs="Arial"/>
                <w:color w:val="000000"/>
                <w:sz w:val="20"/>
                <w:szCs w:val="20"/>
              </w:rPr>
              <w:t>Common stock</w:t>
            </w:r>
          </w:p>
        </w:tc>
        <w:tc>
          <w:tcPr>
            <w:tcW w:w="0" w:type="auto"/>
            <w:gridSpan w:val="3"/>
            <w:shd w:val="clear" w:color="auto" w:fill="FFFFFF"/>
            <w:tcMar>
              <w:top w:w="0" w:type="dxa"/>
              <w:left w:w="20" w:type="dxa"/>
              <w:bottom w:w="0" w:type="dxa"/>
              <w:right w:w="20" w:type="dxa"/>
            </w:tcMar>
            <w:vAlign w:val="bottom"/>
          </w:tcPr>
          <w:p w14:paraId="5902A19C"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9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9E"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9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1A0" w14:textId="77777777" w:rsidR="0084406A" w:rsidRDefault="0084406A">
            <w:pPr>
              <w:rPr>
                <w:rFonts w:ascii="宋体"/>
              </w:rPr>
            </w:pPr>
          </w:p>
        </w:tc>
      </w:tr>
      <w:tr w:rsidR="0084406A" w14:paraId="5902A1AE" w14:textId="77777777">
        <w:trPr>
          <w:jc w:val="center"/>
        </w:trPr>
        <w:tc>
          <w:tcPr>
            <w:tcW w:w="0" w:type="auto"/>
            <w:gridSpan w:val="3"/>
            <w:shd w:val="clear" w:color="auto" w:fill="CCEEFF"/>
            <w:tcMar>
              <w:top w:w="40" w:type="dxa"/>
              <w:left w:w="260" w:type="dxa"/>
              <w:bottom w:w="40" w:type="dxa"/>
              <w:right w:w="20" w:type="dxa"/>
            </w:tcMar>
            <w:vAlign w:val="bottom"/>
          </w:tcPr>
          <w:p w14:paraId="5902A1A2" w14:textId="77777777" w:rsidR="0084406A" w:rsidRDefault="002B18AF">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5902A1A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1A4"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902A1A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A6"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1A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1A8"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902A1A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AA"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1A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1AC" w14:textId="77777777" w:rsidR="0084406A" w:rsidRDefault="002B18AF">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902A1AD" w14:textId="77777777" w:rsidR="0084406A" w:rsidRDefault="0084406A">
            <w:pPr>
              <w:jc w:val="right"/>
              <w:rPr>
                <w:rFonts w:ascii="宋体"/>
              </w:rPr>
            </w:pPr>
          </w:p>
        </w:tc>
      </w:tr>
      <w:tr w:rsidR="0084406A" w14:paraId="5902A1B5" w14:textId="77777777">
        <w:trPr>
          <w:jc w:val="center"/>
          <w:hidden/>
        </w:trPr>
        <w:tc>
          <w:tcPr>
            <w:tcW w:w="0" w:type="auto"/>
            <w:gridSpan w:val="3"/>
            <w:shd w:val="clear" w:color="auto" w:fill="auto"/>
            <w:vAlign w:val="bottom"/>
          </w:tcPr>
          <w:p w14:paraId="5902A1AF" w14:textId="77777777" w:rsidR="0084406A" w:rsidRDefault="0084406A">
            <w:pPr>
              <w:rPr>
                <w:rFonts w:ascii="宋体"/>
                <w:vanish/>
              </w:rPr>
            </w:pPr>
          </w:p>
        </w:tc>
        <w:tc>
          <w:tcPr>
            <w:tcW w:w="0" w:type="auto"/>
            <w:gridSpan w:val="3"/>
            <w:shd w:val="clear" w:color="auto" w:fill="auto"/>
            <w:vAlign w:val="bottom"/>
          </w:tcPr>
          <w:p w14:paraId="5902A1B0" w14:textId="77777777" w:rsidR="0084406A" w:rsidRDefault="0084406A">
            <w:pPr>
              <w:rPr>
                <w:rFonts w:ascii="宋体"/>
                <w:vanish/>
              </w:rPr>
            </w:pPr>
          </w:p>
        </w:tc>
        <w:tc>
          <w:tcPr>
            <w:tcW w:w="0" w:type="auto"/>
            <w:gridSpan w:val="3"/>
            <w:shd w:val="clear" w:color="auto" w:fill="auto"/>
            <w:vAlign w:val="bottom"/>
          </w:tcPr>
          <w:p w14:paraId="5902A1B1" w14:textId="77777777" w:rsidR="0084406A" w:rsidRDefault="0084406A">
            <w:pPr>
              <w:rPr>
                <w:rFonts w:ascii="宋体"/>
                <w:vanish/>
              </w:rPr>
            </w:pPr>
          </w:p>
        </w:tc>
        <w:tc>
          <w:tcPr>
            <w:tcW w:w="0" w:type="auto"/>
            <w:gridSpan w:val="3"/>
            <w:shd w:val="clear" w:color="auto" w:fill="auto"/>
            <w:vAlign w:val="bottom"/>
          </w:tcPr>
          <w:p w14:paraId="5902A1B2" w14:textId="77777777" w:rsidR="0084406A" w:rsidRDefault="0084406A">
            <w:pPr>
              <w:rPr>
                <w:rFonts w:ascii="宋体"/>
                <w:vanish/>
              </w:rPr>
            </w:pPr>
          </w:p>
        </w:tc>
        <w:tc>
          <w:tcPr>
            <w:tcW w:w="0" w:type="auto"/>
            <w:gridSpan w:val="3"/>
            <w:shd w:val="clear" w:color="auto" w:fill="auto"/>
            <w:vAlign w:val="bottom"/>
          </w:tcPr>
          <w:p w14:paraId="5902A1B3" w14:textId="77777777" w:rsidR="0084406A" w:rsidRDefault="0084406A">
            <w:pPr>
              <w:rPr>
                <w:rFonts w:ascii="宋体"/>
                <w:vanish/>
              </w:rPr>
            </w:pPr>
          </w:p>
        </w:tc>
        <w:tc>
          <w:tcPr>
            <w:tcW w:w="0" w:type="auto"/>
            <w:gridSpan w:val="3"/>
            <w:shd w:val="clear" w:color="auto" w:fill="auto"/>
            <w:vAlign w:val="bottom"/>
          </w:tcPr>
          <w:p w14:paraId="5902A1B4" w14:textId="77777777" w:rsidR="0084406A" w:rsidRDefault="0084406A">
            <w:pPr>
              <w:rPr>
                <w:rFonts w:ascii="宋体"/>
                <w:vanish/>
              </w:rPr>
            </w:pPr>
          </w:p>
        </w:tc>
      </w:tr>
      <w:tr w:rsidR="0084406A" w14:paraId="5902A1BF" w14:textId="77777777">
        <w:trPr>
          <w:jc w:val="center"/>
        </w:trPr>
        <w:tc>
          <w:tcPr>
            <w:tcW w:w="0" w:type="auto"/>
            <w:gridSpan w:val="3"/>
            <w:shd w:val="clear" w:color="auto" w:fill="FFFFFF"/>
            <w:tcMar>
              <w:top w:w="40" w:type="dxa"/>
              <w:left w:w="260" w:type="dxa"/>
              <w:bottom w:w="40" w:type="dxa"/>
              <w:right w:w="20" w:type="dxa"/>
            </w:tcMar>
            <w:vAlign w:val="bottom"/>
          </w:tcPr>
          <w:p w14:paraId="5902A1B6" w14:textId="77777777" w:rsidR="0084406A" w:rsidRDefault="002B18AF">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5902A1B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1B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B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B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1B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B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BD"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1BE" w14:textId="77777777" w:rsidR="0084406A" w:rsidRDefault="0084406A">
            <w:pPr>
              <w:jc w:val="right"/>
              <w:rPr>
                <w:rFonts w:ascii="宋体"/>
              </w:rPr>
            </w:pPr>
          </w:p>
        </w:tc>
      </w:tr>
      <w:tr w:rsidR="0084406A" w14:paraId="5902A1C9" w14:textId="77777777">
        <w:trPr>
          <w:jc w:val="center"/>
        </w:trPr>
        <w:tc>
          <w:tcPr>
            <w:tcW w:w="0" w:type="auto"/>
            <w:gridSpan w:val="3"/>
            <w:shd w:val="clear" w:color="auto" w:fill="CCEEFF"/>
            <w:tcMar>
              <w:top w:w="40" w:type="dxa"/>
              <w:left w:w="260" w:type="dxa"/>
              <w:bottom w:w="40" w:type="dxa"/>
              <w:right w:w="20" w:type="dxa"/>
            </w:tcMar>
            <w:vAlign w:val="bottom"/>
          </w:tcPr>
          <w:p w14:paraId="5902A1C0" w14:textId="77777777" w:rsidR="0084406A" w:rsidRDefault="002B18AF">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5902A1C1"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1C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C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C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1C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C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C7"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A1C8" w14:textId="77777777" w:rsidR="0084406A" w:rsidRDefault="0084406A">
            <w:pPr>
              <w:jc w:val="right"/>
              <w:rPr>
                <w:rFonts w:ascii="宋体"/>
              </w:rPr>
            </w:pPr>
          </w:p>
        </w:tc>
      </w:tr>
      <w:tr w:rsidR="0084406A" w14:paraId="5902A1D6" w14:textId="77777777">
        <w:trPr>
          <w:jc w:val="center"/>
        </w:trPr>
        <w:tc>
          <w:tcPr>
            <w:tcW w:w="0" w:type="auto"/>
            <w:gridSpan w:val="3"/>
            <w:shd w:val="clear" w:color="auto" w:fill="FFFFFF"/>
            <w:tcMar>
              <w:top w:w="40" w:type="dxa"/>
              <w:left w:w="260" w:type="dxa"/>
              <w:bottom w:w="40" w:type="dxa"/>
              <w:right w:w="20" w:type="dxa"/>
            </w:tcMar>
            <w:vAlign w:val="bottom"/>
          </w:tcPr>
          <w:p w14:paraId="5902A1CA" w14:textId="77777777" w:rsidR="0084406A" w:rsidRDefault="002B18AF">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A1C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1CC" w14:textId="77777777" w:rsidR="0084406A" w:rsidRDefault="002B18A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C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CE"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A1C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1D0" w14:textId="77777777" w:rsidR="0084406A" w:rsidRDefault="002B18A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D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D2"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A1D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1D4" w14:textId="77777777" w:rsidR="0084406A" w:rsidRDefault="002B18A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1D5" w14:textId="77777777" w:rsidR="0084406A" w:rsidRDefault="0084406A">
            <w:pPr>
              <w:jc w:val="right"/>
              <w:rPr>
                <w:rFonts w:ascii="宋体"/>
              </w:rPr>
            </w:pPr>
          </w:p>
        </w:tc>
      </w:tr>
      <w:tr w:rsidR="0084406A" w14:paraId="5902A1DD" w14:textId="77777777">
        <w:trPr>
          <w:jc w:val="center"/>
        </w:trPr>
        <w:tc>
          <w:tcPr>
            <w:tcW w:w="0" w:type="auto"/>
            <w:gridSpan w:val="3"/>
            <w:shd w:val="clear" w:color="auto" w:fill="CCEEFF"/>
            <w:tcMar>
              <w:top w:w="40" w:type="dxa"/>
              <w:left w:w="20" w:type="dxa"/>
              <w:bottom w:w="40" w:type="dxa"/>
              <w:right w:w="20" w:type="dxa"/>
            </w:tcMar>
            <w:vAlign w:val="bottom"/>
          </w:tcPr>
          <w:p w14:paraId="5902A1D7" w14:textId="77777777" w:rsidR="0084406A" w:rsidRDefault="002B18AF">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1D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D9"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1D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1DB"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1DC" w14:textId="77777777" w:rsidR="0084406A" w:rsidRDefault="0084406A">
            <w:pPr>
              <w:rPr>
                <w:rFonts w:ascii="宋体"/>
              </w:rPr>
            </w:pPr>
          </w:p>
        </w:tc>
      </w:tr>
      <w:tr w:rsidR="0084406A" w14:paraId="5902A1EA" w14:textId="77777777">
        <w:trPr>
          <w:jc w:val="center"/>
        </w:trPr>
        <w:tc>
          <w:tcPr>
            <w:tcW w:w="0" w:type="auto"/>
            <w:gridSpan w:val="3"/>
            <w:shd w:val="clear" w:color="auto" w:fill="FFFFFF"/>
            <w:tcMar>
              <w:top w:w="40" w:type="dxa"/>
              <w:left w:w="260" w:type="dxa"/>
              <w:bottom w:w="40" w:type="dxa"/>
              <w:right w:w="20" w:type="dxa"/>
            </w:tcMar>
            <w:vAlign w:val="bottom"/>
          </w:tcPr>
          <w:p w14:paraId="5902A1DE" w14:textId="77777777" w:rsidR="0084406A" w:rsidRDefault="002B18AF">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5902A1D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1E0" w14:textId="77777777" w:rsidR="0084406A" w:rsidRDefault="002B18AF">
            <w:pPr>
              <w:jc w:val="right"/>
              <w:textAlignment w:val="bottom"/>
            </w:pPr>
            <w:r>
              <w:rPr>
                <w:rFonts w:ascii="Arial" w:eastAsia="宋体" w:hAnsi="Arial" w:cs="Arial"/>
                <w:color w:val="000000"/>
                <w:sz w:val="20"/>
                <w:szCs w:val="20"/>
              </w:rPr>
              <w:t>10,544 </w:t>
            </w:r>
          </w:p>
        </w:tc>
        <w:tc>
          <w:tcPr>
            <w:tcW w:w="0" w:type="auto"/>
            <w:shd w:val="clear" w:color="auto" w:fill="FFFFFF"/>
            <w:tcMar>
              <w:top w:w="40" w:type="dxa"/>
              <w:left w:w="0" w:type="dxa"/>
              <w:bottom w:w="40" w:type="dxa"/>
              <w:right w:w="20" w:type="dxa"/>
            </w:tcMar>
            <w:vAlign w:val="bottom"/>
          </w:tcPr>
          <w:p w14:paraId="5902A1E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E2"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1E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1E4" w14:textId="77777777" w:rsidR="0084406A" w:rsidRDefault="002B18AF">
            <w:pPr>
              <w:jc w:val="right"/>
              <w:textAlignment w:val="bottom"/>
            </w:pPr>
            <w:r>
              <w:rPr>
                <w:rFonts w:ascii="Arial" w:eastAsia="宋体" w:hAnsi="Arial" w:cs="Arial"/>
                <w:color w:val="000000"/>
                <w:sz w:val="20"/>
                <w:szCs w:val="20"/>
              </w:rPr>
              <w:t>9,963 </w:t>
            </w:r>
          </w:p>
        </w:tc>
        <w:tc>
          <w:tcPr>
            <w:tcW w:w="0" w:type="auto"/>
            <w:shd w:val="clear" w:color="auto" w:fill="FFFFFF"/>
            <w:tcMar>
              <w:top w:w="40" w:type="dxa"/>
              <w:left w:w="0" w:type="dxa"/>
              <w:bottom w:w="40" w:type="dxa"/>
              <w:right w:w="20" w:type="dxa"/>
            </w:tcMar>
            <w:vAlign w:val="bottom"/>
          </w:tcPr>
          <w:p w14:paraId="5902A1E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E6"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1E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1E8" w14:textId="77777777" w:rsidR="0084406A" w:rsidRDefault="002B18AF">
            <w:pPr>
              <w:jc w:val="right"/>
              <w:textAlignment w:val="bottom"/>
            </w:pPr>
            <w:r>
              <w:rPr>
                <w:rFonts w:ascii="Arial" w:eastAsia="宋体" w:hAnsi="Arial" w:cs="Arial"/>
                <w:color w:val="000000"/>
                <w:sz w:val="20"/>
                <w:szCs w:val="20"/>
              </w:rPr>
              <w:t>8,750 </w:t>
            </w:r>
          </w:p>
        </w:tc>
        <w:tc>
          <w:tcPr>
            <w:tcW w:w="0" w:type="auto"/>
            <w:shd w:val="clear" w:color="auto" w:fill="FFFFFF"/>
            <w:tcMar>
              <w:top w:w="40" w:type="dxa"/>
              <w:left w:w="0" w:type="dxa"/>
              <w:bottom w:w="40" w:type="dxa"/>
              <w:right w:w="20" w:type="dxa"/>
            </w:tcMar>
            <w:vAlign w:val="bottom"/>
          </w:tcPr>
          <w:p w14:paraId="5902A1E9" w14:textId="77777777" w:rsidR="0084406A" w:rsidRDefault="0084406A">
            <w:pPr>
              <w:jc w:val="right"/>
              <w:rPr>
                <w:rFonts w:ascii="宋体"/>
              </w:rPr>
            </w:pPr>
          </w:p>
        </w:tc>
      </w:tr>
      <w:tr w:rsidR="0084406A" w14:paraId="5902A1F4" w14:textId="77777777">
        <w:trPr>
          <w:jc w:val="center"/>
        </w:trPr>
        <w:tc>
          <w:tcPr>
            <w:tcW w:w="0" w:type="auto"/>
            <w:gridSpan w:val="3"/>
            <w:shd w:val="clear" w:color="auto" w:fill="CCEEFF"/>
            <w:tcMar>
              <w:top w:w="40" w:type="dxa"/>
              <w:left w:w="260" w:type="dxa"/>
              <w:bottom w:w="40" w:type="dxa"/>
              <w:right w:w="20" w:type="dxa"/>
            </w:tcMar>
            <w:vAlign w:val="bottom"/>
          </w:tcPr>
          <w:p w14:paraId="5902A1EB" w14:textId="77777777" w:rsidR="0084406A" w:rsidRDefault="002B18AF">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5902A1EC" w14:textId="77777777" w:rsidR="0084406A" w:rsidRDefault="002B18AF">
            <w:pPr>
              <w:jc w:val="right"/>
              <w:textAlignment w:val="bottom"/>
            </w:pPr>
            <w:r>
              <w:rPr>
                <w:rFonts w:ascii="Arial" w:eastAsia="宋体" w:hAnsi="Arial" w:cs="Arial"/>
                <w:color w:val="000000"/>
                <w:sz w:val="20"/>
                <w:szCs w:val="20"/>
              </w:rPr>
              <w:t>104 </w:t>
            </w:r>
          </w:p>
        </w:tc>
        <w:tc>
          <w:tcPr>
            <w:tcW w:w="0" w:type="auto"/>
            <w:shd w:val="clear" w:color="auto" w:fill="CCEEFF"/>
            <w:tcMar>
              <w:top w:w="40" w:type="dxa"/>
              <w:left w:w="0" w:type="dxa"/>
              <w:bottom w:w="40" w:type="dxa"/>
              <w:right w:w="20" w:type="dxa"/>
            </w:tcMar>
            <w:vAlign w:val="bottom"/>
          </w:tcPr>
          <w:p w14:paraId="5902A1E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E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EF" w14:textId="77777777" w:rsidR="0084406A" w:rsidRDefault="002B18AF">
            <w:pPr>
              <w:jc w:val="right"/>
              <w:textAlignment w:val="bottom"/>
            </w:pPr>
            <w:r>
              <w:rPr>
                <w:rFonts w:ascii="Arial" w:eastAsia="宋体" w:hAnsi="Arial" w:cs="Arial"/>
                <w:color w:val="000000"/>
                <w:sz w:val="20"/>
                <w:szCs w:val="20"/>
              </w:rPr>
              <w:t>85 </w:t>
            </w:r>
          </w:p>
        </w:tc>
        <w:tc>
          <w:tcPr>
            <w:tcW w:w="0" w:type="auto"/>
            <w:shd w:val="clear" w:color="auto" w:fill="CCEEFF"/>
            <w:tcMar>
              <w:top w:w="40" w:type="dxa"/>
              <w:left w:w="0" w:type="dxa"/>
              <w:bottom w:w="40" w:type="dxa"/>
              <w:right w:w="20" w:type="dxa"/>
            </w:tcMar>
            <w:vAlign w:val="bottom"/>
          </w:tcPr>
          <w:p w14:paraId="5902A1F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1F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1F2" w14:textId="77777777" w:rsidR="0084406A" w:rsidRDefault="002B18AF">
            <w:pPr>
              <w:jc w:val="right"/>
              <w:textAlignment w:val="bottom"/>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bottom"/>
          </w:tcPr>
          <w:p w14:paraId="5902A1F3" w14:textId="77777777" w:rsidR="0084406A" w:rsidRDefault="0084406A">
            <w:pPr>
              <w:jc w:val="right"/>
              <w:rPr>
                <w:rFonts w:ascii="宋体"/>
              </w:rPr>
            </w:pPr>
          </w:p>
        </w:tc>
      </w:tr>
      <w:tr w:rsidR="0084406A" w14:paraId="5902A1FE" w14:textId="77777777">
        <w:trPr>
          <w:jc w:val="center"/>
        </w:trPr>
        <w:tc>
          <w:tcPr>
            <w:tcW w:w="0" w:type="auto"/>
            <w:gridSpan w:val="3"/>
            <w:shd w:val="clear" w:color="auto" w:fill="FFFFFF"/>
            <w:tcMar>
              <w:top w:w="40" w:type="dxa"/>
              <w:left w:w="260" w:type="dxa"/>
              <w:bottom w:w="40" w:type="dxa"/>
              <w:right w:w="20" w:type="dxa"/>
            </w:tcMar>
            <w:vAlign w:val="bottom"/>
          </w:tcPr>
          <w:p w14:paraId="5902A1F5" w14:textId="77777777" w:rsidR="0084406A" w:rsidRDefault="002B18AF">
            <w:pPr>
              <w:textAlignment w:val="bottom"/>
            </w:pPr>
            <w:r>
              <w:rPr>
                <w:rFonts w:ascii="Arial" w:eastAsia="宋体" w:hAnsi="Arial" w:cs="Arial"/>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5902A1F6" w14:textId="77777777" w:rsidR="0084406A" w:rsidRDefault="002B18AF">
            <w:pPr>
              <w:jc w:val="right"/>
              <w:textAlignment w:val="bottom"/>
            </w:pPr>
            <w:r>
              <w:rPr>
                <w:rFonts w:ascii="Arial" w:eastAsia="宋体" w:hAnsi="Arial" w:cs="Arial"/>
                <w:color w:val="000000"/>
                <w:sz w:val="20"/>
                <w:szCs w:val="20"/>
              </w:rPr>
              <w:t>379 </w:t>
            </w:r>
          </w:p>
        </w:tc>
        <w:tc>
          <w:tcPr>
            <w:tcW w:w="0" w:type="auto"/>
            <w:shd w:val="clear" w:color="auto" w:fill="FFFFFF"/>
            <w:tcMar>
              <w:top w:w="40" w:type="dxa"/>
              <w:left w:w="0" w:type="dxa"/>
              <w:bottom w:w="40" w:type="dxa"/>
              <w:right w:w="20" w:type="dxa"/>
            </w:tcMar>
            <w:vAlign w:val="bottom"/>
          </w:tcPr>
          <w:p w14:paraId="5902A1F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F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F9" w14:textId="77777777" w:rsidR="0084406A" w:rsidRDefault="002B18AF">
            <w:pPr>
              <w:jc w:val="right"/>
              <w:textAlignment w:val="bottom"/>
            </w:pPr>
            <w:r>
              <w:rPr>
                <w:rFonts w:ascii="Arial" w:eastAsia="宋体" w:hAnsi="Arial" w:cs="Arial"/>
                <w:color w:val="000000"/>
                <w:sz w:val="20"/>
                <w:szCs w:val="20"/>
              </w:rPr>
              <w:t>274 </w:t>
            </w:r>
          </w:p>
        </w:tc>
        <w:tc>
          <w:tcPr>
            <w:tcW w:w="0" w:type="auto"/>
            <w:shd w:val="clear" w:color="auto" w:fill="FFFFFF"/>
            <w:tcMar>
              <w:top w:w="40" w:type="dxa"/>
              <w:left w:w="0" w:type="dxa"/>
              <w:bottom w:w="40" w:type="dxa"/>
              <w:right w:w="20" w:type="dxa"/>
            </w:tcMar>
            <w:vAlign w:val="bottom"/>
          </w:tcPr>
          <w:p w14:paraId="5902A1F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1F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1FC" w14:textId="77777777" w:rsidR="0084406A" w:rsidRDefault="002B18AF">
            <w:pPr>
              <w:jc w:val="right"/>
              <w:textAlignment w:val="bottom"/>
            </w:pPr>
            <w:r>
              <w:rPr>
                <w:rFonts w:ascii="Arial" w:eastAsia="宋体" w:hAnsi="Arial" w:cs="Arial"/>
                <w:color w:val="000000"/>
                <w:sz w:val="20"/>
                <w:szCs w:val="20"/>
              </w:rPr>
              <w:t>197 </w:t>
            </w:r>
          </w:p>
        </w:tc>
        <w:tc>
          <w:tcPr>
            <w:tcW w:w="0" w:type="auto"/>
            <w:shd w:val="clear" w:color="auto" w:fill="FFFFFF"/>
            <w:tcMar>
              <w:top w:w="40" w:type="dxa"/>
              <w:left w:w="0" w:type="dxa"/>
              <w:bottom w:w="40" w:type="dxa"/>
              <w:right w:w="20" w:type="dxa"/>
            </w:tcMar>
            <w:vAlign w:val="bottom"/>
          </w:tcPr>
          <w:p w14:paraId="5902A1FD" w14:textId="77777777" w:rsidR="0084406A" w:rsidRDefault="0084406A">
            <w:pPr>
              <w:jc w:val="right"/>
              <w:rPr>
                <w:rFonts w:ascii="宋体"/>
              </w:rPr>
            </w:pPr>
          </w:p>
        </w:tc>
      </w:tr>
      <w:tr w:rsidR="0084406A" w14:paraId="5902A208" w14:textId="77777777">
        <w:trPr>
          <w:jc w:val="center"/>
        </w:trPr>
        <w:tc>
          <w:tcPr>
            <w:tcW w:w="0" w:type="auto"/>
            <w:gridSpan w:val="3"/>
            <w:shd w:val="clear" w:color="auto" w:fill="CCEEFF"/>
            <w:tcMar>
              <w:top w:w="40" w:type="dxa"/>
              <w:left w:w="260" w:type="dxa"/>
              <w:bottom w:w="40" w:type="dxa"/>
              <w:right w:w="20" w:type="dxa"/>
            </w:tcMar>
            <w:vAlign w:val="bottom"/>
          </w:tcPr>
          <w:p w14:paraId="5902A1FF" w14:textId="77777777" w:rsidR="0084406A" w:rsidRDefault="002B18AF">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CCEEFF"/>
            <w:tcMar>
              <w:top w:w="40" w:type="dxa"/>
              <w:left w:w="20" w:type="dxa"/>
              <w:bottom w:w="40" w:type="dxa"/>
              <w:right w:w="0" w:type="dxa"/>
            </w:tcMar>
            <w:vAlign w:val="bottom"/>
          </w:tcPr>
          <w:p w14:paraId="5902A20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0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0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03"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0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0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06" w14:textId="77777777" w:rsidR="0084406A" w:rsidRDefault="002B18AF">
            <w:pPr>
              <w:jc w:val="right"/>
              <w:textAlignment w:val="bottom"/>
            </w:pPr>
            <w:r>
              <w:rPr>
                <w:rFonts w:ascii="Arial" w:eastAsia="宋体" w:hAnsi="Arial" w:cs="Arial"/>
                <w:color w:val="000000"/>
                <w:sz w:val="20"/>
                <w:szCs w:val="20"/>
              </w:rPr>
              <w:t>448 </w:t>
            </w:r>
          </w:p>
        </w:tc>
        <w:tc>
          <w:tcPr>
            <w:tcW w:w="0" w:type="auto"/>
            <w:shd w:val="clear" w:color="auto" w:fill="CCEEFF"/>
            <w:tcMar>
              <w:top w:w="40" w:type="dxa"/>
              <w:left w:w="0" w:type="dxa"/>
              <w:bottom w:w="40" w:type="dxa"/>
              <w:right w:w="20" w:type="dxa"/>
            </w:tcMar>
            <w:vAlign w:val="bottom"/>
          </w:tcPr>
          <w:p w14:paraId="5902A207" w14:textId="77777777" w:rsidR="0084406A" w:rsidRDefault="0084406A">
            <w:pPr>
              <w:jc w:val="right"/>
              <w:rPr>
                <w:rFonts w:ascii="宋体"/>
              </w:rPr>
            </w:pPr>
          </w:p>
        </w:tc>
      </w:tr>
      <w:tr w:rsidR="0084406A" w14:paraId="5902A212" w14:textId="77777777">
        <w:trPr>
          <w:jc w:val="center"/>
        </w:trPr>
        <w:tc>
          <w:tcPr>
            <w:tcW w:w="0" w:type="auto"/>
            <w:gridSpan w:val="3"/>
            <w:shd w:val="clear" w:color="auto" w:fill="FFFFFF"/>
            <w:tcMar>
              <w:top w:w="40" w:type="dxa"/>
              <w:left w:w="260" w:type="dxa"/>
              <w:bottom w:w="40" w:type="dxa"/>
              <w:right w:w="20" w:type="dxa"/>
            </w:tcMar>
            <w:vAlign w:val="bottom"/>
          </w:tcPr>
          <w:p w14:paraId="5902A209" w14:textId="77777777" w:rsidR="0084406A" w:rsidRDefault="002B18AF">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5902A20A" w14:textId="77777777" w:rsidR="0084406A" w:rsidRDefault="002B18AF">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5902A20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0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0D" w14:textId="77777777" w:rsidR="0084406A" w:rsidRDefault="002B18AF">
            <w:pPr>
              <w:jc w:val="right"/>
              <w:textAlignment w:val="bottom"/>
            </w:pPr>
            <w:r>
              <w:rPr>
                <w:rFonts w:ascii="Arial" w:eastAsia="宋体" w:hAnsi="Arial" w:cs="Arial"/>
                <w:color w:val="000000"/>
                <w:sz w:val="20"/>
                <w:szCs w:val="20"/>
              </w:rPr>
              <w:t>217 </w:t>
            </w:r>
          </w:p>
        </w:tc>
        <w:tc>
          <w:tcPr>
            <w:tcW w:w="0" w:type="auto"/>
            <w:shd w:val="clear" w:color="auto" w:fill="FFFFFF"/>
            <w:tcMar>
              <w:top w:w="40" w:type="dxa"/>
              <w:left w:w="0" w:type="dxa"/>
              <w:bottom w:w="40" w:type="dxa"/>
              <w:right w:w="20" w:type="dxa"/>
            </w:tcMar>
            <w:vAlign w:val="bottom"/>
          </w:tcPr>
          <w:p w14:paraId="5902A20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0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10" w14:textId="77777777" w:rsidR="0084406A" w:rsidRDefault="002B18AF">
            <w:pPr>
              <w:jc w:val="right"/>
              <w:textAlignment w:val="bottom"/>
            </w:pPr>
            <w:r>
              <w:rPr>
                <w:rFonts w:ascii="Arial" w:eastAsia="宋体" w:hAnsi="Arial" w:cs="Arial"/>
                <w:color w:val="000000"/>
                <w:sz w:val="20"/>
                <w:szCs w:val="20"/>
              </w:rPr>
              <w:t>485 </w:t>
            </w:r>
          </w:p>
        </w:tc>
        <w:tc>
          <w:tcPr>
            <w:tcW w:w="0" w:type="auto"/>
            <w:shd w:val="clear" w:color="auto" w:fill="FFFFFF"/>
            <w:tcMar>
              <w:top w:w="40" w:type="dxa"/>
              <w:left w:w="0" w:type="dxa"/>
              <w:bottom w:w="40" w:type="dxa"/>
              <w:right w:w="20" w:type="dxa"/>
            </w:tcMar>
            <w:vAlign w:val="bottom"/>
          </w:tcPr>
          <w:p w14:paraId="5902A211" w14:textId="77777777" w:rsidR="0084406A" w:rsidRDefault="0084406A">
            <w:pPr>
              <w:jc w:val="right"/>
              <w:rPr>
                <w:rFonts w:ascii="宋体"/>
              </w:rPr>
            </w:pPr>
          </w:p>
        </w:tc>
      </w:tr>
      <w:tr w:rsidR="0084406A" w14:paraId="5902A21C" w14:textId="77777777">
        <w:trPr>
          <w:jc w:val="center"/>
        </w:trPr>
        <w:tc>
          <w:tcPr>
            <w:tcW w:w="0" w:type="auto"/>
            <w:gridSpan w:val="3"/>
            <w:shd w:val="clear" w:color="auto" w:fill="CCEEFF"/>
            <w:tcMar>
              <w:top w:w="40" w:type="dxa"/>
              <w:left w:w="260" w:type="dxa"/>
              <w:bottom w:w="40" w:type="dxa"/>
              <w:right w:w="20" w:type="dxa"/>
            </w:tcMar>
            <w:vAlign w:val="bottom"/>
          </w:tcPr>
          <w:p w14:paraId="5902A213" w14:textId="77777777" w:rsidR="0084406A" w:rsidRDefault="002B18AF">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CCEEFF"/>
            <w:tcMar>
              <w:top w:w="40" w:type="dxa"/>
              <w:left w:w="20" w:type="dxa"/>
              <w:bottom w:w="40" w:type="dxa"/>
              <w:right w:w="0" w:type="dxa"/>
            </w:tcMar>
            <w:vAlign w:val="bottom"/>
          </w:tcPr>
          <w:p w14:paraId="5902A21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1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1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1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1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1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1A" w14:textId="77777777" w:rsidR="0084406A" w:rsidRDefault="002B18AF">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5902A21B" w14:textId="77777777" w:rsidR="0084406A" w:rsidRDefault="0084406A">
            <w:pPr>
              <w:jc w:val="right"/>
              <w:rPr>
                <w:rFonts w:ascii="宋体"/>
              </w:rPr>
            </w:pPr>
          </w:p>
        </w:tc>
      </w:tr>
      <w:tr w:rsidR="0084406A" w14:paraId="5902A226" w14:textId="77777777">
        <w:trPr>
          <w:jc w:val="center"/>
        </w:trPr>
        <w:tc>
          <w:tcPr>
            <w:tcW w:w="0" w:type="auto"/>
            <w:gridSpan w:val="3"/>
            <w:shd w:val="clear" w:color="auto" w:fill="FFFFFF"/>
            <w:tcMar>
              <w:top w:w="40" w:type="dxa"/>
              <w:left w:w="260" w:type="dxa"/>
              <w:bottom w:w="40" w:type="dxa"/>
              <w:right w:w="20" w:type="dxa"/>
            </w:tcMar>
            <w:vAlign w:val="bottom"/>
          </w:tcPr>
          <w:p w14:paraId="5902A21D" w14:textId="77777777" w:rsidR="0084406A" w:rsidRDefault="002B18AF">
            <w:pPr>
              <w:textAlignment w:val="bottom"/>
            </w:pPr>
            <w:r>
              <w:rPr>
                <w:rFonts w:ascii="Arial" w:eastAsia="宋体" w:hAnsi="Arial" w:cs="Arial"/>
                <w:color w:val="000000"/>
                <w:sz w:val="20"/>
                <w:szCs w:val="20"/>
              </w:rPr>
              <w:t>Issuance of common stock warrants</w:t>
            </w:r>
          </w:p>
        </w:tc>
        <w:tc>
          <w:tcPr>
            <w:tcW w:w="0" w:type="auto"/>
            <w:gridSpan w:val="2"/>
            <w:shd w:val="clear" w:color="auto" w:fill="FFFFFF"/>
            <w:tcMar>
              <w:top w:w="40" w:type="dxa"/>
              <w:left w:w="20" w:type="dxa"/>
              <w:bottom w:w="40" w:type="dxa"/>
              <w:right w:w="0" w:type="dxa"/>
            </w:tcMar>
            <w:vAlign w:val="bottom"/>
          </w:tcPr>
          <w:p w14:paraId="5902A21E"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5902A21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2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21"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5902A22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2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24"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5902A225" w14:textId="77777777" w:rsidR="0084406A" w:rsidRDefault="0084406A">
            <w:pPr>
              <w:jc w:val="right"/>
              <w:rPr>
                <w:rFonts w:ascii="宋体"/>
              </w:rPr>
            </w:pPr>
          </w:p>
        </w:tc>
      </w:tr>
      <w:tr w:rsidR="0084406A" w14:paraId="5902A233" w14:textId="77777777">
        <w:trPr>
          <w:jc w:val="center"/>
        </w:trPr>
        <w:tc>
          <w:tcPr>
            <w:tcW w:w="0" w:type="auto"/>
            <w:gridSpan w:val="3"/>
            <w:shd w:val="clear" w:color="auto" w:fill="CCEEFF"/>
            <w:tcMar>
              <w:top w:w="40" w:type="dxa"/>
              <w:left w:w="260" w:type="dxa"/>
              <w:bottom w:w="40" w:type="dxa"/>
              <w:right w:w="20" w:type="dxa"/>
            </w:tcMar>
            <w:vAlign w:val="bottom"/>
          </w:tcPr>
          <w:p w14:paraId="5902A227" w14:textId="77777777" w:rsidR="0084406A" w:rsidRDefault="002B18AF">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902A228"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29" w14:textId="77777777" w:rsidR="0084406A" w:rsidRDefault="002B18AF">
            <w:pPr>
              <w:jc w:val="right"/>
              <w:textAlignment w:val="bottom"/>
            </w:pPr>
            <w:r>
              <w:rPr>
                <w:rFonts w:ascii="Arial" w:eastAsia="宋体" w:hAnsi="Arial" w:cs="Arial"/>
                <w:color w:val="000000"/>
                <w:sz w:val="20"/>
                <w:szCs w:val="20"/>
              </w:rPr>
              <w:t>11,069 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2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2B"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2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2D" w14:textId="77777777" w:rsidR="0084406A" w:rsidRDefault="002B18AF">
            <w:pPr>
              <w:jc w:val="right"/>
              <w:textAlignment w:val="bottom"/>
            </w:pPr>
            <w:r>
              <w:rPr>
                <w:rFonts w:ascii="Arial" w:eastAsia="宋体" w:hAnsi="Arial" w:cs="Arial"/>
                <w:color w:val="000000"/>
                <w:sz w:val="20"/>
                <w:szCs w:val="20"/>
              </w:rPr>
              <w:t>10,544 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2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2F"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3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31" w14:textId="77777777" w:rsidR="0084406A" w:rsidRDefault="002B18AF">
            <w:pPr>
              <w:jc w:val="right"/>
              <w:textAlignment w:val="bottom"/>
            </w:pPr>
            <w:r>
              <w:rPr>
                <w:rFonts w:ascii="Arial" w:eastAsia="宋体" w:hAnsi="Arial" w:cs="Arial"/>
                <w:color w:val="000000"/>
                <w:sz w:val="20"/>
                <w:szCs w:val="20"/>
              </w:rPr>
              <w:t>9,963 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32" w14:textId="77777777" w:rsidR="0084406A" w:rsidRDefault="0084406A">
            <w:pPr>
              <w:jc w:val="right"/>
              <w:rPr>
                <w:rFonts w:ascii="宋体"/>
              </w:rPr>
            </w:pPr>
          </w:p>
        </w:tc>
      </w:tr>
      <w:tr w:rsidR="0084406A" w14:paraId="5902A23A" w14:textId="77777777">
        <w:trPr>
          <w:jc w:val="center"/>
        </w:trPr>
        <w:tc>
          <w:tcPr>
            <w:tcW w:w="0" w:type="auto"/>
            <w:gridSpan w:val="3"/>
            <w:shd w:val="clear" w:color="auto" w:fill="FFFFFF"/>
            <w:tcMar>
              <w:top w:w="40" w:type="dxa"/>
              <w:left w:w="20" w:type="dxa"/>
              <w:bottom w:w="40" w:type="dxa"/>
              <w:right w:w="20" w:type="dxa"/>
            </w:tcMar>
            <w:vAlign w:val="bottom"/>
          </w:tcPr>
          <w:p w14:paraId="5902A234" w14:textId="77777777" w:rsidR="0084406A" w:rsidRDefault="002B18AF">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35"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36"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3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38"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39" w14:textId="77777777" w:rsidR="0084406A" w:rsidRDefault="0084406A">
            <w:pPr>
              <w:rPr>
                <w:rFonts w:ascii="宋体"/>
              </w:rPr>
            </w:pPr>
          </w:p>
        </w:tc>
      </w:tr>
      <w:tr w:rsidR="0084406A" w14:paraId="5902A247" w14:textId="77777777">
        <w:trPr>
          <w:jc w:val="center"/>
        </w:trPr>
        <w:tc>
          <w:tcPr>
            <w:tcW w:w="0" w:type="auto"/>
            <w:gridSpan w:val="3"/>
            <w:shd w:val="clear" w:color="auto" w:fill="CCEEFF"/>
            <w:tcMar>
              <w:top w:w="40" w:type="dxa"/>
              <w:left w:w="260" w:type="dxa"/>
              <w:bottom w:w="40" w:type="dxa"/>
              <w:right w:w="20" w:type="dxa"/>
            </w:tcMar>
            <w:vAlign w:val="bottom"/>
          </w:tcPr>
          <w:p w14:paraId="5902A23B" w14:textId="77777777" w:rsidR="0084406A" w:rsidRDefault="002B18AF">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5902A23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23D" w14:textId="77777777" w:rsidR="0084406A" w:rsidRDefault="002B18AF">
            <w:pPr>
              <w:jc w:val="right"/>
              <w:textAlignment w:val="bottom"/>
            </w:pPr>
            <w:r>
              <w:rPr>
                <w:rFonts w:ascii="Arial" w:eastAsia="宋体" w:hAnsi="Arial" w:cs="Arial"/>
                <w:color w:val="000000"/>
                <w:sz w:val="20"/>
                <w:szCs w:val="20"/>
              </w:rPr>
              <w:t>(131)</w:t>
            </w:r>
          </w:p>
        </w:tc>
        <w:tc>
          <w:tcPr>
            <w:tcW w:w="0" w:type="auto"/>
            <w:shd w:val="clear" w:color="auto" w:fill="CCEEFF"/>
            <w:tcMar>
              <w:top w:w="40" w:type="dxa"/>
              <w:left w:w="0" w:type="dxa"/>
              <w:bottom w:w="40" w:type="dxa"/>
              <w:right w:w="20" w:type="dxa"/>
            </w:tcMar>
            <w:vAlign w:val="bottom"/>
          </w:tcPr>
          <w:p w14:paraId="5902A23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3F"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24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241" w14:textId="77777777" w:rsidR="0084406A" w:rsidRDefault="002B18AF">
            <w:pPr>
              <w:jc w:val="right"/>
              <w:textAlignment w:val="bottom"/>
            </w:pPr>
            <w:r>
              <w:rPr>
                <w:rFonts w:ascii="Arial" w:eastAsia="宋体"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5902A24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43"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24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245" w14:textId="77777777" w:rsidR="0084406A" w:rsidRDefault="002B18AF">
            <w:pPr>
              <w:jc w:val="right"/>
              <w:textAlignment w:val="bottom"/>
            </w:pPr>
            <w:r>
              <w:rPr>
                <w:rFonts w:ascii="Arial" w:eastAsia="宋体" w:hAnsi="Arial" w:cs="Arial"/>
                <w:color w:val="000000"/>
                <w:sz w:val="20"/>
                <w:szCs w:val="20"/>
              </w:rPr>
              <w:t>(50)</w:t>
            </w:r>
          </w:p>
        </w:tc>
        <w:tc>
          <w:tcPr>
            <w:tcW w:w="0" w:type="auto"/>
            <w:shd w:val="clear" w:color="auto" w:fill="CCEEFF"/>
            <w:tcMar>
              <w:top w:w="40" w:type="dxa"/>
              <w:left w:w="0" w:type="dxa"/>
              <w:bottom w:w="40" w:type="dxa"/>
              <w:right w:w="20" w:type="dxa"/>
            </w:tcMar>
            <w:vAlign w:val="bottom"/>
          </w:tcPr>
          <w:p w14:paraId="5902A246" w14:textId="77777777" w:rsidR="0084406A" w:rsidRDefault="0084406A">
            <w:pPr>
              <w:jc w:val="right"/>
              <w:rPr>
                <w:rFonts w:ascii="宋体"/>
              </w:rPr>
            </w:pPr>
          </w:p>
        </w:tc>
      </w:tr>
      <w:tr w:rsidR="0084406A" w14:paraId="5902A251" w14:textId="77777777">
        <w:trPr>
          <w:jc w:val="center"/>
        </w:trPr>
        <w:tc>
          <w:tcPr>
            <w:tcW w:w="0" w:type="auto"/>
            <w:gridSpan w:val="3"/>
            <w:shd w:val="clear" w:color="auto" w:fill="FFFFFF"/>
            <w:tcMar>
              <w:top w:w="40" w:type="dxa"/>
              <w:left w:w="260" w:type="dxa"/>
              <w:bottom w:w="40" w:type="dxa"/>
              <w:right w:w="20" w:type="dxa"/>
            </w:tcMar>
            <w:vAlign w:val="bottom"/>
          </w:tcPr>
          <w:p w14:paraId="5902A248" w14:textId="77777777" w:rsidR="0084406A" w:rsidRDefault="002B18AF">
            <w:pPr>
              <w:textAlignment w:val="bottom"/>
            </w:pPr>
            <w:r>
              <w:rPr>
                <w:rFonts w:ascii="Arial" w:eastAsia="宋体" w:hAnsi="Arial" w:cs="Arial"/>
                <w:color w:val="000000"/>
                <w:sz w:val="20"/>
                <w:szCs w:val="20"/>
              </w:rPr>
              <w:t>Repurchases of common stock</w:t>
            </w:r>
          </w:p>
        </w:tc>
        <w:tc>
          <w:tcPr>
            <w:tcW w:w="0" w:type="auto"/>
            <w:gridSpan w:val="2"/>
            <w:shd w:val="clear" w:color="auto" w:fill="FFFFFF"/>
            <w:tcMar>
              <w:top w:w="40" w:type="dxa"/>
              <w:left w:w="20" w:type="dxa"/>
              <w:bottom w:w="40" w:type="dxa"/>
              <w:right w:w="0" w:type="dxa"/>
            </w:tcMar>
            <w:vAlign w:val="bottom"/>
          </w:tcPr>
          <w:p w14:paraId="5902A249" w14:textId="77777777" w:rsidR="0084406A" w:rsidRDefault="002B18AF">
            <w:pPr>
              <w:jc w:val="right"/>
              <w:textAlignment w:val="bottom"/>
            </w:pPr>
            <w:r>
              <w:rPr>
                <w:rFonts w:ascii="Arial" w:eastAsia="宋体" w:hAnsi="Arial" w:cs="Arial"/>
                <w:color w:val="000000"/>
                <w:sz w:val="20"/>
                <w:szCs w:val="20"/>
              </w:rPr>
              <w:t>(1,762)</w:t>
            </w:r>
          </w:p>
        </w:tc>
        <w:tc>
          <w:tcPr>
            <w:tcW w:w="0" w:type="auto"/>
            <w:shd w:val="clear" w:color="auto" w:fill="FFFFFF"/>
            <w:tcMar>
              <w:top w:w="40" w:type="dxa"/>
              <w:left w:w="0" w:type="dxa"/>
              <w:bottom w:w="40" w:type="dxa"/>
              <w:right w:w="20" w:type="dxa"/>
            </w:tcMar>
            <w:vAlign w:val="bottom"/>
          </w:tcPr>
          <w:p w14:paraId="5902A24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4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4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24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4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4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250" w14:textId="77777777" w:rsidR="0084406A" w:rsidRDefault="0084406A">
            <w:pPr>
              <w:jc w:val="right"/>
              <w:rPr>
                <w:rFonts w:ascii="宋体"/>
              </w:rPr>
            </w:pPr>
          </w:p>
        </w:tc>
      </w:tr>
      <w:tr w:rsidR="0084406A" w14:paraId="5902A25B" w14:textId="77777777">
        <w:trPr>
          <w:jc w:val="center"/>
        </w:trPr>
        <w:tc>
          <w:tcPr>
            <w:tcW w:w="0" w:type="auto"/>
            <w:gridSpan w:val="3"/>
            <w:shd w:val="clear" w:color="auto" w:fill="CCEEFF"/>
            <w:tcMar>
              <w:top w:w="40" w:type="dxa"/>
              <w:left w:w="260" w:type="dxa"/>
              <w:bottom w:w="40" w:type="dxa"/>
              <w:right w:w="20" w:type="dxa"/>
            </w:tcMar>
            <w:vAlign w:val="bottom"/>
          </w:tcPr>
          <w:p w14:paraId="5902A252" w14:textId="77777777" w:rsidR="0084406A" w:rsidRDefault="002B18AF">
            <w:pPr>
              <w:textAlignment w:val="bottom"/>
            </w:pPr>
            <w:r>
              <w:rPr>
                <w:rFonts w:ascii="Arial" w:eastAsia="宋体" w:hAnsi="Arial" w:cs="Arial"/>
                <w:color w:val="000000"/>
                <w:sz w:val="20"/>
                <w:szCs w:val="20"/>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5902A253" w14:textId="77777777" w:rsidR="0084406A" w:rsidRDefault="002B18AF">
            <w:pPr>
              <w:jc w:val="right"/>
              <w:textAlignment w:val="bottom"/>
            </w:pPr>
            <w:r>
              <w:rPr>
                <w:rFonts w:ascii="Arial" w:eastAsia="宋体" w:hAnsi="Arial" w:cs="Arial"/>
                <w:color w:val="000000"/>
                <w:sz w:val="20"/>
                <w:szCs w:val="20"/>
              </w:rPr>
              <w:t>(237)</w:t>
            </w:r>
          </w:p>
        </w:tc>
        <w:tc>
          <w:tcPr>
            <w:tcW w:w="0" w:type="auto"/>
            <w:shd w:val="clear" w:color="auto" w:fill="CCEEFF"/>
            <w:tcMar>
              <w:top w:w="40" w:type="dxa"/>
              <w:left w:w="0" w:type="dxa"/>
              <w:bottom w:w="40" w:type="dxa"/>
              <w:right w:w="20" w:type="dxa"/>
            </w:tcMar>
            <w:vAlign w:val="bottom"/>
          </w:tcPr>
          <w:p w14:paraId="5902A25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5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56" w14:textId="77777777" w:rsidR="0084406A" w:rsidRDefault="002B18AF">
            <w:pPr>
              <w:jc w:val="right"/>
              <w:textAlignment w:val="bottom"/>
            </w:pPr>
            <w:r>
              <w:rPr>
                <w:rFonts w:ascii="Arial" w:eastAsia="宋体" w:hAnsi="Arial" w:cs="Arial"/>
                <w:color w:val="000000"/>
                <w:sz w:val="20"/>
                <w:szCs w:val="20"/>
              </w:rPr>
              <w:t>(78)</w:t>
            </w:r>
          </w:p>
        </w:tc>
        <w:tc>
          <w:tcPr>
            <w:tcW w:w="0" w:type="auto"/>
            <w:shd w:val="clear" w:color="auto" w:fill="CCEEFF"/>
            <w:tcMar>
              <w:top w:w="40" w:type="dxa"/>
              <w:left w:w="0" w:type="dxa"/>
              <w:bottom w:w="40" w:type="dxa"/>
              <w:right w:w="20" w:type="dxa"/>
            </w:tcMar>
            <w:vAlign w:val="bottom"/>
          </w:tcPr>
          <w:p w14:paraId="5902A25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5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59" w14:textId="77777777" w:rsidR="0084406A" w:rsidRDefault="002B18AF">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5902A25A" w14:textId="77777777" w:rsidR="0084406A" w:rsidRDefault="0084406A">
            <w:pPr>
              <w:jc w:val="right"/>
              <w:rPr>
                <w:rFonts w:ascii="宋体"/>
              </w:rPr>
            </w:pPr>
          </w:p>
        </w:tc>
      </w:tr>
      <w:tr w:rsidR="0084406A" w14:paraId="5902A265" w14:textId="77777777">
        <w:trPr>
          <w:jc w:val="center"/>
        </w:trPr>
        <w:tc>
          <w:tcPr>
            <w:tcW w:w="0" w:type="auto"/>
            <w:gridSpan w:val="3"/>
            <w:shd w:val="clear" w:color="auto" w:fill="FFFFFF"/>
            <w:tcMar>
              <w:top w:w="40" w:type="dxa"/>
              <w:left w:w="260" w:type="dxa"/>
              <w:bottom w:w="40" w:type="dxa"/>
              <w:right w:w="20" w:type="dxa"/>
            </w:tcMar>
            <w:vAlign w:val="bottom"/>
          </w:tcPr>
          <w:p w14:paraId="5902A25C" w14:textId="77777777" w:rsidR="0084406A" w:rsidRDefault="002B18AF">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FFFFFF"/>
            <w:tcMar>
              <w:top w:w="40" w:type="dxa"/>
              <w:left w:w="20" w:type="dxa"/>
              <w:bottom w:w="40" w:type="dxa"/>
              <w:right w:w="0" w:type="dxa"/>
            </w:tcMar>
            <w:vAlign w:val="bottom"/>
          </w:tcPr>
          <w:p w14:paraId="5902A25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25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5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6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26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6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63"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5902A264" w14:textId="77777777" w:rsidR="0084406A" w:rsidRDefault="0084406A">
            <w:pPr>
              <w:jc w:val="right"/>
              <w:rPr>
                <w:rFonts w:ascii="宋体"/>
              </w:rPr>
            </w:pPr>
          </w:p>
        </w:tc>
      </w:tr>
      <w:tr w:rsidR="0084406A" w14:paraId="5902A26C" w14:textId="77777777">
        <w:trPr>
          <w:jc w:val="center"/>
          <w:hidden/>
        </w:trPr>
        <w:tc>
          <w:tcPr>
            <w:tcW w:w="0" w:type="auto"/>
            <w:gridSpan w:val="3"/>
            <w:shd w:val="clear" w:color="auto" w:fill="auto"/>
            <w:vAlign w:val="bottom"/>
          </w:tcPr>
          <w:p w14:paraId="5902A266" w14:textId="77777777" w:rsidR="0084406A" w:rsidRDefault="0084406A">
            <w:pPr>
              <w:rPr>
                <w:rFonts w:ascii="宋体"/>
                <w:vanish/>
              </w:rPr>
            </w:pPr>
          </w:p>
        </w:tc>
        <w:tc>
          <w:tcPr>
            <w:tcW w:w="0" w:type="auto"/>
            <w:gridSpan w:val="3"/>
            <w:shd w:val="clear" w:color="auto" w:fill="auto"/>
            <w:vAlign w:val="bottom"/>
          </w:tcPr>
          <w:p w14:paraId="5902A267" w14:textId="77777777" w:rsidR="0084406A" w:rsidRDefault="0084406A">
            <w:pPr>
              <w:rPr>
                <w:rFonts w:ascii="宋体"/>
                <w:vanish/>
              </w:rPr>
            </w:pPr>
          </w:p>
        </w:tc>
        <w:tc>
          <w:tcPr>
            <w:tcW w:w="0" w:type="auto"/>
            <w:gridSpan w:val="3"/>
            <w:shd w:val="clear" w:color="auto" w:fill="auto"/>
            <w:vAlign w:val="bottom"/>
          </w:tcPr>
          <w:p w14:paraId="5902A268" w14:textId="77777777" w:rsidR="0084406A" w:rsidRDefault="0084406A">
            <w:pPr>
              <w:rPr>
                <w:rFonts w:ascii="宋体"/>
                <w:vanish/>
              </w:rPr>
            </w:pPr>
          </w:p>
        </w:tc>
        <w:tc>
          <w:tcPr>
            <w:tcW w:w="0" w:type="auto"/>
            <w:gridSpan w:val="3"/>
            <w:shd w:val="clear" w:color="auto" w:fill="auto"/>
            <w:vAlign w:val="bottom"/>
          </w:tcPr>
          <w:p w14:paraId="5902A269" w14:textId="77777777" w:rsidR="0084406A" w:rsidRDefault="0084406A">
            <w:pPr>
              <w:rPr>
                <w:rFonts w:ascii="宋体"/>
                <w:vanish/>
              </w:rPr>
            </w:pPr>
          </w:p>
        </w:tc>
        <w:tc>
          <w:tcPr>
            <w:tcW w:w="0" w:type="auto"/>
            <w:gridSpan w:val="3"/>
            <w:shd w:val="clear" w:color="auto" w:fill="auto"/>
            <w:vAlign w:val="bottom"/>
          </w:tcPr>
          <w:p w14:paraId="5902A26A" w14:textId="77777777" w:rsidR="0084406A" w:rsidRDefault="0084406A">
            <w:pPr>
              <w:rPr>
                <w:rFonts w:ascii="宋体"/>
                <w:vanish/>
              </w:rPr>
            </w:pPr>
          </w:p>
        </w:tc>
        <w:tc>
          <w:tcPr>
            <w:tcW w:w="0" w:type="auto"/>
            <w:gridSpan w:val="3"/>
            <w:shd w:val="clear" w:color="auto" w:fill="auto"/>
            <w:vAlign w:val="bottom"/>
          </w:tcPr>
          <w:p w14:paraId="5902A26B" w14:textId="77777777" w:rsidR="0084406A" w:rsidRDefault="0084406A">
            <w:pPr>
              <w:rPr>
                <w:rFonts w:ascii="宋体"/>
                <w:vanish/>
              </w:rPr>
            </w:pPr>
          </w:p>
        </w:tc>
      </w:tr>
      <w:tr w:rsidR="0084406A" w14:paraId="5902A279" w14:textId="77777777">
        <w:trPr>
          <w:jc w:val="center"/>
        </w:trPr>
        <w:tc>
          <w:tcPr>
            <w:tcW w:w="0" w:type="auto"/>
            <w:gridSpan w:val="3"/>
            <w:shd w:val="clear" w:color="auto" w:fill="CCEEFF"/>
            <w:tcMar>
              <w:top w:w="40" w:type="dxa"/>
              <w:left w:w="260" w:type="dxa"/>
              <w:bottom w:w="40" w:type="dxa"/>
              <w:right w:w="20" w:type="dxa"/>
            </w:tcMar>
            <w:vAlign w:val="bottom"/>
          </w:tcPr>
          <w:p w14:paraId="5902A26D" w14:textId="77777777" w:rsidR="0084406A" w:rsidRDefault="002B18AF">
            <w:pPr>
              <w:textAlignment w:val="bottom"/>
            </w:pPr>
            <w:r>
              <w:rPr>
                <w:rFonts w:ascii="Arial" w:eastAsia="宋体" w:hAnsi="Arial" w:cs="Arial"/>
                <w:color w:val="000000"/>
                <w:sz w:val="20"/>
                <w:szCs w:val="20"/>
              </w:rPr>
              <w:t xml:space="preserve">Balance, end of </w:t>
            </w:r>
            <w:r>
              <w:rPr>
                <w:rFonts w:ascii="Arial" w:eastAsia="宋体" w:hAnsi="Arial" w:cs="Arial"/>
                <w:color w:val="000000"/>
                <w:sz w:val="20"/>
                <w:szCs w:val="20"/>
              </w:rPr>
              <w:t>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902A26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6F" w14:textId="77777777" w:rsidR="0084406A" w:rsidRDefault="002B18AF">
            <w:pPr>
              <w:jc w:val="right"/>
              <w:textAlignment w:val="bottom"/>
            </w:pPr>
            <w:r>
              <w:rPr>
                <w:rFonts w:ascii="Arial" w:eastAsia="宋体" w:hAnsi="Arial" w:cs="Arial"/>
                <w:color w:val="000000"/>
                <w:sz w:val="20"/>
                <w:szCs w:val="20"/>
              </w:rPr>
              <w:t>(2,130)</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7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71"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7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73" w14:textId="77777777" w:rsidR="0084406A" w:rsidRDefault="002B18AF">
            <w:pPr>
              <w:jc w:val="right"/>
              <w:textAlignment w:val="bottom"/>
            </w:pPr>
            <w:r>
              <w:rPr>
                <w:rFonts w:ascii="Arial" w:eastAsia="宋体" w:hAnsi="Arial" w:cs="Arial"/>
                <w:color w:val="000000"/>
                <w:sz w:val="20"/>
                <w:szCs w:val="20"/>
              </w:rPr>
              <w:t>(131)</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7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75"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76"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77" w14:textId="77777777" w:rsidR="0084406A" w:rsidRDefault="002B18AF">
            <w:pPr>
              <w:jc w:val="right"/>
              <w:textAlignment w:val="bottom"/>
            </w:pPr>
            <w:r>
              <w:rPr>
                <w:rFonts w:ascii="Arial" w:eastAsia="宋体" w:hAnsi="Arial" w:cs="Arial"/>
                <w:color w:val="000000"/>
                <w:sz w:val="20"/>
                <w:szCs w:val="20"/>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78" w14:textId="77777777" w:rsidR="0084406A" w:rsidRDefault="0084406A">
            <w:pPr>
              <w:jc w:val="right"/>
              <w:rPr>
                <w:rFonts w:ascii="宋体"/>
              </w:rPr>
            </w:pPr>
          </w:p>
        </w:tc>
      </w:tr>
      <w:tr w:rsidR="0084406A" w14:paraId="5902A280" w14:textId="77777777">
        <w:trPr>
          <w:trHeight w:val="280"/>
          <w:jc w:val="center"/>
        </w:trPr>
        <w:tc>
          <w:tcPr>
            <w:tcW w:w="0" w:type="auto"/>
            <w:gridSpan w:val="3"/>
            <w:shd w:val="clear" w:color="auto" w:fill="FFFFFF"/>
            <w:tcMar>
              <w:top w:w="0" w:type="dxa"/>
              <w:left w:w="20" w:type="dxa"/>
              <w:bottom w:w="0" w:type="dxa"/>
              <w:right w:w="20" w:type="dxa"/>
            </w:tcMar>
            <w:vAlign w:val="bottom"/>
          </w:tcPr>
          <w:p w14:paraId="5902A27A"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7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7C"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7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7E"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7F" w14:textId="77777777" w:rsidR="0084406A" w:rsidRDefault="0084406A">
            <w:pPr>
              <w:rPr>
                <w:rFonts w:ascii="宋体"/>
              </w:rPr>
            </w:pPr>
          </w:p>
        </w:tc>
      </w:tr>
      <w:tr w:rsidR="0084406A" w14:paraId="5902A287" w14:textId="77777777">
        <w:trPr>
          <w:jc w:val="center"/>
        </w:trPr>
        <w:tc>
          <w:tcPr>
            <w:tcW w:w="0" w:type="auto"/>
            <w:gridSpan w:val="3"/>
            <w:shd w:val="clear" w:color="auto" w:fill="CCEEFF"/>
            <w:tcMar>
              <w:top w:w="40" w:type="dxa"/>
              <w:left w:w="20" w:type="dxa"/>
              <w:bottom w:w="40" w:type="dxa"/>
              <w:right w:w="20" w:type="dxa"/>
            </w:tcMar>
            <w:vAlign w:val="bottom"/>
          </w:tcPr>
          <w:p w14:paraId="5902A281" w14:textId="77777777" w:rsidR="0084406A" w:rsidRDefault="002B18AF">
            <w:pPr>
              <w:textAlignment w:val="bottom"/>
            </w:pPr>
            <w:r>
              <w:rPr>
                <w:rFonts w:ascii="Arial" w:eastAsia="宋体" w:hAnsi="Arial" w:cs="Arial"/>
                <w:b/>
                <w:bCs/>
                <w:color w:val="000000"/>
                <w:sz w:val="20"/>
                <w:szCs w:val="20"/>
              </w:rPr>
              <w:t>Accumulated deficit</w:t>
            </w:r>
          </w:p>
        </w:tc>
        <w:tc>
          <w:tcPr>
            <w:tcW w:w="0" w:type="auto"/>
            <w:gridSpan w:val="3"/>
            <w:shd w:val="clear" w:color="auto" w:fill="CCEEFF"/>
            <w:tcMar>
              <w:top w:w="0" w:type="dxa"/>
              <w:left w:w="20" w:type="dxa"/>
              <w:bottom w:w="0" w:type="dxa"/>
              <w:right w:w="20" w:type="dxa"/>
            </w:tcMar>
            <w:vAlign w:val="bottom"/>
          </w:tcPr>
          <w:p w14:paraId="5902A28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8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8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8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86" w14:textId="77777777" w:rsidR="0084406A" w:rsidRDefault="0084406A">
            <w:pPr>
              <w:rPr>
                <w:rFonts w:ascii="宋体"/>
              </w:rPr>
            </w:pPr>
          </w:p>
        </w:tc>
      </w:tr>
      <w:tr w:rsidR="0084406A" w14:paraId="5902A294" w14:textId="77777777">
        <w:trPr>
          <w:jc w:val="center"/>
        </w:trPr>
        <w:tc>
          <w:tcPr>
            <w:tcW w:w="0" w:type="auto"/>
            <w:gridSpan w:val="3"/>
            <w:shd w:val="clear" w:color="auto" w:fill="FFFFFF"/>
            <w:tcMar>
              <w:top w:w="40" w:type="dxa"/>
              <w:left w:w="260" w:type="dxa"/>
              <w:bottom w:w="40" w:type="dxa"/>
              <w:right w:w="20" w:type="dxa"/>
            </w:tcMar>
            <w:vAlign w:val="bottom"/>
          </w:tcPr>
          <w:p w14:paraId="5902A288" w14:textId="77777777" w:rsidR="0084406A" w:rsidRDefault="002B18AF">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5902A28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8A" w14:textId="77777777" w:rsidR="0084406A" w:rsidRDefault="002B18AF">
            <w:pPr>
              <w:jc w:val="right"/>
              <w:textAlignment w:val="bottom"/>
            </w:pPr>
            <w:r>
              <w:rPr>
                <w:rFonts w:ascii="Arial" w:eastAsia="宋体" w:hAnsi="Arial" w:cs="Arial"/>
                <w:color w:val="000000"/>
                <w:sz w:val="20"/>
                <w:szCs w:val="20"/>
              </w:rPr>
              <w:t>(4,605)</w:t>
            </w:r>
          </w:p>
        </w:tc>
        <w:tc>
          <w:tcPr>
            <w:tcW w:w="0" w:type="auto"/>
            <w:shd w:val="clear" w:color="auto" w:fill="FFFFFF"/>
            <w:tcMar>
              <w:top w:w="40" w:type="dxa"/>
              <w:left w:w="0" w:type="dxa"/>
              <w:bottom w:w="40" w:type="dxa"/>
              <w:right w:w="20" w:type="dxa"/>
            </w:tcMar>
            <w:vAlign w:val="bottom"/>
          </w:tcPr>
          <w:p w14:paraId="5902A28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8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28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8E" w14:textId="77777777" w:rsidR="0084406A" w:rsidRDefault="002B18AF">
            <w:pPr>
              <w:jc w:val="right"/>
              <w:textAlignment w:val="bottom"/>
            </w:pPr>
            <w:r>
              <w:rPr>
                <w:rFonts w:ascii="Arial" w:eastAsia="宋体" w:hAnsi="Arial" w:cs="Arial"/>
                <w:color w:val="000000"/>
                <w:sz w:val="20"/>
                <w:szCs w:val="20"/>
              </w:rPr>
              <w:t>(7,095)</w:t>
            </w:r>
          </w:p>
        </w:tc>
        <w:tc>
          <w:tcPr>
            <w:tcW w:w="0" w:type="auto"/>
            <w:shd w:val="clear" w:color="auto" w:fill="FFFFFF"/>
            <w:tcMar>
              <w:top w:w="40" w:type="dxa"/>
              <w:left w:w="0" w:type="dxa"/>
              <w:bottom w:w="40" w:type="dxa"/>
              <w:right w:w="20" w:type="dxa"/>
            </w:tcMar>
            <w:vAlign w:val="bottom"/>
          </w:tcPr>
          <w:p w14:paraId="5902A28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90"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29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92" w14:textId="77777777" w:rsidR="0084406A" w:rsidRDefault="002B18AF">
            <w:pPr>
              <w:jc w:val="right"/>
              <w:textAlignment w:val="bottom"/>
            </w:pPr>
            <w:r>
              <w:rPr>
                <w:rFonts w:ascii="Arial" w:eastAsia="宋体" w:hAnsi="Arial" w:cs="Arial"/>
                <w:color w:val="000000"/>
                <w:sz w:val="20"/>
                <w:szCs w:val="20"/>
              </w:rPr>
              <w:t>(7,436)</w:t>
            </w:r>
          </w:p>
        </w:tc>
        <w:tc>
          <w:tcPr>
            <w:tcW w:w="0" w:type="auto"/>
            <w:shd w:val="clear" w:color="auto" w:fill="FFFFFF"/>
            <w:tcMar>
              <w:top w:w="40" w:type="dxa"/>
              <w:left w:w="0" w:type="dxa"/>
              <w:bottom w:w="40" w:type="dxa"/>
              <w:right w:w="20" w:type="dxa"/>
            </w:tcMar>
            <w:vAlign w:val="bottom"/>
          </w:tcPr>
          <w:p w14:paraId="5902A293" w14:textId="77777777" w:rsidR="0084406A" w:rsidRDefault="0084406A">
            <w:pPr>
              <w:jc w:val="right"/>
              <w:rPr>
                <w:rFonts w:ascii="宋体"/>
              </w:rPr>
            </w:pPr>
          </w:p>
        </w:tc>
      </w:tr>
      <w:tr w:rsidR="0084406A" w14:paraId="5902A29E" w14:textId="77777777">
        <w:trPr>
          <w:jc w:val="center"/>
        </w:trPr>
        <w:tc>
          <w:tcPr>
            <w:tcW w:w="0" w:type="auto"/>
            <w:gridSpan w:val="3"/>
            <w:shd w:val="clear" w:color="auto" w:fill="CCEEFF"/>
            <w:tcMar>
              <w:top w:w="40" w:type="dxa"/>
              <w:left w:w="260" w:type="dxa"/>
              <w:bottom w:w="40" w:type="dxa"/>
              <w:right w:w="20" w:type="dxa"/>
            </w:tcMar>
            <w:vAlign w:val="bottom"/>
          </w:tcPr>
          <w:p w14:paraId="5902A295" w14:textId="77777777" w:rsidR="0084406A" w:rsidRDefault="002B18AF">
            <w:pPr>
              <w:textAlignment w:val="bottom"/>
            </w:pPr>
            <w:r>
              <w:rPr>
                <w:rFonts w:ascii="Arial" w:eastAsia="宋体" w:hAnsi="Arial" w:cs="Arial"/>
                <w:color w:val="000000"/>
                <w:sz w:val="20"/>
                <w:szCs w:val="20"/>
              </w:rPr>
              <w:t>Cumulative effect of adoption of accounting standard</w:t>
            </w:r>
          </w:p>
        </w:tc>
        <w:tc>
          <w:tcPr>
            <w:tcW w:w="0" w:type="auto"/>
            <w:gridSpan w:val="2"/>
            <w:shd w:val="clear" w:color="auto" w:fill="CCEEFF"/>
            <w:tcMar>
              <w:top w:w="40" w:type="dxa"/>
              <w:left w:w="20" w:type="dxa"/>
              <w:bottom w:w="40" w:type="dxa"/>
              <w:right w:w="0" w:type="dxa"/>
            </w:tcMar>
            <w:vAlign w:val="bottom"/>
          </w:tcPr>
          <w:p w14:paraId="5902A296" w14:textId="77777777" w:rsidR="0084406A" w:rsidRDefault="002B18AF">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5902A29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9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9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9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9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9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29D" w14:textId="77777777" w:rsidR="0084406A" w:rsidRDefault="0084406A">
            <w:pPr>
              <w:jc w:val="right"/>
              <w:rPr>
                <w:rFonts w:ascii="宋体"/>
              </w:rPr>
            </w:pPr>
          </w:p>
        </w:tc>
      </w:tr>
      <w:tr w:rsidR="0084406A" w14:paraId="5902A2A8" w14:textId="77777777">
        <w:trPr>
          <w:jc w:val="center"/>
        </w:trPr>
        <w:tc>
          <w:tcPr>
            <w:tcW w:w="0" w:type="auto"/>
            <w:gridSpan w:val="3"/>
            <w:shd w:val="clear" w:color="auto" w:fill="FFFFFF"/>
            <w:tcMar>
              <w:top w:w="40" w:type="dxa"/>
              <w:left w:w="260" w:type="dxa"/>
              <w:bottom w:w="40" w:type="dxa"/>
              <w:right w:w="20" w:type="dxa"/>
            </w:tcMar>
            <w:vAlign w:val="bottom"/>
          </w:tcPr>
          <w:p w14:paraId="5902A29F" w14:textId="77777777" w:rsidR="0084406A" w:rsidRDefault="002B18AF">
            <w:pPr>
              <w:textAlignment w:val="bottom"/>
            </w:pPr>
            <w:r>
              <w:rPr>
                <w:rFonts w:ascii="Arial" w:eastAsia="宋体" w:hAnsi="Arial" w:cs="Arial"/>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5902A2A0" w14:textId="77777777" w:rsidR="0084406A" w:rsidRDefault="002B18AF">
            <w:pPr>
              <w:jc w:val="right"/>
              <w:textAlignment w:val="bottom"/>
            </w:pPr>
            <w:r>
              <w:rPr>
                <w:rFonts w:ascii="Arial" w:eastAsia="宋体" w:hAnsi="Arial" w:cs="Arial"/>
                <w:color w:val="000000"/>
                <w:sz w:val="20"/>
                <w:szCs w:val="20"/>
              </w:rPr>
              <w:t>3,162 </w:t>
            </w:r>
          </w:p>
        </w:tc>
        <w:tc>
          <w:tcPr>
            <w:tcW w:w="0" w:type="auto"/>
            <w:shd w:val="clear" w:color="auto" w:fill="FFFFFF"/>
            <w:tcMar>
              <w:top w:w="40" w:type="dxa"/>
              <w:left w:w="0" w:type="dxa"/>
              <w:bottom w:w="40" w:type="dxa"/>
              <w:right w:w="20" w:type="dxa"/>
            </w:tcMar>
            <w:vAlign w:val="bottom"/>
          </w:tcPr>
          <w:p w14:paraId="5902A2A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A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A3" w14:textId="77777777" w:rsidR="0084406A" w:rsidRDefault="002B18AF">
            <w:pPr>
              <w:jc w:val="right"/>
              <w:textAlignment w:val="bottom"/>
            </w:pPr>
            <w:r>
              <w:rPr>
                <w:rFonts w:ascii="Arial" w:eastAsia="宋体" w:hAnsi="Arial" w:cs="Arial"/>
                <w:color w:val="000000"/>
                <w:sz w:val="20"/>
                <w:szCs w:val="20"/>
              </w:rPr>
              <w:t>2,490 </w:t>
            </w:r>
          </w:p>
        </w:tc>
        <w:tc>
          <w:tcPr>
            <w:tcW w:w="0" w:type="auto"/>
            <w:shd w:val="clear" w:color="auto" w:fill="FFFFFF"/>
            <w:tcMar>
              <w:top w:w="40" w:type="dxa"/>
              <w:left w:w="0" w:type="dxa"/>
              <w:bottom w:w="40" w:type="dxa"/>
              <w:right w:w="20" w:type="dxa"/>
            </w:tcMar>
            <w:vAlign w:val="bottom"/>
          </w:tcPr>
          <w:p w14:paraId="5902A2A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A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2A6" w14:textId="77777777" w:rsidR="0084406A" w:rsidRDefault="002B18AF">
            <w:pPr>
              <w:jc w:val="right"/>
              <w:textAlignment w:val="bottom"/>
            </w:pPr>
            <w:r>
              <w:rPr>
                <w:rFonts w:ascii="Arial" w:eastAsia="宋体" w:hAnsi="Arial" w:cs="Arial"/>
                <w:color w:val="000000"/>
                <w:sz w:val="20"/>
                <w:szCs w:val="20"/>
              </w:rPr>
              <w:t>341 </w:t>
            </w:r>
          </w:p>
        </w:tc>
        <w:tc>
          <w:tcPr>
            <w:tcW w:w="0" w:type="auto"/>
            <w:shd w:val="clear" w:color="auto" w:fill="FFFFFF"/>
            <w:tcMar>
              <w:top w:w="40" w:type="dxa"/>
              <w:left w:w="0" w:type="dxa"/>
              <w:bottom w:w="40" w:type="dxa"/>
              <w:right w:w="20" w:type="dxa"/>
            </w:tcMar>
            <w:vAlign w:val="bottom"/>
          </w:tcPr>
          <w:p w14:paraId="5902A2A7" w14:textId="77777777" w:rsidR="0084406A" w:rsidRDefault="0084406A">
            <w:pPr>
              <w:jc w:val="right"/>
              <w:rPr>
                <w:rFonts w:ascii="宋体"/>
              </w:rPr>
            </w:pPr>
          </w:p>
        </w:tc>
      </w:tr>
      <w:tr w:rsidR="0084406A" w14:paraId="5902A2B5" w14:textId="77777777">
        <w:trPr>
          <w:jc w:val="center"/>
        </w:trPr>
        <w:tc>
          <w:tcPr>
            <w:tcW w:w="0" w:type="auto"/>
            <w:gridSpan w:val="3"/>
            <w:shd w:val="clear" w:color="auto" w:fill="CCEEFF"/>
            <w:tcMar>
              <w:top w:w="40" w:type="dxa"/>
              <w:left w:w="260" w:type="dxa"/>
              <w:bottom w:w="40" w:type="dxa"/>
              <w:right w:w="20" w:type="dxa"/>
            </w:tcMar>
            <w:vAlign w:val="bottom"/>
          </w:tcPr>
          <w:p w14:paraId="5902A2A9" w14:textId="77777777" w:rsidR="0084406A" w:rsidRDefault="002B18AF">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902A2A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AB" w14:textId="77777777" w:rsidR="0084406A" w:rsidRDefault="002B18AF">
            <w:pPr>
              <w:jc w:val="right"/>
              <w:textAlignment w:val="bottom"/>
            </w:pPr>
            <w:r>
              <w:rPr>
                <w:rFonts w:ascii="Arial" w:eastAsia="宋体" w:hAnsi="Arial" w:cs="Arial"/>
                <w:color w:val="000000"/>
                <w:sz w:val="20"/>
                <w:szCs w:val="20"/>
              </w:rPr>
              <w:t>(1,451)</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A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AD"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A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AF" w14:textId="77777777" w:rsidR="0084406A" w:rsidRDefault="002B18AF">
            <w:pPr>
              <w:jc w:val="right"/>
              <w:textAlignment w:val="bottom"/>
            </w:pPr>
            <w:r>
              <w:rPr>
                <w:rFonts w:ascii="Arial" w:eastAsia="宋体" w:hAnsi="Arial" w:cs="Arial"/>
                <w:color w:val="000000"/>
                <w:sz w:val="20"/>
                <w:szCs w:val="20"/>
              </w:rPr>
              <w:t>(4,605)</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B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B1"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2B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2B3" w14:textId="77777777" w:rsidR="0084406A" w:rsidRDefault="002B18AF">
            <w:pPr>
              <w:jc w:val="right"/>
              <w:textAlignment w:val="bottom"/>
            </w:pPr>
            <w:r>
              <w:rPr>
                <w:rFonts w:ascii="Arial" w:eastAsia="宋体" w:hAnsi="Arial" w:cs="Arial"/>
                <w:color w:val="000000"/>
                <w:sz w:val="20"/>
                <w:szCs w:val="20"/>
              </w:rPr>
              <w:t>(7,095)</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2B4" w14:textId="77777777" w:rsidR="0084406A" w:rsidRDefault="0084406A">
            <w:pPr>
              <w:jc w:val="right"/>
              <w:rPr>
                <w:rFonts w:ascii="宋体"/>
              </w:rPr>
            </w:pPr>
          </w:p>
        </w:tc>
      </w:tr>
      <w:tr w:rsidR="0084406A" w14:paraId="5902A2BC" w14:textId="77777777">
        <w:trPr>
          <w:trHeight w:val="280"/>
          <w:jc w:val="center"/>
        </w:trPr>
        <w:tc>
          <w:tcPr>
            <w:tcW w:w="0" w:type="auto"/>
            <w:gridSpan w:val="3"/>
            <w:shd w:val="clear" w:color="auto" w:fill="FFFFFF"/>
            <w:tcMar>
              <w:top w:w="0" w:type="dxa"/>
              <w:left w:w="20" w:type="dxa"/>
              <w:bottom w:w="0" w:type="dxa"/>
              <w:right w:w="20" w:type="dxa"/>
            </w:tcMar>
            <w:vAlign w:val="bottom"/>
          </w:tcPr>
          <w:p w14:paraId="5902A2B6"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B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B8"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B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2BA"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2BB" w14:textId="77777777" w:rsidR="0084406A" w:rsidRDefault="0084406A">
            <w:pPr>
              <w:rPr>
                <w:rFonts w:ascii="宋体"/>
              </w:rPr>
            </w:pPr>
          </w:p>
        </w:tc>
      </w:tr>
      <w:tr w:rsidR="0084406A" w14:paraId="5902A2C3" w14:textId="77777777">
        <w:trPr>
          <w:jc w:val="center"/>
        </w:trPr>
        <w:tc>
          <w:tcPr>
            <w:tcW w:w="0" w:type="auto"/>
            <w:gridSpan w:val="3"/>
            <w:shd w:val="clear" w:color="auto" w:fill="CCEEFF"/>
            <w:tcMar>
              <w:top w:w="40" w:type="dxa"/>
              <w:left w:w="20" w:type="dxa"/>
              <w:bottom w:w="40" w:type="dxa"/>
              <w:right w:w="20" w:type="dxa"/>
            </w:tcMar>
            <w:vAlign w:val="bottom"/>
          </w:tcPr>
          <w:p w14:paraId="5902A2BD" w14:textId="77777777" w:rsidR="0084406A" w:rsidRDefault="002B18AF">
            <w:pPr>
              <w:textAlignment w:val="bottom"/>
            </w:pPr>
            <w:r>
              <w:rPr>
                <w:rFonts w:ascii="Arial" w:eastAsia="宋体" w:hAnsi="Arial" w:cs="Arial"/>
                <w:b/>
                <w:bCs/>
                <w:color w:val="000000"/>
                <w:sz w:val="20"/>
                <w:szCs w:val="20"/>
              </w:rPr>
              <w:t>Accumulated other comprehensive income (loss)</w:t>
            </w:r>
          </w:p>
        </w:tc>
        <w:tc>
          <w:tcPr>
            <w:tcW w:w="0" w:type="auto"/>
            <w:gridSpan w:val="3"/>
            <w:shd w:val="clear" w:color="auto" w:fill="CCEEFF"/>
            <w:tcMar>
              <w:top w:w="0" w:type="dxa"/>
              <w:left w:w="20" w:type="dxa"/>
              <w:bottom w:w="0" w:type="dxa"/>
              <w:right w:w="20" w:type="dxa"/>
            </w:tcMar>
            <w:vAlign w:val="bottom"/>
          </w:tcPr>
          <w:p w14:paraId="5902A2B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B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C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C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C2" w14:textId="77777777" w:rsidR="0084406A" w:rsidRDefault="0084406A">
            <w:pPr>
              <w:rPr>
                <w:rFonts w:ascii="宋体"/>
              </w:rPr>
            </w:pPr>
          </w:p>
        </w:tc>
      </w:tr>
      <w:tr w:rsidR="0084406A" w14:paraId="5902A2D0" w14:textId="77777777">
        <w:trPr>
          <w:jc w:val="center"/>
        </w:trPr>
        <w:tc>
          <w:tcPr>
            <w:tcW w:w="0" w:type="auto"/>
            <w:gridSpan w:val="3"/>
            <w:shd w:val="clear" w:color="auto" w:fill="FFFFFF"/>
            <w:tcMar>
              <w:top w:w="40" w:type="dxa"/>
              <w:left w:w="260" w:type="dxa"/>
              <w:bottom w:w="40" w:type="dxa"/>
              <w:right w:w="20" w:type="dxa"/>
            </w:tcMar>
            <w:vAlign w:val="bottom"/>
          </w:tcPr>
          <w:p w14:paraId="5902A2C4" w14:textId="77777777" w:rsidR="0084406A" w:rsidRDefault="002B18AF">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5902A2C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C6"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5902A2C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C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2C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C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2C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C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2C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2CE" w14:textId="77777777" w:rsidR="0084406A" w:rsidRDefault="002B18AF">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5902A2CF" w14:textId="77777777" w:rsidR="0084406A" w:rsidRDefault="0084406A">
            <w:pPr>
              <w:jc w:val="right"/>
              <w:rPr>
                <w:rFonts w:ascii="宋体"/>
              </w:rPr>
            </w:pPr>
          </w:p>
        </w:tc>
      </w:tr>
      <w:tr w:rsidR="0084406A" w14:paraId="5902A2DA" w14:textId="77777777">
        <w:trPr>
          <w:jc w:val="center"/>
        </w:trPr>
        <w:tc>
          <w:tcPr>
            <w:tcW w:w="0" w:type="auto"/>
            <w:gridSpan w:val="3"/>
            <w:shd w:val="clear" w:color="auto" w:fill="CCEEFF"/>
            <w:tcMar>
              <w:top w:w="40" w:type="dxa"/>
              <w:left w:w="260" w:type="dxa"/>
              <w:bottom w:w="40" w:type="dxa"/>
              <w:right w:w="20" w:type="dxa"/>
            </w:tcMar>
            <w:vAlign w:val="bottom"/>
          </w:tcPr>
          <w:p w14:paraId="5902A2D1" w14:textId="77777777" w:rsidR="0084406A" w:rsidRDefault="002B18AF">
            <w:pPr>
              <w:textAlignment w:val="bottom"/>
            </w:pPr>
            <w:r>
              <w:rPr>
                <w:rFonts w:ascii="Arial" w:eastAsia="宋体" w:hAnsi="Arial" w:cs="Arial"/>
                <w:color w:val="000000"/>
                <w:sz w:val="20"/>
                <w:szCs w:val="20"/>
              </w:rPr>
              <w:t>Other comprehensive income (loss)</w:t>
            </w:r>
          </w:p>
        </w:tc>
        <w:tc>
          <w:tcPr>
            <w:tcW w:w="0" w:type="auto"/>
            <w:gridSpan w:val="2"/>
            <w:shd w:val="clear" w:color="auto" w:fill="CCEEFF"/>
            <w:tcMar>
              <w:top w:w="40" w:type="dxa"/>
              <w:left w:w="20" w:type="dxa"/>
              <w:bottom w:w="40" w:type="dxa"/>
              <w:right w:w="0" w:type="dxa"/>
            </w:tcMar>
            <w:vAlign w:val="bottom"/>
          </w:tcPr>
          <w:p w14:paraId="5902A2D2" w14:textId="77777777" w:rsidR="0084406A" w:rsidRDefault="002B18AF">
            <w:pPr>
              <w:jc w:val="right"/>
              <w:textAlignment w:val="bottom"/>
            </w:pPr>
            <w:r>
              <w:rPr>
                <w:rFonts w:ascii="Arial" w:eastAsia="宋体" w:hAnsi="Arial" w:cs="Arial"/>
                <w:color w:val="000000"/>
                <w:sz w:val="20"/>
                <w:szCs w:val="20"/>
              </w:rPr>
              <w:t>(20)</w:t>
            </w:r>
          </w:p>
        </w:tc>
        <w:tc>
          <w:tcPr>
            <w:tcW w:w="0" w:type="auto"/>
            <w:shd w:val="clear" w:color="auto" w:fill="CCEEFF"/>
            <w:tcMar>
              <w:top w:w="40" w:type="dxa"/>
              <w:left w:w="0" w:type="dxa"/>
              <w:bottom w:w="40" w:type="dxa"/>
              <w:right w:w="20" w:type="dxa"/>
            </w:tcMar>
            <w:vAlign w:val="bottom"/>
          </w:tcPr>
          <w:p w14:paraId="5902A2D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D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D5"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5902A2D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2D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2D8"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5902A2D9" w14:textId="77777777" w:rsidR="0084406A" w:rsidRDefault="0084406A">
            <w:pPr>
              <w:jc w:val="right"/>
              <w:rPr>
                <w:rFonts w:ascii="宋体"/>
              </w:rPr>
            </w:pPr>
          </w:p>
        </w:tc>
      </w:tr>
      <w:tr w:rsidR="0084406A" w14:paraId="5902A2E7" w14:textId="77777777">
        <w:trPr>
          <w:jc w:val="center"/>
        </w:trPr>
        <w:tc>
          <w:tcPr>
            <w:tcW w:w="0" w:type="auto"/>
            <w:gridSpan w:val="3"/>
            <w:shd w:val="clear" w:color="auto" w:fill="FFFFFF"/>
            <w:tcMar>
              <w:top w:w="40" w:type="dxa"/>
              <w:left w:w="260" w:type="dxa"/>
              <w:bottom w:w="40" w:type="dxa"/>
              <w:right w:w="20" w:type="dxa"/>
            </w:tcMar>
            <w:vAlign w:val="bottom"/>
          </w:tcPr>
          <w:p w14:paraId="5902A2DB" w14:textId="77777777" w:rsidR="0084406A" w:rsidRDefault="002B18AF">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A2D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2DD" w14:textId="77777777" w:rsidR="0084406A" w:rsidRDefault="002B18AF">
            <w:pPr>
              <w:jc w:val="right"/>
              <w:textAlignment w:val="bottom"/>
            </w:pPr>
            <w:r>
              <w:rPr>
                <w:rFonts w:ascii="Arial" w:eastAsia="宋体" w:hAnsi="Arial" w:cs="Arial"/>
                <w:color w:val="000000"/>
                <w:sz w:val="20"/>
                <w:szCs w:val="20"/>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2D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DF"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A2E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2E1" w14:textId="77777777" w:rsidR="0084406A" w:rsidRDefault="002B18AF">
            <w:pPr>
              <w:jc w:val="right"/>
              <w:textAlignment w:val="bottom"/>
            </w:pPr>
            <w:r>
              <w:rPr>
                <w:rFonts w:ascii="Arial" w:eastAsia="宋体" w:hAnsi="Arial" w:cs="Arial"/>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2E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E3"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A2E4"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A2E5" w14:textId="77777777" w:rsidR="0084406A" w:rsidRDefault="002B18AF">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2E6" w14:textId="77777777" w:rsidR="0084406A" w:rsidRDefault="0084406A">
            <w:pPr>
              <w:jc w:val="right"/>
              <w:rPr>
                <w:rFonts w:ascii="宋体"/>
              </w:rPr>
            </w:pPr>
          </w:p>
        </w:tc>
      </w:tr>
      <w:tr w:rsidR="0084406A" w14:paraId="5902A2EE" w14:textId="77777777">
        <w:trPr>
          <w:trHeight w:val="280"/>
          <w:jc w:val="center"/>
        </w:trPr>
        <w:tc>
          <w:tcPr>
            <w:tcW w:w="0" w:type="auto"/>
            <w:gridSpan w:val="3"/>
            <w:shd w:val="clear" w:color="auto" w:fill="CCEEFF"/>
            <w:tcMar>
              <w:top w:w="0" w:type="dxa"/>
              <w:left w:w="20" w:type="dxa"/>
              <w:bottom w:w="0" w:type="dxa"/>
              <w:right w:w="20" w:type="dxa"/>
            </w:tcMar>
            <w:vAlign w:val="bottom"/>
          </w:tcPr>
          <w:p w14:paraId="5902A2E8"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2E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EA"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2E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2EC"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2ED" w14:textId="77777777" w:rsidR="0084406A" w:rsidRDefault="0084406A">
            <w:pPr>
              <w:rPr>
                <w:rFonts w:ascii="宋体"/>
              </w:rPr>
            </w:pPr>
          </w:p>
        </w:tc>
      </w:tr>
      <w:tr w:rsidR="0084406A" w14:paraId="5902A2FB" w14:textId="77777777">
        <w:trPr>
          <w:jc w:val="center"/>
        </w:trPr>
        <w:tc>
          <w:tcPr>
            <w:tcW w:w="0" w:type="auto"/>
            <w:gridSpan w:val="3"/>
            <w:shd w:val="clear" w:color="auto" w:fill="FFFFFF"/>
            <w:tcMar>
              <w:top w:w="40" w:type="dxa"/>
              <w:left w:w="20" w:type="dxa"/>
              <w:bottom w:w="40" w:type="dxa"/>
              <w:right w:w="20" w:type="dxa"/>
            </w:tcMar>
            <w:vAlign w:val="bottom"/>
          </w:tcPr>
          <w:p w14:paraId="5902A2EF" w14:textId="77777777" w:rsidR="0084406A" w:rsidRDefault="002B18AF">
            <w:pPr>
              <w:textAlignment w:val="bottom"/>
            </w:pPr>
            <w:r>
              <w:rPr>
                <w:rFonts w:ascii="Arial" w:eastAsia="宋体" w:hAnsi="Arial" w:cs="Arial"/>
                <w:b/>
                <w:bCs/>
                <w:color w:val="000000"/>
                <w:sz w:val="20"/>
                <w:szCs w:val="20"/>
              </w:rPr>
              <w:t>Total stockholders' equity</w:t>
            </w:r>
          </w:p>
        </w:tc>
        <w:tc>
          <w:tcPr>
            <w:tcW w:w="0" w:type="auto"/>
            <w:tcBorders>
              <w:bottom w:val="double" w:sz="6" w:space="0" w:color="000000"/>
            </w:tcBorders>
            <w:shd w:val="clear" w:color="auto" w:fill="FFFFFF"/>
            <w:tcMar>
              <w:top w:w="40" w:type="dxa"/>
              <w:left w:w="20" w:type="dxa"/>
              <w:bottom w:w="40" w:type="dxa"/>
              <w:right w:w="0" w:type="dxa"/>
            </w:tcMar>
            <w:vAlign w:val="bottom"/>
          </w:tcPr>
          <w:p w14:paraId="5902A2F0" w14:textId="77777777" w:rsidR="0084406A" w:rsidRDefault="002B18AF">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5902A2F1" w14:textId="77777777" w:rsidR="0084406A" w:rsidRDefault="002B18AF">
            <w:pPr>
              <w:jc w:val="right"/>
              <w:textAlignment w:val="bottom"/>
            </w:pPr>
            <w:r>
              <w:rPr>
                <w:rFonts w:ascii="Arial" w:eastAsia="宋体" w:hAnsi="Arial" w:cs="Arial"/>
                <w:color w:val="000000"/>
                <w:sz w:val="20"/>
                <w:szCs w:val="20"/>
              </w:rPr>
              <w:t>7,497 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902A2F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F3" w14:textId="77777777" w:rsidR="0084406A" w:rsidRDefault="0084406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5902A2F4" w14:textId="77777777" w:rsidR="0084406A" w:rsidRDefault="002B18AF">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5902A2F5" w14:textId="77777777" w:rsidR="0084406A" w:rsidRDefault="002B18AF">
            <w:pPr>
              <w:jc w:val="right"/>
              <w:textAlignment w:val="bottom"/>
            </w:pPr>
            <w:r>
              <w:rPr>
                <w:rFonts w:ascii="Arial" w:eastAsia="宋体" w:hAnsi="Arial" w:cs="Arial"/>
                <w:color w:val="000000"/>
                <w:sz w:val="20"/>
                <w:szCs w:val="20"/>
              </w:rPr>
              <w:t>5,837 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902A2F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2F7" w14:textId="77777777" w:rsidR="0084406A" w:rsidRDefault="0084406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5902A2F8" w14:textId="77777777" w:rsidR="0084406A" w:rsidRDefault="002B18AF">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5902A2F9" w14:textId="77777777" w:rsidR="0084406A" w:rsidRDefault="002B18AF">
            <w:pPr>
              <w:jc w:val="right"/>
              <w:textAlignment w:val="bottom"/>
            </w:pPr>
            <w:r>
              <w:rPr>
                <w:rFonts w:ascii="Arial" w:eastAsia="宋体" w:hAnsi="Arial" w:cs="Arial"/>
                <w:color w:val="000000"/>
                <w:sz w:val="20"/>
                <w:szCs w:val="20"/>
              </w:rPr>
              <w:t>2,827 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902A2FA" w14:textId="77777777" w:rsidR="0084406A" w:rsidRDefault="0084406A">
            <w:pPr>
              <w:jc w:val="right"/>
              <w:rPr>
                <w:rFonts w:ascii="宋体"/>
              </w:rPr>
            </w:pPr>
          </w:p>
        </w:tc>
      </w:tr>
    </w:tbl>
    <w:p w14:paraId="5902A2FC" w14:textId="77777777" w:rsidR="0084406A" w:rsidRDefault="002B18AF">
      <w:pPr>
        <w:spacing w:before="260"/>
        <w:jc w:val="center"/>
      </w:pPr>
      <w:r>
        <w:rPr>
          <w:rFonts w:ascii="Arial" w:eastAsia="宋体" w:hAnsi="Arial" w:cs="Arial"/>
          <w:color w:val="000000"/>
          <w:sz w:val="20"/>
          <w:szCs w:val="20"/>
        </w:rPr>
        <w:t>See accompanying notes to consolidated financial statements.</w:t>
      </w:r>
    </w:p>
    <w:p w14:paraId="5902A2FD" w14:textId="77777777" w:rsidR="0084406A" w:rsidRDefault="002B18AF">
      <w:pPr>
        <w:jc w:val="center"/>
      </w:pPr>
      <w:r>
        <w:rPr>
          <w:rFonts w:ascii="Arial" w:eastAsia="宋体" w:hAnsi="Arial" w:cs="Arial"/>
          <w:color w:val="000000"/>
          <w:sz w:val="20"/>
          <w:szCs w:val="20"/>
        </w:rPr>
        <w:t>51</w:t>
      </w:r>
    </w:p>
    <w:p w14:paraId="5902A2FE" w14:textId="77777777" w:rsidR="0084406A" w:rsidRDefault="002B18AF">
      <w:r>
        <w:pict w14:anchorId="5902BB29">
          <v:rect id="_x0000_i1078" style="width:415.3pt;height:1.5pt" o:hralign="center" o:hrstd="t" o:hr="t" fillcolor="#a0a0a0" stroked="f"/>
        </w:pict>
      </w:r>
    </w:p>
    <w:p w14:paraId="5902A2FF" w14:textId="77777777" w:rsidR="0084406A" w:rsidRDefault="0084406A"/>
    <w:p w14:paraId="5902A300" w14:textId="77777777" w:rsidR="0084406A" w:rsidRDefault="002B18AF">
      <w:pPr>
        <w:spacing w:before="180"/>
        <w:jc w:val="center"/>
      </w:pPr>
      <w:r>
        <w:rPr>
          <w:rFonts w:ascii="Arial" w:eastAsia="宋体" w:hAnsi="Arial" w:cs="Arial"/>
          <w:b/>
          <w:bCs/>
          <w:color w:val="000000"/>
          <w:sz w:val="20"/>
          <w:szCs w:val="20"/>
        </w:rPr>
        <w:t>Advanced Micro Devices, Inc.</w:t>
      </w:r>
    </w:p>
    <w:p w14:paraId="5902A301" w14:textId="77777777" w:rsidR="0084406A" w:rsidRDefault="002B18AF">
      <w:pPr>
        <w:spacing w:before="180"/>
        <w:jc w:val="center"/>
      </w:pPr>
      <w:r>
        <w:rPr>
          <w:rFonts w:ascii="Arial" w:eastAsia="宋体" w:hAnsi="Arial" w:cs="Arial"/>
          <w:b/>
          <w:bCs/>
          <w:color w:val="000000"/>
          <w:sz w:val="20"/>
          <w:szCs w:val="20"/>
        </w:rPr>
        <w:t>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34"/>
        <w:gridCol w:w="40"/>
        <w:gridCol w:w="122"/>
        <w:gridCol w:w="871"/>
        <w:gridCol w:w="36"/>
        <w:gridCol w:w="36"/>
        <w:gridCol w:w="36"/>
        <w:gridCol w:w="36"/>
        <w:gridCol w:w="122"/>
        <w:gridCol w:w="830"/>
        <w:gridCol w:w="36"/>
        <w:gridCol w:w="36"/>
        <w:gridCol w:w="36"/>
        <w:gridCol w:w="36"/>
        <w:gridCol w:w="122"/>
        <w:gridCol w:w="830"/>
        <w:gridCol w:w="36"/>
      </w:tblGrid>
      <w:tr w:rsidR="0084406A" w14:paraId="5902A314" w14:textId="77777777">
        <w:trPr>
          <w:jc w:val="center"/>
        </w:trPr>
        <w:tc>
          <w:tcPr>
            <w:tcW w:w="50" w:type="pct"/>
            <w:shd w:val="clear" w:color="auto" w:fill="auto"/>
            <w:vAlign w:val="bottom"/>
          </w:tcPr>
          <w:p w14:paraId="5902A302" w14:textId="77777777" w:rsidR="0084406A" w:rsidRDefault="0084406A">
            <w:pPr>
              <w:rPr>
                <w:rFonts w:ascii="宋体"/>
              </w:rPr>
            </w:pPr>
          </w:p>
        </w:tc>
        <w:tc>
          <w:tcPr>
            <w:tcW w:w="3051" w:type="pct"/>
            <w:shd w:val="clear" w:color="auto" w:fill="auto"/>
            <w:vAlign w:val="bottom"/>
          </w:tcPr>
          <w:p w14:paraId="5902A303" w14:textId="77777777" w:rsidR="0084406A" w:rsidRDefault="0084406A">
            <w:pPr>
              <w:rPr>
                <w:rFonts w:ascii="宋体"/>
              </w:rPr>
            </w:pPr>
          </w:p>
        </w:tc>
        <w:tc>
          <w:tcPr>
            <w:tcW w:w="5" w:type="pct"/>
            <w:shd w:val="clear" w:color="auto" w:fill="auto"/>
            <w:vAlign w:val="bottom"/>
          </w:tcPr>
          <w:p w14:paraId="5902A304" w14:textId="77777777" w:rsidR="0084406A" w:rsidRDefault="0084406A">
            <w:pPr>
              <w:rPr>
                <w:rFonts w:ascii="宋体"/>
              </w:rPr>
            </w:pPr>
          </w:p>
        </w:tc>
        <w:tc>
          <w:tcPr>
            <w:tcW w:w="50" w:type="pct"/>
            <w:shd w:val="clear" w:color="auto" w:fill="auto"/>
            <w:vAlign w:val="bottom"/>
          </w:tcPr>
          <w:p w14:paraId="5902A305" w14:textId="77777777" w:rsidR="0084406A" w:rsidRDefault="0084406A">
            <w:pPr>
              <w:rPr>
                <w:rFonts w:ascii="宋体"/>
              </w:rPr>
            </w:pPr>
          </w:p>
        </w:tc>
        <w:tc>
          <w:tcPr>
            <w:tcW w:w="551" w:type="pct"/>
            <w:shd w:val="clear" w:color="auto" w:fill="auto"/>
            <w:vAlign w:val="bottom"/>
          </w:tcPr>
          <w:p w14:paraId="5902A306" w14:textId="77777777" w:rsidR="0084406A" w:rsidRDefault="0084406A">
            <w:pPr>
              <w:rPr>
                <w:rFonts w:ascii="宋体"/>
              </w:rPr>
            </w:pPr>
          </w:p>
        </w:tc>
        <w:tc>
          <w:tcPr>
            <w:tcW w:w="5" w:type="pct"/>
            <w:shd w:val="clear" w:color="auto" w:fill="auto"/>
            <w:vAlign w:val="bottom"/>
          </w:tcPr>
          <w:p w14:paraId="5902A307" w14:textId="77777777" w:rsidR="0084406A" w:rsidRDefault="0084406A">
            <w:pPr>
              <w:rPr>
                <w:rFonts w:ascii="宋体"/>
              </w:rPr>
            </w:pPr>
          </w:p>
        </w:tc>
        <w:tc>
          <w:tcPr>
            <w:tcW w:w="5" w:type="pct"/>
            <w:shd w:val="clear" w:color="auto" w:fill="auto"/>
            <w:vAlign w:val="bottom"/>
          </w:tcPr>
          <w:p w14:paraId="5902A308" w14:textId="77777777" w:rsidR="0084406A" w:rsidRDefault="0084406A">
            <w:pPr>
              <w:rPr>
                <w:rFonts w:ascii="宋体"/>
              </w:rPr>
            </w:pPr>
          </w:p>
        </w:tc>
        <w:tc>
          <w:tcPr>
            <w:tcW w:w="26" w:type="pct"/>
            <w:shd w:val="clear" w:color="auto" w:fill="auto"/>
            <w:vAlign w:val="bottom"/>
          </w:tcPr>
          <w:p w14:paraId="5902A309" w14:textId="77777777" w:rsidR="0084406A" w:rsidRDefault="0084406A">
            <w:pPr>
              <w:rPr>
                <w:rFonts w:ascii="宋体"/>
              </w:rPr>
            </w:pPr>
          </w:p>
        </w:tc>
        <w:tc>
          <w:tcPr>
            <w:tcW w:w="5" w:type="pct"/>
            <w:shd w:val="clear" w:color="auto" w:fill="auto"/>
            <w:vAlign w:val="bottom"/>
          </w:tcPr>
          <w:p w14:paraId="5902A30A" w14:textId="77777777" w:rsidR="0084406A" w:rsidRDefault="0084406A">
            <w:pPr>
              <w:rPr>
                <w:rFonts w:ascii="宋体"/>
              </w:rPr>
            </w:pPr>
          </w:p>
        </w:tc>
        <w:tc>
          <w:tcPr>
            <w:tcW w:w="50" w:type="pct"/>
            <w:shd w:val="clear" w:color="auto" w:fill="auto"/>
            <w:vAlign w:val="bottom"/>
          </w:tcPr>
          <w:p w14:paraId="5902A30B" w14:textId="77777777" w:rsidR="0084406A" w:rsidRDefault="0084406A">
            <w:pPr>
              <w:rPr>
                <w:rFonts w:ascii="宋体"/>
              </w:rPr>
            </w:pPr>
          </w:p>
        </w:tc>
        <w:tc>
          <w:tcPr>
            <w:tcW w:w="551" w:type="pct"/>
            <w:shd w:val="clear" w:color="auto" w:fill="auto"/>
            <w:vAlign w:val="bottom"/>
          </w:tcPr>
          <w:p w14:paraId="5902A30C" w14:textId="77777777" w:rsidR="0084406A" w:rsidRDefault="0084406A">
            <w:pPr>
              <w:rPr>
                <w:rFonts w:ascii="宋体"/>
              </w:rPr>
            </w:pPr>
          </w:p>
        </w:tc>
        <w:tc>
          <w:tcPr>
            <w:tcW w:w="5" w:type="pct"/>
            <w:shd w:val="clear" w:color="auto" w:fill="auto"/>
            <w:vAlign w:val="bottom"/>
          </w:tcPr>
          <w:p w14:paraId="5902A30D" w14:textId="77777777" w:rsidR="0084406A" w:rsidRDefault="0084406A">
            <w:pPr>
              <w:rPr>
                <w:rFonts w:ascii="宋体"/>
              </w:rPr>
            </w:pPr>
          </w:p>
        </w:tc>
        <w:tc>
          <w:tcPr>
            <w:tcW w:w="5" w:type="pct"/>
            <w:shd w:val="clear" w:color="auto" w:fill="auto"/>
            <w:vAlign w:val="bottom"/>
          </w:tcPr>
          <w:p w14:paraId="5902A30E" w14:textId="77777777" w:rsidR="0084406A" w:rsidRDefault="0084406A">
            <w:pPr>
              <w:rPr>
                <w:rFonts w:ascii="宋体"/>
              </w:rPr>
            </w:pPr>
          </w:p>
        </w:tc>
        <w:tc>
          <w:tcPr>
            <w:tcW w:w="26" w:type="pct"/>
            <w:shd w:val="clear" w:color="auto" w:fill="auto"/>
            <w:vAlign w:val="bottom"/>
          </w:tcPr>
          <w:p w14:paraId="5902A30F" w14:textId="77777777" w:rsidR="0084406A" w:rsidRDefault="0084406A">
            <w:pPr>
              <w:rPr>
                <w:rFonts w:ascii="宋体"/>
              </w:rPr>
            </w:pPr>
          </w:p>
        </w:tc>
        <w:tc>
          <w:tcPr>
            <w:tcW w:w="5" w:type="pct"/>
            <w:shd w:val="clear" w:color="auto" w:fill="auto"/>
            <w:vAlign w:val="bottom"/>
          </w:tcPr>
          <w:p w14:paraId="5902A310" w14:textId="77777777" w:rsidR="0084406A" w:rsidRDefault="0084406A">
            <w:pPr>
              <w:rPr>
                <w:rFonts w:ascii="宋体"/>
              </w:rPr>
            </w:pPr>
          </w:p>
        </w:tc>
        <w:tc>
          <w:tcPr>
            <w:tcW w:w="50" w:type="pct"/>
            <w:shd w:val="clear" w:color="auto" w:fill="auto"/>
            <w:vAlign w:val="bottom"/>
          </w:tcPr>
          <w:p w14:paraId="5902A311" w14:textId="77777777" w:rsidR="0084406A" w:rsidRDefault="0084406A">
            <w:pPr>
              <w:rPr>
                <w:rFonts w:ascii="宋体"/>
              </w:rPr>
            </w:pPr>
          </w:p>
        </w:tc>
        <w:tc>
          <w:tcPr>
            <w:tcW w:w="551" w:type="pct"/>
            <w:shd w:val="clear" w:color="auto" w:fill="auto"/>
            <w:vAlign w:val="bottom"/>
          </w:tcPr>
          <w:p w14:paraId="5902A312" w14:textId="77777777" w:rsidR="0084406A" w:rsidRDefault="0084406A">
            <w:pPr>
              <w:rPr>
                <w:rFonts w:ascii="宋体"/>
              </w:rPr>
            </w:pPr>
          </w:p>
        </w:tc>
        <w:tc>
          <w:tcPr>
            <w:tcW w:w="5" w:type="pct"/>
            <w:shd w:val="clear" w:color="auto" w:fill="auto"/>
            <w:vAlign w:val="bottom"/>
          </w:tcPr>
          <w:p w14:paraId="5902A313" w14:textId="77777777" w:rsidR="0084406A" w:rsidRDefault="0084406A">
            <w:pPr>
              <w:rPr>
                <w:rFonts w:ascii="宋体"/>
              </w:rPr>
            </w:pPr>
          </w:p>
        </w:tc>
      </w:tr>
      <w:tr w:rsidR="0084406A" w14:paraId="5902A317" w14:textId="77777777">
        <w:trPr>
          <w:jc w:val="center"/>
        </w:trPr>
        <w:tc>
          <w:tcPr>
            <w:tcW w:w="0" w:type="auto"/>
            <w:gridSpan w:val="3"/>
            <w:shd w:val="clear" w:color="auto" w:fill="auto"/>
            <w:tcMar>
              <w:top w:w="0" w:type="dxa"/>
              <w:left w:w="20" w:type="dxa"/>
              <w:bottom w:w="0" w:type="dxa"/>
              <w:right w:w="20" w:type="dxa"/>
            </w:tcMar>
            <w:vAlign w:val="bottom"/>
          </w:tcPr>
          <w:p w14:paraId="5902A315"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316"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A31E" w14:textId="77777777">
        <w:trPr>
          <w:jc w:val="center"/>
        </w:trPr>
        <w:tc>
          <w:tcPr>
            <w:tcW w:w="0" w:type="auto"/>
            <w:gridSpan w:val="3"/>
            <w:shd w:val="clear" w:color="auto" w:fill="auto"/>
            <w:tcMar>
              <w:top w:w="0" w:type="dxa"/>
              <w:left w:w="20" w:type="dxa"/>
              <w:bottom w:w="0" w:type="dxa"/>
              <w:right w:w="20" w:type="dxa"/>
            </w:tcMar>
            <w:vAlign w:val="bottom"/>
          </w:tcPr>
          <w:p w14:paraId="5902A318"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319"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31A"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31B"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31C"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31D"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r>
            <w:r>
              <w:rPr>
                <w:rFonts w:ascii="Arial" w:eastAsia="宋体" w:hAnsi="Arial" w:cs="Arial"/>
                <w:b/>
                <w:bCs/>
                <w:color w:val="000000"/>
                <w:sz w:val="16"/>
                <w:szCs w:val="16"/>
              </w:rPr>
              <w:t>2019</w:t>
            </w:r>
          </w:p>
        </w:tc>
      </w:tr>
      <w:tr w:rsidR="0084406A" w14:paraId="5902A321" w14:textId="77777777">
        <w:trPr>
          <w:jc w:val="center"/>
        </w:trPr>
        <w:tc>
          <w:tcPr>
            <w:tcW w:w="0" w:type="auto"/>
            <w:gridSpan w:val="3"/>
            <w:shd w:val="clear" w:color="auto" w:fill="auto"/>
            <w:tcMar>
              <w:top w:w="0" w:type="dxa"/>
              <w:left w:w="20" w:type="dxa"/>
              <w:bottom w:w="0" w:type="dxa"/>
              <w:right w:w="20" w:type="dxa"/>
            </w:tcMar>
            <w:vAlign w:val="bottom"/>
          </w:tcPr>
          <w:p w14:paraId="5902A31F" w14:textId="77777777" w:rsidR="0084406A" w:rsidRDefault="0084406A">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320"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328" w14:textId="77777777">
        <w:trPr>
          <w:jc w:val="center"/>
        </w:trPr>
        <w:tc>
          <w:tcPr>
            <w:tcW w:w="0" w:type="auto"/>
            <w:gridSpan w:val="3"/>
            <w:shd w:val="clear" w:color="auto" w:fill="CCEEFF"/>
            <w:tcMar>
              <w:top w:w="40" w:type="dxa"/>
              <w:left w:w="20" w:type="dxa"/>
              <w:bottom w:w="40" w:type="dxa"/>
              <w:right w:w="20" w:type="dxa"/>
            </w:tcMar>
            <w:vAlign w:val="bottom"/>
          </w:tcPr>
          <w:p w14:paraId="5902A322" w14:textId="77777777" w:rsidR="0084406A" w:rsidRDefault="002B18AF">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vAlign w:val="bottom"/>
          </w:tcPr>
          <w:p w14:paraId="5902A32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2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2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2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27" w14:textId="77777777" w:rsidR="0084406A" w:rsidRDefault="0084406A">
            <w:pPr>
              <w:rPr>
                <w:rFonts w:ascii="宋体"/>
              </w:rPr>
            </w:pPr>
          </w:p>
        </w:tc>
      </w:tr>
      <w:tr w:rsidR="0084406A" w14:paraId="5902A335" w14:textId="77777777">
        <w:trPr>
          <w:jc w:val="center"/>
        </w:trPr>
        <w:tc>
          <w:tcPr>
            <w:tcW w:w="0" w:type="auto"/>
            <w:gridSpan w:val="3"/>
            <w:shd w:val="clear" w:color="auto" w:fill="FFFFFF"/>
            <w:tcMar>
              <w:top w:w="40" w:type="dxa"/>
              <w:left w:w="380" w:type="dxa"/>
              <w:bottom w:w="40" w:type="dxa"/>
              <w:right w:w="20" w:type="dxa"/>
            </w:tcMar>
            <w:vAlign w:val="bottom"/>
          </w:tcPr>
          <w:p w14:paraId="5902A329" w14:textId="77777777" w:rsidR="0084406A" w:rsidRDefault="002B18AF">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5902A32A"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32B" w14:textId="77777777" w:rsidR="0084406A" w:rsidRDefault="002B18AF">
            <w:pPr>
              <w:jc w:val="right"/>
              <w:textAlignment w:val="bottom"/>
            </w:pPr>
            <w:r>
              <w:rPr>
                <w:rFonts w:ascii="Arial" w:eastAsia="宋体" w:hAnsi="Arial" w:cs="Arial"/>
                <w:color w:val="000000"/>
                <w:sz w:val="18"/>
                <w:szCs w:val="18"/>
              </w:rPr>
              <w:t>3,162 </w:t>
            </w:r>
          </w:p>
        </w:tc>
        <w:tc>
          <w:tcPr>
            <w:tcW w:w="0" w:type="auto"/>
            <w:shd w:val="clear" w:color="auto" w:fill="FFFFFF"/>
            <w:tcMar>
              <w:top w:w="40" w:type="dxa"/>
              <w:left w:w="0" w:type="dxa"/>
              <w:bottom w:w="40" w:type="dxa"/>
              <w:right w:w="20" w:type="dxa"/>
            </w:tcMar>
            <w:vAlign w:val="bottom"/>
          </w:tcPr>
          <w:p w14:paraId="5902A32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2D"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32E"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32F" w14:textId="77777777" w:rsidR="0084406A" w:rsidRDefault="002B18AF">
            <w:pPr>
              <w:jc w:val="right"/>
              <w:textAlignment w:val="bottom"/>
            </w:pPr>
            <w:r>
              <w:rPr>
                <w:rFonts w:ascii="Arial" w:eastAsia="宋体" w:hAnsi="Arial" w:cs="Arial"/>
                <w:color w:val="000000"/>
                <w:sz w:val="18"/>
                <w:szCs w:val="18"/>
              </w:rPr>
              <w:t>2,490 </w:t>
            </w:r>
          </w:p>
        </w:tc>
        <w:tc>
          <w:tcPr>
            <w:tcW w:w="0" w:type="auto"/>
            <w:shd w:val="clear" w:color="auto" w:fill="FFFFFF"/>
            <w:tcMar>
              <w:top w:w="40" w:type="dxa"/>
              <w:left w:w="0" w:type="dxa"/>
              <w:bottom w:w="40" w:type="dxa"/>
              <w:right w:w="20" w:type="dxa"/>
            </w:tcMar>
            <w:vAlign w:val="bottom"/>
          </w:tcPr>
          <w:p w14:paraId="5902A33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31"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332"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333" w14:textId="77777777" w:rsidR="0084406A" w:rsidRDefault="002B18AF">
            <w:pPr>
              <w:jc w:val="right"/>
              <w:textAlignment w:val="bottom"/>
            </w:pPr>
            <w:r>
              <w:rPr>
                <w:rFonts w:ascii="Arial" w:eastAsia="宋体" w:hAnsi="Arial" w:cs="Arial"/>
                <w:color w:val="000000"/>
                <w:sz w:val="18"/>
                <w:szCs w:val="18"/>
              </w:rPr>
              <w:t>341 </w:t>
            </w:r>
          </w:p>
        </w:tc>
        <w:tc>
          <w:tcPr>
            <w:tcW w:w="0" w:type="auto"/>
            <w:shd w:val="clear" w:color="auto" w:fill="FFFFFF"/>
            <w:tcMar>
              <w:top w:w="40" w:type="dxa"/>
              <w:left w:w="0" w:type="dxa"/>
              <w:bottom w:w="40" w:type="dxa"/>
              <w:right w:w="20" w:type="dxa"/>
            </w:tcMar>
            <w:vAlign w:val="bottom"/>
          </w:tcPr>
          <w:p w14:paraId="5902A334" w14:textId="77777777" w:rsidR="0084406A" w:rsidRDefault="0084406A">
            <w:pPr>
              <w:jc w:val="right"/>
              <w:rPr>
                <w:rFonts w:ascii="宋体"/>
              </w:rPr>
            </w:pPr>
          </w:p>
        </w:tc>
      </w:tr>
      <w:tr w:rsidR="0084406A" w14:paraId="5902A33C" w14:textId="77777777">
        <w:trPr>
          <w:jc w:val="center"/>
        </w:trPr>
        <w:tc>
          <w:tcPr>
            <w:tcW w:w="0" w:type="auto"/>
            <w:gridSpan w:val="3"/>
            <w:shd w:val="clear" w:color="auto" w:fill="CCEEFF"/>
            <w:tcMar>
              <w:top w:w="40" w:type="dxa"/>
              <w:left w:w="380" w:type="dxa"/>
              <w:bottom w:w="40" w:type="dxa"/>
              <w:right w:w="20" w:type="dxa"/>
            </w:tcMar>
            <w:vAlign w:val="bottom"/>
          </w:tcPr>
          <w:p w14:paraId="5902A336" w14:textId="77777777" w:rsidR="0084406A" w:rsidRDefault="002B18AF">
            <w:pPr>
              <w:textAlignment w:val="bottom"/>
            </w:pPr>
            <w:r>
              <w:rPr>
                <w:rFonts w:ascii="Arial" w:eastAsia="宋体" w:hAnsi="Arial" w:cs="Arial"/>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5902A33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3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3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3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3B" w14:textId="77777777" w:rsidR="0084406A" w:rsidRDefault="0084406A">
            <w:pPr>
              <w:rPr>
                <w:rFonts w:ascii="宋体"/>
              </w:rPr>
            </w:pPr>
          </w:p>
        </w:tc>
      </w:tr>
      <w:tr w:rsidR="0084406A" w14:paraId="5902A346" w14:textId="77777777">
        <w:trPr>
          <w:jc w:val="center"/>
        </w:trPr>
        <w:tc>
          <w:tcPr>
            <w:tcW w:w="0" w:type="auto"/>
            <w:gridSpan w:val="3"/>
            <w:shd w:val="clear" w:color="auto" w:fill="FFFFFF"/>
            <w:tcMar>
              <w:top w:w="40" w:type="dxa"/>
              <w:left w:w="605" w:type="dxa"/>
              <w:bottom w:w="40" w:type="dxa"/>
              <w:right w:w="20" w:type="dxa"/>
            </w:tcMar>
            <w:vAlign w:val="bottom"/>
          </w:tcPr>
          <w:p w14:paraId="5902A33D" w14:textId="77777777" w:rsidR="0084406A" w:rsidRDefault="002B18AF">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5902A33E" w14:textId="77777777" w:rsidR="0084406A" w:rsidRDefault="002B18AF">
            <w:pPr>
              <w:jc w:val="right"/>
              <w:textAlignment w:val="bottom"/>
            </w:pPr>
            <w:r>
              <w:rPr>
                <w:rFonts w:ascii="Arial" w:eastAsia="宋体" w:hAnsi="Arial" w:cs="Arial"/>
                <w:color w:val="000000"/>
                <w:sz w:val="18"/>
                <w:szCs w:val="18"/>
              </w:rPr>
              <w:t>407 </w:t>
            </w:r>
          </w:p>
        </w:tc>
        <w:tc>
          <w:tcPr>
            <w:tcW w:w="0" w:type="auto"/>
            <w:shd w:val="clear" w:color="auto" w:fill="FFFFFF"/>
            <w:tcMar>
              <w:top w:w="40" w:type="dxa"/>
              <w:left w:w="0" w:type="dxa"/>
              <w:bottom w:w="40" w:type="dxa"/>
              <w:right w:w="20" w:type="dxa"/>
            </w:tcMar>
            <w:vAlign w:val="bottom"/>
          </w:tcPr>
          <w:p w14:paraId="5902A33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4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41" w14:textId="77777777" w:rsidR="0084406A" w:rsidRDefault="002B18AF">
            <w:pPr>
              <w:jc w:val="right"/>
              <w:textAlignment w:val="bottom"/>
            </w:pPr>
            <w:r>
              <w:rPr>
                <w:rFonts w:ascii="Arial" w:eastAsia="宋体" w:hAnsi="Arial" w:cs="Arial"/>
                <w:color w:val="000000"/>
                <w:sz w:val="18"/>
                <w:szCs w:val="18"/>
              </w:rPr>
              <w:t>312 </w:t>
            </w:r>
          </w:p>
        </w:tc>
        <w:tc>
          <w:tcPr>
            <w:tcW w:w="0" w:type="auto"/>
            <w:shd w:val="clear" w:color="auto" w:fill="FFFFFF"/>
            <w:tcMar>
              <w:top w:w="40" w:type="dxa"/>
              <w:left w:w="0" w:type="dxa"/>
              <w:bottom w:w="40" w:type="dxa"/>
              <w:right w:w="20" w:type="dxa"/>
            </w:tcMar>
            <w:vAlign w:val="bottom"/>
          </w:tcPr>
          <w:p w14:paraId="5902A34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4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44" w14:textId="77777777" w:rsidR="0084406A" w:rsidRDefault="002B18AF">
            <w:pPr>
              <w:jc w:val="right"/>
              <w:textAlignment w:val="bottom"/>
            </w:pPr>
            <w:r>
              <w:rPr>
                <w:rFonts w:ascii="Arial" w:eastAsia="宋体" w:hAnsi="Arial" w:cs="Arial"/>
                <w:color w:val="000000"/>
                <w:sz w:val="18"/>
                <w:szCs w:val="18"/>
              </w:rPr>
              <w:t>222 </w:t>
            </w:r>
          </w:p>
        </w:tc>
        <w:tc>
          <w:tcPr>
            <w:tcW w:w="0" w:type="auto"/>
            <w:shd w:val="clear" w:color="auto" w:fill="FFFFFF"/>
            <w:tcMar>
              <w:top w:w="40" w:type="dxa"/>
              <w:left w:w="0" w:type="dxa"/>
              <w:bottom w:w="40" w:type="dxa"/>
              <w:right w:w="20" w:type="dxa"/>
            </w:tcMar>
            <w:vAlign w:val="bottom"/>
          </w:tcPr>
          <w:p w14:paraId="5902A345" w14:textId="77777777" w:rsidR="0084406A" w:rsidRDefault="0084406A">
            <w:pPr>
              <w:jc w:val="right"/>
              <w:rPr>
                <w:rFonts w:ascii="宋体"/>
              </w:rPr>
            </w:pPr>
          </w:p>
        </w:tc>
      </w:tr>
      <w:tr w:rsidR="0084406A" w14:paraId="5902A350" w14:textId="77777777">
        <w:trPr>
          <w:jc w:val="center"/>
        </w:trPr>
        <w:tc>
          <w:tcPr>
            <w:tcW w:w="0" w:type="auto"/>
            <w:gridSpan w:val="3"/>
            <w:shd w:val="clear" w:color="auto" w:fill="CCEEFF"/>
            <w:tcMar>
              <w:top w:w="40" w:type="dxa"/>
              <w:left w:w="605" w:type="dxa"/>
              <w:bottom w:w="40" w:type="dxa"/>
              <w:right w:w="20" w:type="dxa"/>
            </w:tcMar>
            <w:vAlign w:val="bottom"/>
          </w:tcPr>
          <w:p w14:paraId="5902A347" w14:textId="77777777" w:rsidR="0084406A" w:rsidRDefault="002B18AF">
            <w:pPr>
              <w:textAlignment w:val="bottom"/>
            </w:pPr>
            <w:r>
              <w:rPr>
                <w:rFonts w:ascii="Arial" w:eastAsia="宋体" w:hAnsi="Arial" w:cs="Arial"/>
                <w:color w:val="000000"/>
                <w:sz w:val="18"/>
                <w:szCs w:val="18"/>
              </w:rPr>
              <w:t>Stock-based compensation</w:t>
            </w:r>
          </w:p>
        </w:tc>
        <w:tc>
          <w:tcPr>
            <w:tcW w:w="0" w:type="auto"/>
            <w:gridSpan w:val="2"/>
            <w:shd w:val="clear" w:color="auto" w:fill="CCEEFF"/>
            <w:tcMar>
              <w:top w:w="40" w:type="dxa"/>
              <w:left w:w="20" w:type="dxa"/>
              <w:bottom w:w="40" w:type="dxa"/>
              <w:right w:w="0" w:type="dxa"/>
            </w:tcMar>
            <w:vAlign w:val="bottom"/>
          </w:tcPr>
          <w:p w14:paraId="5902A348" w14:textId="77777777" w:rsidR="0084406A" w:rsidRDefault="002B18AF">
            <w:pPr>
              <w:jc w:val="right"/>
              <w:textAlignment w:val="bottom"/>
            </w:pPr>
            <w:r>
              <w:rPr>
                <w:rFonts w:ascii="Arial" w:eastAsia="宋体" w:hAnsi="Arial" w:cs="Arial"/>
                <w:color w:val="000000"/>
                <w:sz w:val="18"/>
                <w:szCs w:val="18"/>
              </w:rPr>
              <w:t>379 </w:t>
            </w:r>
          </w:p>
        </w:tc>
        <w:tc>
          <w:tcPr>
            <w:tcW w:w="0" w:type="auto"/>
            <w:shd w:val="clear" w:color="auto" w:fill="CCEEFF"/>
            <w:tcMar>
              <w:top w:w="40" w:type="dxa"/>
              <w:left w:w="0" w:type="dxa"/>
              <w:bottom w:w="40" w:type="dxa"/>
              <w:right w:w="20" w:type="dxa"/>
            </w:tcMar>
            <w:vAlign w:val="bottom"/>
          </w:tcPr>
          <w:p w14:paraId="5902A34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4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4B" w14:textId="77777777" w:rsidR="0084406A" w:rsidRDefault="002B18AF">
            <w:pPr>
              <w:jc w:val="right"/>
              <w:textAlignment w:val="bottom"/>
            </w:pPr>
            <w:r>
              <w:rPr>
                <w:rFonts w:ascii="Arial" w:eastAsia="宋体" w:hAnsi="Arial" w:cs="Arial"/>
                <w:color w:val="000000"/>
                <w:sz w:val="18"/>
                <w:szCs w:val="18"/>
              </w:rPr>
              <w:t>274 </w:t>
            </w:r>
          </w:p>
        </w:tc>
        <w:tc>
          <w:tcPr>
            <w:tcW w:w="0" w:type="auto"/>
            <w:shd w:val="clear" w:color="auto" w:fill="CCEEFF"/>
            <w:tcMar>
              <w:top w:w="40" w:type="dxa"/>
              <w:left w:w="0" w:type="dxa"/>
              <w:bottom w:w="40" w:type="dxa"/>
              <w:right w:w="20" w:type="dxa"/>
            </w:tcMar>
            <w:vAlign w:val="bottom"/>
          </w:tcPr>
          <w:p w14:paraId="5902A34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4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4E" w14:textId="77777777" w:rsidR="0084406A" w:rsidRDefault="002B18AF">
            <w:pPr>
              <w:jc w:val="right"/>
              <w:textAlignment w:val="bottom"/>
            </w:pPr>
            <w:r>
              <w:rPr>
                <w:rFonts w:ascii="Arial" w:eastAsia="宋体" w:hAnsi="Arial" w:cs="Arial"/>
                <w:color w:val="000000"/>
                <w:sz w:val="18"/>
                <w:szCs w:val="18"/>
              </w:rPr>
              <w:t>197 </w:t>
            </w:r>
          </w:p>
        </w:tc>
        <w:tc>
          <w:tcPr>
            <w:tcW w:w="0" w:type="auto"/>
            <w:shd w:val="clear" w:color="auto" w:fill="CCEEFF"/>
            <w:tcMar>
              <w:top w:w="40" w:type="dxa"/>
              <w:left w:w="0" w:type="dxa"/>
              <w:bottom w:w="40" w:type="dxa"/>
              <w:right w:w="20" w:type="dxa"/>
            </w:tcMar>
            <w:vAlign w:val="bottom"/>
          </w:tcPr>
          <w:p w14:paraId="5902A34F" w14:textId="77777777" w:rsidR="0084406A" w:rsidRDefault="0084406A">
            <w:pPr>
              <w:jc w:val="right"/>
              <w:rPr>
                <w:rFonts w:ascii="宋体"/>
              </w:rPr>
            </w:pPr>
          </w:p>
        </w:tc>
      </w:tr>
      <w:tr w:rsidR="0084406A" w14:paraId="5902A35A" w14:textId="77777777">
        <w:trPr>
          <w:jc w:val="center"/>
        </w:trPr>
        <w:tc>
          <w:tcPr>
            <w:tcW w:w="0" w:type="auto"/>
            <w:gridSpan w:val="3"/>
            <w:shd w:val="clear" w:color="auto" w:fill="FFFFFF"/>
            <w:tcMar>
              <w:top w:w="40" w:type="dxa"/>
              <w:left w:w="605" w:type="dxa"/>
              <w:bottom w:w="40" w:type="dxa"/>
              <w:right w:w="20" w:type="dxa"/>
            </w:tcMar>
            <w:vAlign w:val="bottom"/>
          </w:tcPr>
          <w:p w14:paraId="5902A351" w14:textId="77777777" w:rsidR="0084406A" w:rsidRDefault="002B18AF">
            <w:pPr>
              <w:textAlignment w:val="bottom"/>
            </w:pPr>
            <w:r>
              <w:rPr>
                <w:rFonts w:ascii="Arial" w:eastAsia="宋体" w:hAnsi="Arial" w:cs="Arial"/>
                <w:color w:val="000000"/>
                <w:sz w:val="18"/>
                <w:szCs w:val="18"/>
              </w:rPr>
              <w:t xml:space="preserve">Amortization of debt discount and issuance </w:t>
            </w:r>
            <w:r>
              <w:rPr>
                <w:rFonts w:ascii="Arial" w:eastAsia="宋体" w:hAnsi="Arial" w:cs="Arial"/>
                <w:color w:val="000000"/>
                <w:sz w:val="18"/>
                <w:szCs w:val="18"/>
              </w:rPr>
              <w:t>costs</w:t>
            </w:r>
          </w:p>
        </w:tc>
        <w:tc>
          <w:tcPr>
            <w:tcW w:w="0" w:type="auto"/>
            <w:gridSpan w:val="2"/>
            <w:shd w:val="clear" w:color="auto" w:fill="FFFFFF"/>
            <w:tcMar>
              <w:top w:w="40" w:type="dxa"/>
              <w:left w:w="20" w:type="dxa"/>
              <w:bottom w:w="40" w:type="dxa"/>
              <w:right w:w="0" w:type="dxa"/>
            </w:tcMar>
            <w:vAlign w:val="bottom"/>
          </w:tcPr>
          <w:p w14:paraId="5902A352" w14:textId="77777777" w:rsidR="0084406A" w:rsidRDefault="002B18AF">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5902A35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5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55" w14:textId="77777777" w:rsidR="0084406A" w:rsidRDefault="002B18AF">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5902A35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5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58" w14:textId="77777777" w:rsidR="0084406A" w:rsidRDefault="002B18AF">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5902A359" w14:textId="77777777" w:rsidR="0084406A" w:rsidRDefault="0084406A">
            <w:pPr>
              <w:jc w:val="right"/>
              <w:rPr>
                <w:rFonts w:ascii="宋体"/>
              </w:rPr>
            </w:pPr>
          </w:p>
        </w:tc>
      </w:tr>
      <w:tr w:rsidR="0084406A" w14:paraId="5902A364" w14:textId="77777777">
        <w:trPr>
          <w:jc w:val="center"/>
        </w:trPr>
        <w:tc>
          <w:tcPr>
            <w:tcW w:w="0" w:type="auto"/>
            <w:gridSpan w:val="3"/>
            <w:shd w:val="clear" w:color="auto" w:fill="CCEEFF"/>
            <w:tcMar>
              <w:top w:w="40" w:type="dxa"/>
              <w:left w:w="605" w:type="dxa"/>
              <w:bottom w:w="40" w:type="dxa"/>
              <w:right w:w="20" w:type="dxa"/>
            </w:tcMar>
            <w:vAlign w:val="bottom"/>
          </w:tcPr>
          <w:p w14:paraId="5902A35B" w14:textId="77777777" w:rsidR="0084406A" w:rsidRDefault="002B18AF">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5902A35C" w14:textId="77777777" w:rsidR="0084406A" w:rsidRDefault="002B18AF">
            <w:pPr>
              <w:jc w:val="right"/>
              <w:textAlignment w:val="bottom"/>
            </w:pPr>
            <w:r>
              <w:rPr>
                <w:rFonts w:ascii="Arial" w:eastAsia="宋体" w:hAnsi="Arial" w:cs="Arial"/>
                <w:color w:val="000000"/>
                <w:sz w:val="18"/>
                <w:szCs w:val="18"/>
              </w:rPr>
              <w:t>56 </w:t>
            </w:r>
          </w:p>
        </w:tc>
        <w:tc>
          <w:tcPr>
            <w:tcW w:w="0" w:type="auto"/>
            <w:shd w:val="clear" w:color="auto" w:fill="CCEEFF"/>
            <w:tcMar>
              <w:top w:w="40" w:type="dxa"/>
              <w:left w:w="0" w:type="dxa"/>
              <w:bottom w:w="40" w:type="dxa"/>
              <w:right w:w="20" w:type="dxa"/>
            </w:tcMar>
            <w:vAlign w:val="bottom"/>
          </w:tcPr>
          <w:p w14:paraId="5902A35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5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5F" w14:textId="77777777" w:rsidR="0084406A" w:rsidRDefault="002B18AF">
            <w:pPr>
              <w:jc w:val="right"/>
              <w:textAlignment w:val="bottom"/>
            </w:pPr>
            <w:r>
              <w:rPr>
                <w:rFonts w:ascii="Arial" w:eastAsia="宋体" w:hAnsi="Arial" w:cs="Arial"/>
                <w:color w:val="000000"/>
                <w:sz w:val="18"/>
                <w:szCs w:val="18"/>
              </w:rPr>
              <w:t>42 </w:t>
            </w:r>
          </w:p>
        </w:tc>
        <w:tc>
          <w:tcPr>
            <w:tcW w:w="0" w:type="auto"/>
            <w:shd w:val="clear" w:color="auto" w:fill="CCEEFF"/>
            <w:tcMar>
              <w:top w:w="40" w:type="dxa"/>
              <w:left w:w="0" w:type="dxa"/>
              <w:bottom w:w="40" w:type="dxa"/>
              <w:right w:w="20" w:type="dxa"/>
            </w:tcMar>
            <w:vAlign w:val="bottom"/>
          </w:tcPr>
          <w:p w14:paraId="5902A36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6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62" w14:textId="77777777" w:rsidR="0084406A" w:rsidRDefault="002B18AF">
            <w:pPr>
              <w:jc w:val="right"/>
              <w:textAlignment w:val="bottom"/>
            </w:pPr>
            <w:r>
              <w:rPr>
                <w:rFonts w:ascii="Arial" w:eastAsia="宋体" w:hAnsi="Arial" w:cs="Arial"/>
                <w:color w:val="000000"/>
                <w:sz w:val="18"/>
                <w:szCs w:val="18"/>
              </w:rPr>
              <w:t>36 </w:t>
            </w:r>
          </w:p>
        </w:tc>
        <w:tc>
          <w:tcPr>
            <w:tcW w:w="0" w:type="auto"/>
            <w:shd w:val="clear" w:color="auto" w:fill="CCEEFF"/>
            <w:tcMar>
              <w:top w:w="40" w:type="dxa"/>
              <w:left w:w="0" w:type="dxa"/>
              <w:bottom w:w="40" w:type="dxa"/>
              <w:right w:w="20" w:type="dxa"/>
            </w:tcMar>
            <w:vAlign w:val="bottom"/>
          </w:tcPr>
          <w:p w14:paraId="5902A363" w14:textId="77777777" w:rsidR="0084406A" w:rsidRDefault="0084406A">
            <w:pPr>
              <w:jc w:val="right"/>
              <w:rPr>
                <w:rFonts w:ascii="宋体"/>
              </w:rPr>
            </w:pPr>
          </w:p>
        </w:tc>
      </w:tr>
      <w:tr w:rsidR="0084406A" w14:paraId="5902A36E" w14:textId="77777777">
        <w:trPr>
          <w:jc w:val="center"/>
        </w:trPr>
        <w:tc>
          <w:tcPr>
            <w:tcW w:w="0" w:type="auto"/>
            <w:gridSpan w:val="3"/>
            <w:shd w:val="clear" w:color="auto" w:fill="FFFFFF"/>
            <w:tcMar>
              <w:top w:w="40" w:type="dxa"/>
              <w:left w:w="605" w:type="dxa"/>
              <w:bottom w:w="40" w:type="dxa"/>
              <w:right w:w="20" w:type="dxa"/>
            </w:tcMar>
            <w:vAlign w:val="bottom"/>
          </w:tcPr>
          <w:p w14:paraId="5902A365" w14:textId="77777777" w:rsidR="0084406A" w:rsidRDefault="002B18AF">
            <w:pPr>
              <w:textAlignment w:val="bottom"/>
            </w:pPr>
            <w:r>
              <w:rPr>
                <w:rFonts w:ascii="Arial" w:eastAsia="宋体" w:hAnsi="Arial" w:cs="Arial"/>
                <w:color w:val="000000"/>
                <w:sz w:val="18"/>
                <w:szCs w:val="18"/>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5902A366" w14:textId="77777777" w:rsidR="0084406A" w:rsidRDefault="002B18A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5902A36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6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69" w14:textId="77777777" w:rsidR="0084406A" w:rsidRDefault="002B18AF">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5902A36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6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6C" w14:textId="77777777" w:rsidR="0084406A" w:rsidRDefault="002B18AF">
            <w:pPr>
              <w:jc w:val="right"/>
              <w:textAlignment w:val="bottom"/>
            </w:pPr>
            <w:r>
              <w:rPr>
                <w:rFonts w:ascii="Arial" w:eastAsia="宋体" w:hAnsi="Arial" w:cs="Arial"/>
                <w:color w:val="000000"/>
                <w:sz w:val="18"/>
                <w:szCs w:val="18"/>
              </w:rPr>
              <w:t>176 </w:t>
            </w:r>
          </w:p>
        </w:tc>
        <w:tc>
          <w:tcPr>
            <w:tcW w:w="0" w:type="auto"/>
            <w:shd w:val="clear" w:color="auto" w:fill="FFFFFF"/>
            <w:tcMar>
              <w:top w:w="40" w:type="dxa"/>
              <w:left w:w="0" w:type="dxa"/>
              <w:bottom w:w="40" w:type="dxa"/>
              <w:right w:w="20" w:type="dxa"/>
            </w:tcMar>
            <w:vAlign w:val="bottom"/>
          </w:tcPr>
          <w:p w14:paraId="5902A36D" w14:textId="77777777" w:rsidR="0084406A" w:rsidRDefault="0084406A">
            <w:pPr>
              <w:jc w:val="right"/>
              <w:rPr>
                <w:rFonts w:ascii="宋体"/>
              </w:rPr>
            </w:pPr>
          </w:p>
        </w:tc>
      </w:tr>
      <w:tr w:rsidR="0084406A" w14:paraId="5902A378" w14:textId="77777777">
        <w:trPr>
          <w:jc w:val="center"/>
        </w:trPr>
        <w:tc>
          <w:tcPr>
            <w:tcW w:w="0" w:type="auto"/>
            <w:gridSpan w:val="3"/>
            <w:shd w:val="clear" w:color="auto" w:fill="CCEEFF"/>
            <w:tcMar>
              <w:top w:w="40" w:type="dxa"/>
              <w:left w:w="605" w:type="dxa"/>
              <w:bottom w:w="40" w:type="dxa"/>
              <w:right w:w="20" w:type="dxa"/>
            </w:tcMar>
            <w:vAlign w:val="bottom"/>
          </w:tcPr>
          <w:p w14:paraId="5902A36F" w14:textId="77777777" w:rsidR="0084406A" w:rsidRDefault="002B18AF">
            <w:pPr>
              <w:textAlignment w:val="bottom"/>
            </w:pPr>
            <w:r>
              <w:rPr>
                <w:rFonts w:ascii="Arial" w:eastAsia="宋体" w:hAnsi="Arial" w:cs="Arial"/>
                <w:color w:val="000000"/>
                <w:sz w:val="18"/>
                <w:szCs w:val="18"/>
              </w:rPr>
              <w:t>Loss on sale or disposal of property and equipment</w:t>
            </w:r>
          </w:p>
        </w:tc>
        <w:tc>
          <w:tcPr>
            <w:tcW w:w="0" w:type="auto"/>
            <w:gridSpan w:val="2"/>
            <w:shd w:val="clear" w:color="auto" w:fill="CCEEFF"/>
            <w:tcMar>
              <w:top w:w="40" w:type="dxa"/>
              <w:left w:w="20" w:type="dxa"/>
              <w:bottom w:w="40" w:type="dxa"/>
              <w:right w:w="0" w:type="dxa"/>
            </w:tcMar>
            <w:vAlign w:val="bottom"/>
          </w:tcPr>
          <w:p w14:paraId="5902A370" w14:textId="77777777" w:rsidR="0084406A" w:rsidRDefault="002B18AF">
            <w:pPr>
              <w:jc w:val="right"/>
              <w:textAlignment w:val="bottom"/>
            </w:pPr>
            <w:r>
              <w:rPr>
                <w:rFonts w:ascii="Arial" w:eastAsia="宋体" w:hAnsi="Arial" w:cs="Arial"/>
                <w:color w:val="000000"/>
                <w:sz w:val="18"/>
                <w:szCs w:val="18"/>
              </w:rPr>
              <w:t>34 </w:t>
            </w:r>
          </w:p>
        </w:tc>
        <w:tc>
          <w:tcPr>
            <w:tcW w:w="0" w:type="auto"/>
            <w:shd w:val="clear" w:color="auto" w:fill="CCEEFF"/>
            <w:tcMar>
              <w:top w:w="40" w:type="dxa"/>
              <w:left w:w="0" w:type="dxa"/>
              <w:bottom w:w="40" w:type="dxa"/>
              <w:right w:w="20" w:type="dxa"/>
            </w:tcMar>
            <w:vAlign w:val="bottom"/>
          </w:tcPr>
          <w:p w14:paraId="5902A37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7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73" w14:textId="77777777" w:rsidR="0084406A" w:rsidRDefault="002B18AF">
            <w:pPr>
              <w:jc w:val="right"/>
              <w:textAlignment w:val="bottom"/>
            </w:pPr>
            <w:r>
              <w:rPr>
                <w:rFonts w:ascii="Arial" w:eastAsia="宋体" w:hAnsi="Arial" w:cs="Arial"/>
                <w:color w:val="000000"/>
                <w:sz w:val="18"/>
                <w:szCs w:val="18"/>
              </w:rPr>
              <w:t>33 </w:t>
            </w:r>
          </w:p>
        </w:tc>
        <w:tc>
          <w:tcPr>
            <w:tcW w:w="0" w:type="auto"/>
            <w:shd w:val="clear" w:color="auto" w:fill="CCEEFF"/>
            <w:tcMar>
              <w:top w:w="40" w:type="dxa"/>
              <w:left w:w="0" w:type="dxa"/>
              <w:bottom w:w="40" w:type="dxa"/>
              <w:right w:w="20" w:type="dxa"/>
            </w:tcMar>
            <w:vAlign w:val="bottom"/>
          </w:tcPr>
          <w:p w14:paraId="5902A37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7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76" w14:textId="77777777" w:rsidR="0084406A" w:rsidRDefault="002B18AF">
            <w:pPr>
              <w:jc w:val="right"/>
              <w:textAlignment w:val="bottom"/>
            </w:pPr>
            <w:r>
              <w:rPr>
                <w:rFonts w:ascii="Arial" w:eastAsia="宋体" w:hAnsi="Arial" w:cs="Arial"/>
                <w:color w:val="000000"/>
                <w:sz w:val="18"/>
                <w:szCs w:val="18"/>
              </w:rPr>
              <w:t>42 </w:t>
            </w:r>
          </w:p>
        </w:tc>
        <w:tc>
          <w:tcPr>
            <w:tcW w:w="0" w:type="auto"/>
            <w:shd w:val="clear" w:color="auto" w:fill="CCEEFF"/>
            <w:tcMar>
              <w:top w:w="40" w:type="dxa"/>
              <w:left w:w="0" w:type="dxa"/>
              <w:bottom w:w="40" w:type="dxa"/>
              <w:right w:w="20" w:type="dxa"/>
            </w:tcMar>
            <w:vAlign w:val="bottom"/>
          </w:tcPr>
          <w:p w14:paraId="5902A377" w14:textId="77777777" w:rsidR="0084406A" w:rsidRDefault="0084406A">
            <w:pPr>
              <w:jc w:val="right"/>
              <w:rPr>
                <w:rFonts w:ascii="宋体"/>
              </w:rPr>
            </w:pPr>
          </w:p>
        </w:tc>
      </w:tr>
      <w:tr w:rsidR="0084406A" w14:paraId="5902A382" w14:textId="77777777">
        <w:trPr>
          <w:jc w:val="center"/>
        </w:trPr>
        <w:tc>
          <w:tcPr>
            <w:tcW w:w="0" w:type="auto"/>
            <w:gridSpan w:val="3"/>
            <w:shd w:val="clear" w:color="auto" w:fill="FFFFFF"/>
            <w:tcMar>
              <w:top w:w="40" w:type="dxa"/>
              <w:left w:w="605" w:type="dxa"/>
              <w:bottom w:w="40" w:type="dxa"/>
              <w:right w:w="20" w:type="dxa"/>
            </w:tcMar>
            <w:vAlign w:val="bottom"/>
          </w:tcPr>
          <w:p w14:paraId="5902A379" w14:textId="77777777" w:rsidR="0084406A" w:rsidRDefault="002B18AF">
            <w:pPr>
              <w:textAlignment w:val="bottom"/>
            </w:pPr>
            <w:r>
              <w:rPr>
                <w:rFonts w:ascii="Arial" w:eastAsia="宋体" w:hAnsi="Arial" w:cs="Arial"/>
                <w:color w:val="000000"/>
                <w:sz w:val="18"/>
                <w:szCs w:val="18"/>
              </w:rPr>
              <w:t xml:space="preserve">Deferred income </w:t>
            </w:r>
            <w:r>
              <w:rPr>
                <w:rFonts w:ascii="Arial" w:eastAsia="宋体" w:hAnsi="Arial" w:cs="Arial"/>
                <w:color w:val="000000"/>
                <w:sz w:val="18"/>
                <w:szCs w:val="18"/>
              </w:rPr>
              <w:t>taxes</w:t>
            </w:r>
          </w:p>
        </w:tc>
        <w:tc>
          <w:tcPr>
            <w:tcW w:w="0" w:type="auto"/>
            <w:gridSpan w:val="2"/>
            <w:shd w:val="clear" w:color="auto" w:fill="FFFFFF"/>
            <w:tcMar>
              <w:top w:w="40" w:type="dxa"/>
              <w:left w:w="20" w:type="dxa"/>
              <w:bottom w:w="40" w:type="dxa"/>
              <w:right w:w="0" w:type="dxa"/>
            </w:tcMar>
            <w:vAlign w:val="bottom"/>
          </w:tcPr>
          <w:p w14:paraId="5902A37A" w14:textId="77777777" w:rsidR="0084406A" w:rsidRDefault="002B18AF">
            <w:pPr>
              <w:jc w:val="right"/>
              <w:textAlignment w:val="bottom"/>
            </w:pPr>
            <w:r>
              <w:rPr>
                <w:rFonts w:ascii="Arial" w:eastAsia="宋体" w:hAnsi="Arial" w:cs="Arial"/>
                <w:color w:val="000000"/>
                <w:sz w:val="18"/>
                <w:szCs w:val="18"/>
              </w:rPr>
              <w:t>308 </w:t>
            </w:r>
          </w:p>
        </w:tc>
        <w:tc>
          <w:tcPr>
            <w:tcW w:w="0" w:type="auto"/>
            <w:shd w:val="clear" w:color="auto" w:fill="FFFFFF"/>
            <w:tcMar>
              <w:top w:w="40" w:type="dxa"/>
              <w:left w:w="0" w:type="dxa"/>
              <w:bottom w:w="40" w:type="dxa"/>
              <w:right w:w="20" w:type="dxa"/>
            </w:tcMar>
            <w:vAlign w:val="bottom"/>
          </w:tcPr>
          <w:p w14:paraId="5902A37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7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7D" w14:textId="77777777" w:rsidR="0084406A" w:rsidRDefault="002B18AF">
            <w:pPr>
              <w:jc w:val="right"/>
              <w:textAlignment w:val="bottom"/>
            </w:pPr>
            <w:r>
              <w:rPr>
                <w:rFonts w:ascii="Arial" w:eastAsia="宋体" w:hAnsi="Arial" w:cs="Arial"/>
                <w:color w:val="000000"/>
                <w:sz w:val="18"/>
                <w:szCs w:val="18"/>
              </w:rPr>
              <w:t>(1,223)</w:t>
            </w:r>
          </w:p>
        </w:tc>
        <w:tc>
          <w:tcPr>
            <w:tcW w:w="0" w:type="auto"/>
            <w:shd w:val="clear" w:color="auto" w:fill="FFFFFF"/>
            <w:tcMar>
              <w:top w:w="40" w:type="dxa"/>
              <w:left w:w="0" w:type="dxa"/>
              <w:bottom w:w="40" w:type="dxa"/>
              <w:right w:w="20" w:type="dxa"/>
            </w:tcMar>
            <w:vAlign w:val="bottom"/>
          </w:tcPr>
          <w:p w14:paraId="5902A37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7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80" w14:textId="77777777" w:rsidR="0084406A" w:rsidRDefault="002B18AF">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5902A381" w14:textId="77777777" w:rsidR="0084406A" w:rsidRDefault="0084406A">
            <w:pPr>
              <w:jc w:val="right"/>
              <w:rPr>
                <w:rFonts w:ascii="宋体"/>
              </w:rPr>
            </w:pPr>
          </w:p>
        </w:tc>
      </w:tr>
      <w:tr w:rsidR="0084406A" w14:paraId="5902A38C" w14:textId="77777777">
        <w:trPr>
          <w:jc w:val="center"/>
        </w:trPr>
        <w:tc>
          <w:tcPr>
            <w:tcW w:w="0" w:type="auto"/>
            <w:gridSpan w:val="3"/>
            <w:shd w:val="clear" w:color="auto" w:fill="CCEEFF"/>
            <w:tcMar>
              <w:top w:w="40" w:type="dxa"/>
              <w:left w:w="605" w:type="dxa"/>
              <w:bottom w:w="40" w:type="dxa"/>
              <w:right w:w="20" w:type="dxa"/>
            </w:tcMar>
            <w:vAlign w:val="bottom"/>
          </w:tcPr>
          <w:p w14:paraId="5902A383" w14:textId="77777777" w:rsidR="0084406A" w:rsidRDefault="002B18AF">
            <w:pPr>
              <w:textAlignment w:val="bottom"/>
            </w:pPr>
            <w:r>
              <w:rPr>
                <w:rFonts w:ascii="Arial" w:eastAsia="宋体" w:hAnsi="Arial" w:cs="Arial"/>
                <w:color w:val="000000"/>
                <w:sz w:val="18"/>
                <w:szCs w:val="18"/>
              </w:rPr>
              <w:t>Gain on equity investments, net</w:t>
            </w:r>
          </w:p>
        </w:tc>
        <w:tc>
          <w:tcPr>
            <w:tcW w:w="0" w:type="auto"/>
            <w:gridSpan w:val="2"/>
            <w:shd w:val="clear" w:color="auto" w:fill="CCEEFF"/>
            <w:tcMar>
              <w:top w:w="40" w:type="dxa"/>
              <w:left w:w="20" w:type="dxa"/>
              <w:bottom w:w="40" w:type="dxa"/>
              <w:right w:w="0" w:type="dxa"/>
            </w:tcMar>
            <w:vAlign w:val="bottom"/>
          </w:tcPr>
          <w:p w14:paraId="5902A384" w14:textId="77777777" w:rsidR="0084406A" w:rsidRDefault="002B18AF">
            <w:pPr>
              <w:jc w:val="right"/>
              <w:textAlignment w:val="bottom"/>
            </w:pPr>
            <w:r>
              <w:rPr>
                <w:rFonts w:ascii="Arial" w:eastAsia="宋体" w:hAnsi="Arial" w:cs="Arial"/>
                <w:color w:val="000000"/>
                <w:sz w:val="18"/>
                <w:szCs w:val="18"/>
              </w:rPr>
              <w:t>(56)</w:t>
            </w:r>
          </w:p>
        </w:tc>
        <w:tc>
          <w:tcPr>
            <w:tcW w:w="0" w:type="auto"/>
            <w:shd w:val="clear" w:color="auto" w:fill="CCEEFF"/>
            <w:tcMar>
              <w:top w:w="40" w:type="dxa"/>
              <w:left w:w="0" w:type="dxa"/>
              <w:bottom w:w="40" w:type="dxa"/>
              <w:right w:w="20" w:type="dxa"/>
            </w:tcMar>
            <w:vAlign w:val="bottom"/>
          </w:tcPr>
          <w:p w14:paraId="5902A38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8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87" w14:textId="77777777" w:rsidR="0084406A" w:rsidRDefault="002B18AF">
            <w:pPr>
              <w:jc w:val="right"/>
              <w:textAlignment w:val="bottom"/>
            </w:pPr>
            <w:r>
              <w:rPr>
                <w:rFonts w:ascii="Arial" w:eastAsia="宋体" w:hAnsi="Arial" w:cs="Arial"/>
                <w:color w:val="000000"/>
                <w:sz w:val="18"/>
                <w:szCs w:val="18"/>
              </w:rPr>
              <w:t>(2)</w:t>
            </w:r>
          </w:p>
        </w:tc>
        <w:tc>
          <w:tcPr>
            <w:tcW w:w="0" w:type="auto"/>
            <w:shd w:val="clear" w:color="auto" w:fill="CCEEFF"/>
            <w:tcMar>
              <w:top w:w="40" w:type="dxa"/>
              <w:left w:w="0" w:type="dxa"/>
              <w:bottom w:w="40" w:type="dxa"/>
              <w:right w:w="20" w:type="dxa"/>
            </w:tcMar>
            <w:vAlign w:val="bottom"/>
          </w:tcPr>
          <w:p w14:paraId="5902A38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8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8A" w14:textId="77777777" w:rsidR="0084406A" w:rsidRDefault="002B18AF">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5902A38B" w14:textId="77777777" w:rsidR="0084406A" w:rsidRDefault="0084406A">
            <w:pPr>
              <w:jc w:val="right"/>
              <w:rPr>
                <w:rFonts w:ascii="宋体"/>
              </w:rPr>
            </w:pPr>
          </w:p>
        </w:tc>
      </w:tr>
      <w:tr w:rsidR="0084406A" w14:paraId="5902A396" w14:textId="77777777">
        <w:trPr>
          <w:jc w:val="center"/>
        </w:trPr>
        <w:tc>
          <w:tcPr>
            <w:tcW w:w="0" w:type="auto"/>
            <w:gridSpan w:val="3"/>
            <w:shd w:val="clear" w:color="auto" w:fill="FFFFFF"/>
            <w:tcMar>
              <w:top w:w="40" w:type="dxa"/>
              <w:left w:w="605" w:type="dxa"/>
              <w:bottom w:w="40" w:type="dxa"/>
              <w:right w:w="20" w:type="dxa"/>
            </w:tcMar>
            <w:vAlign w:val="bottom"/>
          </w:tcPr>
          <w:p w14:paraId="5902A38D" w14:textId="77777777" w:rsidR="0084406A" w:rsidRDefault="002B18A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902A38E" w14:textId="77777777" w:rsidR="0084406A" w:rsidRDefault="002B18AF">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5902A38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9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91" w14:textId="77777777" w:rsidR="0084406A" w:rsidRDefault="002B18A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5902A39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9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94" w14:textId="77777777" w:rsidR="0084406A" w:rsidRDefault="002B18AF">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5902A395" w14:textId="77777777" w:rsidR="0084406A" w:rsidRDefault="0084406A">
            <w:pPr>
              <w:jc w:val="right"/>
              <w:rPr>
                <w:rFonts w:ascii="宋体"/>
              </w:rPr>
            </w:pPr>
          </w:p>
        </w:tc>
      </w:tr>
      <w:tr w:rsidR="0084406A" w14:paraId="5902A39D" w14:textId="77777777">
        <w:trPr>
          <w:jc w:val="center"/>
        </w:trPr>
        <w:tc>
          <w:tcPr>
            <w:tcW w:w="0" w:type="auto"/>
            <w:gridSpan w:val="3"/>
            <w:shd w:val="clear" w:color="auto" w:fill="CCEEFF"/>
            <w:tcMar>
              <w:top w:w="40" w:type="dxa"/>
              <w:left w:w="380" w:type="dxa"/>
              <w:bottom w:w="40" w:type="dxa"/>
              <w:right w:w="20" w:type="dxa"/>
            </w:tcMar>
            <w:vAlign w:val="bottom"/>
          </w:tcPr>
          <w:p w14:paraId="5902A397" w14:textId="77777777" w:rsidR="0084406A" w:rsidRDefault="002B18AF">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bottom"/>
          </w:tcPr>
          <w:p w14:paraId="5902A39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9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9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9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39C" w14:textId="77777777" w:rsidR="0084406A" w:rsidRDefault="0084406A">
            <w:pPr>
              <w:rPr>
                <w:rFonts w:ascii="宋体"/>
              </w:rPr>
            </w:pPr>
          </w:p>
        </w:tc>
      </w:tr>
      <w:tr w:rsidR="0084406A" w14:paraId="5902A3A7" w14:textId="77777777">
        <w:trPr>
          <w:jc w:val="center"/>
        </w:trPr>
        <w:tc>
          <w:tcPr>
            <w:tcW w:w="0" w:type="auto"/>
            <w:gridSpan w:val="3"/>
            <w:shd w:val="clear" w:color="auto" w:fill="FFFFFF"/>
            <w:tcMar>
              <w:top w:w="40" w:type="dxa"/>
              <w:left w:w="605" w:type="dxa"/>
              <w:bottom w:w="40" w:type="dxa"/>
              <w:right w:w="20" w:type="dxa"/>
            </w:tcMar>
            <w:vAlign w:val="bottom"/>
          </w:tcPr>
          <w:p w14:paraId="5902A39E" w14:textId="77777777" w:rsidR="0084406A" w:rsidRDefault="002B18AF">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5902A39F" w14:textId="77777777" w:rsidR="0084406A" w:rsidRDefault="002B18AF">
            <w:pPr>
              <w:jc w:val="right"/>
              <w:textAlignment w:val="bottom"/>
            </w:pPr>
            <w:r>
              <w:rPr>
                <w:rFonts w:ascii="Arial" w:eastAsia="宋体" w:hAnsi="Arial" w:cs="Arial"/>
                <w:color w:val="000000"/>
                <w:sz w:val="18"/>
                <w:szCs w:val="18"/>
              </w:rPr>
              <w:t>(640)</w:t>
            </w:r>
          </w:p>
        </w:tc>
        <w:tc>
          <w:tcPr>
            <w:tcW w:w="0" w:type="auto"/>
            <w:shd w:val="clear" w:color="auto" w:fill="FFFFFF"/>
            <w:tcMar>
              <w:top w:w="40" w:type="dxa"/>
              <w:left w:w="0" w:type="dxa"/>
              <w:bottom w:w="40" w:type="dxa"/>
              <w:right w:w="20" w:type="dxa"/>
            </w:tcMar>
            <w:vAlign w:val="bottom"/>
          </w:tcPr>
          <w:p w14:paraId="5902A3A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A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A2" w14:textId="77777777" w:rsidR="0084406A" w:rsidRDefault="002B18AF">
            <w:pPr>
              <w:jc w:val="right"/>
              <w:textAlignment w:val="bottom"/>
            </w:pPr>
            <w:r>
              <w:rPr>
                <w:rFonts w:ascii="Arial" w:eastAsia="宋体" w:hAnsi="Arial" w:cs="Arial"/>
                <w:color w:val="000000"/>
                <w:sz w:val="18"/>
                <w:szCs w:val="18"/>
              </w:rPr>
              <w:t>(219)</w:t>
            </w:r>
          </w:p>
        </w:tc>
        <w:tc>
          <w:tcPr>
            <w:tcW w:w="0" w:type="auto"/>
            <w:shd w:val="clear" w:color="auto" w:fill="FFFFFF"/>
            <w:tcMar>
              <w:top w:w="40" w:type="dxa"/>
              <w:left w:w="0" w:type="dxa"/>
              <w:bottom w:w="40" w:type="dxa"/>
              <w:right w:w="20" w:type="dxa"/>
            </w:tcMar>
            <w:vAlign w:val="bottom"/>
          </w:tcPr>
          <w:p w14:paraId="5902A3A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A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A5" w14:textId="77777777" w:rsidR="0084406A" w:rsidRDefault="002B18AF">
            <w:pPr>
              <w:jc w:val="right"/>
              <w:textAlignment w:val="bottom"/>
            </w:pPr>
            <w:r>
              <w:rPr>
                <w:rFonts w:ascii="Arial" w:eastAsia="宋体" w:hAnsi="Arial" w:cs="Arial"/>
                <w:color w:val="000000"/>
                <w:sz w:val="18"/>
                <w:szCs w:val="18"/>
              </w:rPr>
              <w:t>(623)</w:t>
            </w:r>
          </w:p>
        </w:tc>
        <w:tc>
          <w:tcPr>
            <w:tcW w:w="0" w:type="auto"/>
            <w:shd w:val="clear" w:color="auto" w:fill="FFFFFF"/>
            <w:tcMar>
              <w:top w:w="40" w:type="dxa"/>
              <w:left w:w="0" w:type="dxa"/>
              <w:bottom w:w="40" w:type="dxa"/>
              <w:right w:w="20" w:type="dxa"/>
            </w:tcMar>
            <w:vAlign w:val="bottom"/>
          </w:tcPr>
          <w:p w14:paraId="5902A3A6" w14:textId="77777777" w:rsidR="0084406A" w:rsidRDefault="0084406A">
            <w:pPr>
              <w:jc w:val="right"/>
              <w:rPr>
                <w:rFonts w:ascii="宋体"/>
              </w:rPr>
            </w:pPr>
          </w:p>
        </w:tc>
      </w:tr>
      <w:tr w:rsidR="0084406A" w14:paraId="5902A3B1" w14:textId="77777777">
        <w:trPr>
          <w:jc w:val="center"/>
        </w:trPr>
        <w:tc>
          <w:tcPr>
            <w:tcW w:w="0" w:type="auto"/>
            <w:gridSpan w:val="3"/>
            <w:shd w:val="clear" w:color="auto" w:fill="CCEEFF"/>
            <w:tcMar>
              <w:top w:w="40" w:type="dxa"/>
              <w:left w:w="605" w:type="dxa"/>
              <w:bottom w:w="40" w:type="dxa"/>
              <w:right w:w="20" w:type="dxa"/>
            </w:tcMar>
            <w:vAlign w:val="bottom"/>
          </w:tcPr>
          <w:p w14:paraId="5902A3A8" w14:textId="77777777" w:rsidR="0084406A" w:rsidRDefault="002B18AF">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5902A3A9" w14:textId="77777777" w:rsidR="0084406A" w:rsidRDefault="002B18AF">
            <w:pPr>
              <w:jc w:val="right"/>
              <w:textAlignment w:val="bottom"/>
            </w:pPr>
            <w:r>
              <w:rPr>
                <w:rFonts w:ascii="Arial" w:eastAsia="宋体" w:hAnsi="Arial" w:cs="Arial"/>
                <w:color w:val="000000"/>
                <w:sz w:val="18"/>
                <w:szCs w:val="18"/>
              </w:rPr>
              <w:t>(556)</w:t>
            </w:r>
          </w:p>
        </w:tc>
        <w:tc>
          <w:tcPr>
            <w:tcW w:w="0" w:type="auto"/>
            <w:shd w:val="clear" w:color="auto" w:fill="CCEEFF"/>
            <w:tcMar>
              <w:top w:w="40" w:type="dxa"/>
              <w:left w:w="0" w:type="dxa"/>
              <w:bottom w:w="40" w:type="dxa"/>
              <w:right w:w="20" w:type="dxa"/>
            </w:tcMar>
            <w:vAlign w:val="bottom"/>
          </w:tcPr>
          <w:p w14:paraId="5902A3A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A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AC" w14:textId="77777777" w:rsidR="0084406A" w:rsidRDefault="002B18AF">
            <w:pPr>
              <w:jc w:val="right"/>
              <w:textAlignment w:val="bottom"/>
            </w:pPr>
            <w:r>
              <w:rPr>
                <w:rFonts w:ascii="Arial" w:eastAsia="宋体" w:hAnsi="Arial" w:cs="Arial"/>
                <w:color w:val="000000"/>
                <w:sz w:val="18"/>
                <w:szCs w:val="18"/>
              </w:rPr>
              <w:t>(417)</w:t>
            </w:r>
          </w:p>
        </w:tc>
        <w:tc>
          <w:tcPr>
            <w:tcW w:w="0" w:type="auto"/>
            <w:shd w:val="clear" w:color="auto" w:fill="CCEEFF"/>
            <w:tcMar>
              <w:top w:w="40" w:type="dxa"/>
              <w:left w:w="0" w:type="dxa"/>
              <w:bottom w:w="40" w:type="dxa"/>
              <w:right w:w="20" w:type="dxa"/>
            </w:tcMar>
            <w:vAlign w:val="bottom"/>
          </w:tcPr>
          <w:p w14:paraId="5902A3A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A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AF" w14:textId="77777777" w:rsidR="0084406A" w:rsidRDefault="002B18AF">
            <w:pPr>
              <w:jc w:val="right"/>
              <w:textAlignment w:val="bottom"/>
            </w:pPr>
            <w:r>
              <w:rPr>
                <w:rFonts w:ascii="Arial" w:eastAsia="宋体" w:hAnsi="Arial" w:cs="Arial"/>
                <w:color w:val="000000"/>
                <w:sz w:val="18"/>
                <w:szCs w:val="18"/>
              </w:rPr>
              <w:t>(137)</w:t>
            </w:r>
          </w:p>
        </w:tc>
        <w:tc>
          <w:tcPr>
            <w:tcW w:w="0" w:type="auto"/>
            <w:shd w:val="clear" w:color="auto" w:fill="CCEEFF"/>
            <w:tcMar>
              <w:top w:w="40" w:type="dxa"/>
              <w:left w:w="0" w:type="dxa"/>
              <w:bottom w:w="40" w:type="dxa"/>
              <w:right w:w="20" w:type="dxa"/>
            </w:tcMar>
            <w:vAlign w:val="bottom"/>
          </w:tcPr>
          <w:p w14:paraId="5902A3B0" w14:textId="77777777" w:rsidR="0084406A" w:rsidRDefault="0084406A">
            <w:pPr>
              <w:jc w:val="right"/>
              <w:rPr>
                <w:rFonts w:ascii="宋体"/>
              </w:rPr>
            </w:pPr>
          </w:p>
        </w:tc>
      </w:tr>
      <w:tr w:rsidR="0084406A" w14:paraId="5902A3BB" w14:textId="77777777">
        <w:trPr>
          <w:jc w:val="center"/>
        </w:trPr>
        <w:tc>
          <w:tcPr>
            <w:tcW w:w="0" w:type="auto"/>
            <w:gridSpan w:val="3"/>
            <w:shd w:val="clear" w:color="auto" w:fill="FFFFFF"/>
            <w:tcMar>
              <w:top w:w="40" w:type="dxa"/>
              <w:left w:w="605" w:type="dxa"/>
              <w:bottom w:w="40" w:type="dxa"/>
              <w:right w:w="20" w:type="dxa"/>
            </w:tcMar>
            <w:vAlign w:val="bottom"/>
          </w:tcPr>
          <w:p w14:paraId="5902A3B2" w14:textId="77777777" w:rsidR="0084406A" w:rsidRDefault="002B18AF">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5902A3B3" w14:textId="77777777" w:rsidR="0084406A" w:rsidRDefault="002B18A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5902A3B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B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B6" w14:textId="77777777" w:rsidR="0084406A" w:rsidRDefault="002B18AF">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5902A3B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B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B9" w14:textId="77777777" w:rsidR="0084406A" w:rsidRDefault="002B18AF">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5902A3BA" w14:textId="77777777" w:rsidR="0084406A" w:rsidRDefault="0084406A">
            <w:pPr>
              <w:jc w:val="right"/>
              <w:rPr>
                <w:rFonts w:ascii="宋体"/>
              </w:rPr>
            </w:pPr>
          </w:p>
        </w:tc>
      </w:tr>
      <w:tr w:rsidR="0084406A" w14:paraId="5902A3C5" w14:textId="77777777">
        <w:trPr>
          <w:jc w:val="center"/>
        </w:trPr>
        <w:tc>
          <w:tcPr>
            <w:tcW w:w="0" w:type="auto"/>
            <w:gridSpan w:val="3"/>
            <w:shd w:val="clear" w:color="auto" w:fill="CCEEFF"/>
            <w:tcMar>
              <w:top w:w="40" w:type="dxa"/>
              <w:left w:w="605" w:type="dxa"/>
              <w:bottom w:w="40" w:type="dxa"/>
              <w:right w:w="20" w:type="dxa"/>
            </w:tcMar>
            <w:vAlign w:val="bottom"/>
          </w:tcPr>
          <w:p w14:paraId="5902A3BC" w14:textId="77777777" w:rsidR="0084406A" w:rsidRDefault="002B18AF">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5902A3BD" w14:textId="77777777" w:rsidR="0084406A" w:rsidRDefault="002B18AF">
            <w:pPr>
              <w:jc w:val="right"/>
              <w:textAlignment w:val="bottom"/>
            </w:pPr>
            <w:r>
              <w:rPr>
                <w:rFonts w:ascii="Arial" w:eastAsia="宋体" w:hAnsi="Arial" w:cs="Arial"/>
                <w:color w:val="000000"/>
                <w:sz w:val="18"/>
                <w:szCs w:val="18"/>
              </w:rPr>
              <w:t>(920)</w:t>
            </w:r>
          </w:p>
        </w:tc>
        <w:tc>
          <w:tcPr>
            <w:tcW w:w="0" w:type="auto"/>
            <w:shd w:val="clear" w:color="auto" w:fill="CCEEFF"/>
            <w:tcMar>
              <w:top w:w="40" w:type="dxa"/>
              <w:left w:w="0" w:type="dxa"/>
              <w:bottom w:w="40" w:type="dxa"/>
              <w:right w:w="20" w:type="dxa"/>
            </w:tcMar>
            <w:vAlign w:val="bottom"/>
          </w:tcPr>
          <w:p w14:paraId="5902A3B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B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C0" w14:textId="77777777" w:rsidR="0084406A" w:rsidRDefault="002B18AF">
            <w:pPr>
              <w:jc w:val="right"/>
              <w:textAlignment w:val="bottom"/>
            </w:pPr>
            <w:r>
              <w:rPr>
                <w:rFonts w:ascii="Arial" w:eastAsia="宋体" w:hAnsi="Arial" w:cs="Arial"/>
                <w:color w:val="000000"/>
                <w:sz w:val="18"/>
                <w:szCs w:val="18"/>
              </w:rPr>
              <w:t>(231)</w:t>
            </w:r>
          </w:p>
        </w:tc>
        <w:tc>
          <w:tcPr>
            <w:tcW w:w="0" w:type="auto"/>
            <w:shd w:val="clear" w:color="auto" w:fill="CCEEFF"/>
            <w:tcMar>
              <w:top w:w="40" w:type="dxa"/>
              <w:left w:w="0" w:type="dxa"/>
              <w:bottom w:w="40" w:type="dxa"/>
              <w:right w:w="20" w:type="dxa"/>
            </w:tcMar>
            <w:vAlign w:val="bottom"/>
          </w:tcPr>
          <w:p w14:paraId="5902A3C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C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C3" w14:textId="77777777" w:rsidR="0084406A" w:rsidRDefault="002B18AF">
            <w:pPr>
              <w:jc w:val="right"/>
              <w:textAlignment w:val="bottom"/>
            </w:pPr>
            <w:r>
              <w:rPr>
                <w:rFonts w:ascii="Arial" w:eastAsia="宋体" w:hAnsi="Arial" w:cs="Arial"/>
                <w:color w:val="000000"/>
                <w:sz w:val="18"/>
                <w:szCs w:val="18"/>
              </w:rPr>
              <w:t>(176)</w:t>
            </w:r>
          </w:p>
        </w:tc>
        <w:tc>
          <w:tcPr>
            <w:tcW w:w="0" w:type="auto"/>
            <w:shd w:val="clear" w:color="auto" w:fill="CCEEFF"/>
            <w:tcMar>
              <w:top w:w="40" w:type="dxa"/>
              <w:left w:w="0" w:type="dxa"/>
              <w:bottom w:w="40" w:type="dxa"/>
              <w:right w:w="20" w:type="dxa"/>
            </w:tcMar>
            <w:vAlign w:val="bottom"/>
          </w:tcPr>
          <w:p w14:paraId="5902A3C4" w14:textId="77777777" w:rsidR="0084406A" w:rsidRDefault="0084406A">
            <w:pPr>
              <w:jc w:val="right"/>
              <w:rPr>
                <w:rFonts w:ascii="宋体"/>
              </w:rPr>
            </w:pPr>
          </w:p>
        </w:tc>
      </w:tr>
      <w:tr w:rsidR="0084406A" w14:paraId="5902A3CF" w14:textId="77777777">
        <w:trPr>
          <w:jc w:val="center"/>
        </w:trPr>
        <w:tc>
          <w:tcPr>
            <w:tcW w:w="0" w:type="auto"/>
            <w:gridSpan w:val="3"/>
            <w:shd w:val="clear" w:color="auto" w:fill="FFFFFF"/>
            <w:tcMar>
              <w:top w:w="40" w:type="dxa"/>
              <w:left w:w="605" w:type="dxa"/>
              <w:bottom w:w="40" w:type="dxa"/>
              <w:right w:w="20" w:type="dxa"/>
            </w:tcMar>
            <w:vAlign w:val="bottom"/>
          </w:tcPr>
          <w:p w14:paraId="5902A3C6" w14:textId="77777777" w:rsidR="0084406A" w:rsidRDefault="002B18AF">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5902A3C7" w14:textId="77777777" w:rsidR="0084406A" w:rsidRDefault="002B18A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5902A3C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C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CA" w14:textId="77777777" w:rsidR="0084406A" w:rsidRDefault="002B18AF">
            <w:pPr>
              <w:jc w:val="right"/>
              <w:textAlignment w:val="bottom"/>
            </w:pPr>
            <w:r>
              <w:rPr>
                <w:rFonts w:ascii="Arial" w:eastAsia="宋体" w:hAnsi="Arial" w:cs="Arial"/>
                <w:color w:val="000000"/>
                <w:sz w:val="18"/>
                <w:szCs w:val="18"/>
              </w:rPr>
              <w:t>(135)</w:t>
            </w:r>
          </w:p>
        </w:tc>
        <w:tc>
          <w:tcPr>
            <w:tcW w:w="0" w:type="auto"/>
            <w:shd w:val="clear" w:color="auto" w:fill="FFFFFF"/>
            <w:tcMar>
              <w:top w:w="40" w:type="dxa"/>
              <w:left w:w="0" w:type="dxa"/>
              <w:bottom w:w="40" w:type="dxa"/>
              <w:right w:w="20" w:type="dxa"/>
            </w:tcMar>
            <w:vAlign w:val="bottom"/>
          </w:tcPr>
          <w:p w14:paraId="5902A3C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C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CD" w14:textId="77777777" w:rsidR="0084406A" w:rsidRDefault="002B18AF">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5902A3CE" w14:textId="77777777" w:rsidR="0084406A" w:rsidRDefault="0084406A">
            <w:pPr>
              <w:jc w:val="right"/>
              <w:rPr>
                <w:rFonts w:ascii="宋体"/>
              </w:rPr>
            </w:pPr>
          </w:p>
        </w:tc>
      </w:tr>
      <w:tr w:rsidR="0084406A" w14:paraId="5902A3D9" w14:textId="77777777">
        <w:trPr>
          <w:jc w:val="center"/>
        </w:trPr>
        <w:tc>
          <w:tcPr>
            <w:tcW w:w="0" w:type="auto"/>
            <w:gridSpan w:val="3"/>
            <w:shd w:val="clear" w:color="auto" w:fill="CCEEFF"/>
            <w:tcMar>
              <w:top w:w="40" w:type="dxa"/>
              <w:left w:w="605" w:type="dxa"/>
              <w:bottom w:w="40" w:type="dxa"/>
              <w:right w:w="20" w:type="dxa"/>
            </w:tcMar>
            <w:vAlign w:val="bottom"/>
          </w:tcPr>
          <w:p w14:paraId="5902A3D0" w14:textId="77777777" w:rsidR="0084406A" w:rsidRDefault="002B18AF">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5902A3D1" w14:textId="77777777" w:rsidR="0084406A" w:rsidRDefault="002B18AF">
            <w:pPr>
              <w:jc w:val="right"/>
              <w:textAlignment w:val="bottom"/>
            </w:pPr>
            <w:r>
              <w:rPr>
                <w:rFonts w:ascii="Arial" w:eastAsia="宋体" w:hAnsi="Arial" w:cs="Arial"/>
                <w:color w:val="000000"/>
                <w:sz w:val="18"/>
                <w:szCs w:val="18"/>
              </w:rPr>
              <w:t>801 </w:t>
            </w:r>
          </w:p>
        </w:tc>
        <w:tc>
          <w:tcPr>
            <w:tcW w:w="0" w:type="auto"/>
            <w:shd w:val="clear" w:color="auto" w:fill="CCEEFF"/>
            <w:tcMar>
              <w:top w:w="40" w:type="dxa"/>
              <w:left w:w="0" w:type="dxa"/>
              <w:bottom w:w="40" w:type="dxa"/>
              <w:right w:w="20" w:type="dxa"/>
            </w:tcMar>
            <w:vAlign w:val="bottom"/>
          </w:tcPr>
          <w:p w14:paraId="5902A3D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D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D4" w14:textId="77777777" w:rsidR="0084406A" w:rsidRDefault="002B18AF">
            <w:pPr>
              <w:jc w:val="right"/>
              <w:textAlignment w:val="bottom"/>
            </w:pPr>
            <w:r>
              <w:rPr>
                <w:rFonts w:ascii="Arial" w:eastAsia="宋体" w:hAnsi="Arial" w:cs="Arial"/>
                <w:color w:val="000000"/>
                <w:sz w:val="18"/>
                <w:szCs w:val="18"/>
              </w:rPr>
              <w:t>(513)</w:t>
            </w:r>
          </w:p>
        </w:tc>
        <w:tc>
          <w:tcPr>
            <w:tcW w:w="0" w:type="auto"/>
            <w:shd w:val="clear" w:color="auto" w:fill="CCEEFF"/>
            <w:tcMar>
              <w:top w:w="40" w:type="dxa"/>
              <w:left w:w="0" w:type="dxa"/>
              <w:bottom w:w="40" w:type="dxa"/>
              <w:right w:w="20" w:type="dxa"/>
            </w:tcMar>
            <w:vAlign w:val="bottom"/>
          </w:tcPr>
          <w:p w14:paraId="5902A3D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D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D7" w14:textId="77777777" w:rsidR="0084406A" w:rsidRDefault="002B18AF">
            <w:pPr>
              <w:jc w:val="right"/>
              <w:textAlignment w:val="bottom"/>
            </w:pPr>
            <w:r>
              <w:rPr>
                <w:rFonts w:ascii="Arial" w:eastAsia="宋体" w:hAnsi="Arial" w:cs="Arial"/>
                <w:color w:val="000000"/>
                <w:sz w:val="18"/>
                <w:szCs w:val="18"/>
              </w:rPr>
              <w:t>153 </w:t>
            </w:r>
          </w:p>
        </w:tc>
        <w:tc>
          <w:tcPr>
            <w:tcW w:w="0" w:type="auto"/>
            <w:shd w:val="clear" w:color="auto" w:fill="CCEEFF"/>
            <w:tcMar>
              <w:top w:w="40" w:type="dxa"/>
              <w:left w:w="0" w:type="dxa"/>
              <w:bottom w:w="40" w:type="dxa"/>
              <w:right w:w="20" w:type="dxa"/>
            </w:tcMar>
            <w:vAlign w:val="bottom"/>
          </w:tcPr>
          <w:p w14:paraId="5902A3D8" w14:textId="77777777" w:rsidR="0084406A" w:rsidRDefault="0084406A">
            <w:pPr>
              <w:jc w:val="right"/>
              <w:rPr>
                <w:rFonts w:ascii="宋体"/>
              </w:rPr>
            </w:pPr>
          </w:p>
        </w:tc>
      </w:tr>
      <w:tr w:rsidR="0084406A" w14:paraId="5902A3E3" w14:textId="77777777">
        <w:trPr>
          <w:jc w:val="center"/>
        </w:trPr>
        <w:tc>
          <w:tcPr>
            <w:tcW w:w="0" w:type="auto"/>
            <w:gridSpan w:val="3"/>
            <w:shd w:val="clear" w:color="auto" w:fill="FFFFFF"/>
            <w:tcMar>
              <w:top w:w="40" w:type="dxa"/>
              <w:left w:w="605" w:type="dxa"/>
              <w:bottom w:w="40" w:type="dxa"/>
              <w:right w:w="20" w:type="dxa"/>
            </w:tcMar>
            <w:vAlign w:val="bottom"/>
          </w:tcPr>
          <w:p w14:paraId="5902A3DA" w14:textId="77777777" w:rsidR="0084406A" w:rsidRDefault="002B18AF">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5902A3DB" w14:textId="77777777" w:rsidR="0084406A" w:rsidRDefault="002B18AF">
            <w:pPr>
              <w:jc w:val="right"/>
              <w:textAlignment w:val="bottom"/>
            </w:pPr>
            <w:r>
              <w:rPr>
                <w:rFonts w:ascii="Arial" w:eastAsia="宋体" w:hAnsi="Arial" w:cs="Arial"/>
                <w:color w:val="000000"/>
                <w:sz w:val="18"/>
                <w:szCs w:val="18"/>
              </w:rPr>
              <w:t>526 </w:t>
            </w:r>
          </w:p>
        </w:tc>
        <w:tc>
          <w:tcPr>
            <w:tcW w:w="0" w:type="auto"/>
            <w:shd w:val="clear" w:color="auto" w:fill="FFFFFF"/>
            <w:tcMar>
              <w:top w:w="40" w:type="dxa"/>
              <w:left w:w="0" w:type="dxa"/>
              <w:bottom w:w="40" w:type="dxa"/>
              <w:right w:w="20" w:type="dxa"/>
            </w:tcMar>
            <w:vAlign w:val="bottom"/>
          </w:tcPr>
          <w:p w14:paraId="5902A3D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D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DE" w14:textId="77777777" w:rsidR="0084406A" w:rsidRDefault="002B18AF">
            <w:pPr>
              <w:jc w:val="right"/>
              <w:textAlignment w:val="bottom"/>
            </w:pPr>
            <w:r>
              <w:rPr>
                <w:rFonts w:ascii="Arial" w:eastAsia="宋体" w:hAnsi="Arial" w:cs="Arial"/>
                <w:color w:val="000000"/>
                <w:sz w:val="18"/>
                <w:szCs w:val="18"/>
              </w:rPr>
              <w:t>574 </w:t>
            </w:r>
          </w:p>
        </w:tc>
        <w:tc>
          <w:tcPr>
            <w:tcW w:w="0" w:type="auto"/>
            <w:shd w:val="clear" w:color="auto" w:fill="FFFFFF"/>
            <w:tcMar>
              <w:top w:w="40" w:type="dxa"/>
              <w:left w:w="0" w:type="dxa"/>
              <w:bottom w:w="40" w:type="dxa"/>
              <w:right w:w="20" w:type="dxa"/>
            </w:tcMar>
            <w:vAlign w:val="bottom"/>
          </w:tcPr>
          <w:p w14:paraId="5902A3D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3E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3E1" w14:textId="77777777" w:rsidR="0084406A" w:rsidRDefault="002B18AF">
            <w:pPr>
              <w:jc w:val="right"/>
              <w:textAlignment w:val="bottom"/>
            </w:pPr>
            <w:r>
              <w:rPr>
                <w:rFonts w:ascii="Arial" w:eastAsia="宋体" w:hAnsi="Arial" w:cs="Arial"/>
                <w:color w:val="000000"/>
                <w:sz w:val="18"/>
                <w:szCs w:val="18"/>
              </w:rPr>
              <w:t>220 </w:t>
            </w:r>
          </w:p>
        </w:tc>
        <w:tc>
          <w:tcPr>
            <w:tcW w:w="0" w:type="auto"/>
            <w:shd w:val="clear" w:color="auto" w:fill="FFFFFF"/>
            <w:tcMar>
              <w:top w:w="40" w:type="dxa"/>
              <w:left w:w="0" w:type="dxa"/>
              <w:bottom w:w="40" w:type="dxa"/>
              <w:right w:w="20" w:type="dxa"/>
            </w:tcMar>
            <w:vAlign w:val="bottom"/>
          </w:tcPr>
          <w:p w14:paraId="5902A3E2" w14:textId="77777777" w:rsidR="0084406A" w:rsidRDefault="0084406A">
            <w:pPr>
              <w:jc w:val="right"/>
              <w:rPr>
                <w:rFonts w:ascii="宋体"/>
              </w:rPr>
            </w:pPr>
          </w:p>
        </w:tc>
      </w:tr>
      <w:tr w:rsidR="0084406A" w14:paraId="5902A3ED" w14:textId="77777777">
        <w:trPr>
          <w:jc w:val="center"/>
        </w:trPr>
        <w:tc>
          <w:tcPr>
            <w:tcW w:w="0" w:type="auto"/>
            <w:gridSpan w:val="3"/>
            <w:shd w:val="clear" w:color="auto" w:fill="CCEEFF"/>
            <w:tcMar>
              <w:top w:w="40" w:type="dxa"/>
              <w:left w:w="20" w:type="dxa"/>
              <w:bottom w:w="40" w:type="dxa"/>
              <w:right w:w="20" w:type="dxa"/>
            </w:tcMar>
            <w:vAlign w:val="bottom"/>
          </w:tcPr>
          <w:p w14:paraId="5902A3E4" w14:textId="77777777" w:rsidR="0084406A" w:rsidRDefault="002B18AF">
            <w:pPr>
              <w:textAlignment w:val="bottom"/>
            </w:pPr>
            <w:r>
              <w:rPr>
                <w:rFonts w:ascii="Arial" w:eastAsia="宋体" w:hAnsi="Arial" w:cs="Arial"/>
                <w:color w:val="000000"/>
                <w:sz w:val="18"/>
                <w:szCs w:val="18"/>
              </w:rPr>
              <w:t xml:space="preserve">Net cash </w:t>
            </w:r>
            <w:r>
              <w:rPr>
                <w:rFonts w:ascii="Arial" w:eastAsia="宋体" w:hAnsi="Arial" w:cs="Arial"/>
                <w:color w:val="000000"/>
                <w:sz w:val="18"/>
                <w:szCs w:val="18"/>
              </w:rPr>
              <w:t>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3E5" w14:textId="77777777" w:rsidR="0084406A" w:rsidRDefault="002B18AF">
            <w:pPr>
              <w:jc w:val="right"/>
              <w:textAlignment w:val="bottom"/>
            </w:pPr>
            <w:r>
              <w:rPr>
                <w:rFonts w:ascii="Arial" w:eastAsia="宋体" w:hAnsi="Arial" w:cs="Arial"/>
                <w:color w:val="000000"/>
                <w:sz w:val="18"/>
                <w:szCs w:val="18"/>
              </w:rPr>
              <w:t>3,521 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3E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E7"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3E8" w14:textId="77777777" w:rsidR="0084406A" w:rsidRDefault="002B18AF">
            <w:pPr>
              <w:jc w:val="right"/>
              <w:textAlignment w:val="bottom"/>
            </w:pPr>
            <w:r>
              <w:rPr>
                <w:rFonts w:ascii="Arial" w:eastAsia="宋体" w:hAnsi="Arial" w:cs="Arial"/>
                <w:color w:val="000000"/>
                <w:sz w:val="18"/>
                <w:szCs w:val="18"/>
              </w:rPr>
              <w:t>1,071 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3E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EA"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3EB" w14:textId="77777777" w:rsidR="0084406A" w:rsidRDefault="002B18AF">
            <w:pPr>
              <w:jc w:val="right"/>
              <w:textAlignment w:val="bottom"/>
            </w:pPr>
            <w:r>
              <w:rPr>
                <w:rFonts w:ascii="Arial" w:eastAsia="宋体" w:hAnsi="Arial" w:cs="Arial"/>
                <w:color w:val="000000"/>
                <w:sz w:val="18"/>
                <w:szCs w:val="18"/>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3EC" w14:textId="77777777" w:rsidR="0084406A" w:rsidRDefault="0084406A">
            <w:pPr>
              <w:jc w:val="right"/>
              <w:rPr>
                <w:rFonts w:ascii="宋体"/>
              </w:rPr>
            </w:pPr>
          </w:p>
        </w:tc>
      </w:tr>
      <w:tr w:rsidR="0084406A" w14:paraId="5902A3F4" w14:textId="77777777">
        <w:trPr>
          <w:jc w:val="center"/>
        </w:trPr>
        <w:tc>
          <w:tcPr>
            <w:tcW w:w="0" w:type="auto"/>
            <w:gridSpan w:val="3"/>
            <w:shd w:val="clear" w:color="auto" w:fill="FFFFFF"/>
            <w:tcMar>
              <w:top w:w="40" w:type="dxa"/>
              <w:left w:w="20" w:type="dxa"/>
              <w:bottom w:w="40" w:type="dxa"/>
              <w:right w:w="20" w:type="dxa"/>
            </w:tcMar>
            <w:vAlign w:val="bottom"/>
          </w:tcPr>
          <w:p w14:paraId="5902A3EE" w14:textId="77777777" w:rsidR="0084406A" w:rsidRDefault="002B18AF">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3E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3F0"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3F1"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3F2" w14:textId="77777777" w:rsidR="0084406A" w:rsidRDefault="0084406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902A3F3" w14:textId="77777777" w:rsidR="0084406A" w:rsidRDefault="0084406A">
            <w:pPr>
              <w:rPr>
                <w:rFonts w:ascii="宋体"/>
              </w:rPr>
            </w:pPr>
          </w:p>
        </w:tc>
      </w:tr>
      <w:tr w:rsidR="0084406A" w14:paraId="5902A3FE" w14:textId="77777777">
        <w:trPr>
          <w:jc w:val="center"/>
        </w:trPr>
        <w:tc>
          <w:tcPr>
            <w:tcW w:w="0" w:type="auto"/>
            <w:gridSpan w:val="3"/>
            <w:shd w:val="clear" w:color="auto" w:fill="CCEEFF"/>
            <w:tcMar>
              <w:top w:w="40" w:type="dxa"/>
              <w:left w:w="245" w:type="dxa"/>
              <w:bottom w:w="40" w:type="dxa"/>
              <w:right w:w="20" w:type="dxa"/>
            </w:tcMar>
            <w:vAlign w:val="bottom"/>
          </w:tcPr>
          <w:p w14:paraId="5902A3F5" w14:textId="77777777" w:rsidR="0084406A" w:rsidRDefault="002B18AF">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5902A3F6" w14:textId="77777777" w:rsidR="0084406A" w:rsidRDefault="002B18AF">
            <w:pPr>
              <w:jc w:val="right"/>
              <w:textAlignment w:val="bottom"/>
            </w:pPr>
            <w:r>
              <w:rPr>
                <w:rFonts w:ascii="Arial" w:eastAsia="宋体" w:hAnsi="Arial" w:cs="Arial"/>
                <w:color w:val="000000"/>
                <w:sz w:val="18"/>
                <w:szCs w:val="18"/>
              </w:rPr>
              <w:t>(301)</w:t>
            </w:r>
          </w:p>
        </w:tc>
        <w:tc>
          <w:tcPr>
            <w:tcW w:w="0" w:type="auto"/>
            <w:shd w:val="clear" w:color="auto" w:fill="CCEEFF"/>
            <w:tcMar>
              <w:top w:w="40" w:type="dxa"/>
              <w:left w:w="0" w:type="dxa"/>
              <w:bottom w:w="40" w:type="dxa"/>
              <w:right w:w="20" w:type="dxa"/>
            </w:tcMar>
            <w:vAlign w:val="bottom"/>
          </w:tcPr>
          <w:p w14:paraId="5902A3F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F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F9" w14:textId="77777777" w:rsidR="0084406A" w:rsidRDefault="002B18AF">
            <w:pPr>
              <w:jc w:val="right"/>
              <w:textAlignment w:val="bottom"/>
            </w:pPr>
            <w:r>
              <w:rPr>
                <w:rFonts w:ascii="Arial" w:eastAsia="宋体" w:hAnsi="Arial" w:cs="Arial"/>
                <w:color w:val="000000"/>
                <w:sz w:val="18"/>
                <w:szCs w:val="18"/>
              </w:rPr>
              <w:t>(294)</w:t>
            </w:r>
          </w:p>
        </w:tc>
        <w:tc>
          <w:tcPr>
            <w:tcW w:w="0" w:type="auto"/>
            <w:shd w:val="clear" w:color="auto" w:fill="CCEEFF"/>
            <w:tcMar>
              <w:top w:w="40" w:type="dxa"/>
              <w:left w:w="0" w:type="dxa"/>
              <w:bottom w:w="40" w:type="dxa"/>
              <w:right w:w="20" w:type="dxa"/>
            </w:tcMar>
            <w:vAlign w:val="bottom"/>
          </w:tcPr>
          <w:p w14:paraId="5902A3F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3F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3FC" w14:textId="77777777" w:rsidR="0084406A" w:rsidRDefault="002B18AF">
            <w:pPr>
              <w:jc w:val="right"/>
              <w:textAlignment w:val="bottom"/>
            </w:pPr>
            <w:r>
              <w:rPr>
                <w:rFonts w:ascii="Arial" w:eastAsia="宋体" w:hAnsi="Arial" w:cs="Arial"/>
                <w:color w:val="000000"/>
                <w:sz w:val="18"/>
                <w:szCs w:val="18"/>
              </w:rPr>
              <w:t>(217)</w:t>
            </w:r>
          </w:p>
        </w:tc>
        <w:tc>
          <w:tcPr>
            <w:tcW w:w="0" w:type="auto"/>
            <w:shd w:val="clear" w:color="auto" w:fill="CCEEFF"/>
            <w:tcMar>
              <w:top w:w="40" w:type="dxa"/>
              <w:left w:w="0" w:type="dxa"/>
              <w:bottom w:w="40" w:type="dxa"/>
              <w:right w:w="20" w:type="dxa"/>
            </w:tcMar>
            <w:vAlign w:val="bottom"/>
          </w:tcPr>
          <w:p w14:paraId="5902A3FD" w14:textId="77777777" w:rsidR="0084406A" w:rsidRDefault="0084406A">
            <w:pPr>
              <w:jc w:val="right"/>
              <w:rPr>
                <w:rFonts w:ascii="宋体"/>
              </w:rPr>
            </w:pPr>
          </w:p>
        </w:tc>
      </w:tr>
      <w:tr w:rsidR="0084406A" w14:paraId="5902A408" w14:textId="77777777">
        <w:trPr>
          <w:jc w:val="center"/>
        </w:trPr>
        <w:tc>
          <w:tcPr>
            <w:tcW w:w="0" w:type="auto"/>
            <w:gridSpan w:val="3"/>
            <w:shd w:val="clear" w:color="auto" w:fill="FFFFFF"/>
            <w:tcMar>
              <w:top w:w="40" w:type="dxa"/>
              <w:left w:w="245" w:type="dxa"/>
              <w:bottom w:w="40" w:type="dxa"/>
              <w:right w:w="20" w:type="dxa"/>
            </w:tcMar>
            <w:vAlign w:val="bottom"/>
          </w:tcPr>
          <w:p w14:paraId="5902A3FF" w14:textId="77777777" w:rsidR="0084406A" w:rsidRDefault="002B18AF">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vAlign w:val="bottom"/>
          </w:tcPr>
          <w:p w14:paraId="5902A400" w14:textId="77777777" w:rsidR="0084406A" w:rsidRDefault="002B18AF">
            <w:pPr>
              <w:jc w:val="right"/>
              <w:textAlignment w:val="bottom"/>
            </w:pPr>
            <w:r>
              <w:rPr>
                <w:rFonts w:ascii="Arial" w:eastAsia="宋体" w:hAnsi="Arial" w:cs="Arial"/>
                <w:color w:val="000000"/>
                <w:sz w:val="18"/>
                <w:szCs w:val="18"/>
              </w:rPr>
              <w:t>(2,056)</w:t>
            </w:r>
          </w:p>
        </w:tc>
        <w:tc>
          <w:tcPr>
            <w:tcW w:w="0" w:type="auto"/>
            <w:shd w:val="clear" w:color="auto" w:fill="FFFFFF"/>
            <w:tcMar>
              <w:top w:w="40" w:type="dxa"/>
              <w:left w:w="0" w:type="dxa"/>
              <w:bottom w:w="40" w:type="dxa"/>
              <w:right w:w="20" w:type="dxa"/>
            </w:tcMar>
            <w:vAlign w:val="bottom"/>
          </w:tcPr>
          <w:p w14:paraId="5902A40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0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03" w14:textId="77777777" w:rsidR="0084406A" w:rsidRDefault="002B18AF">
            <w:pPr>
              <w:jc w:val="right"/>
              <w:textAlignment w:val="bottom"/>
            </w:pPr>
            <w:r>
              <w:rPr>
                <w:rFonts w:ascii="Arial" w:eastAsia="宋体" w:hAnsi="Arial" w:cs="Arial"/>
                <w:color w:val="000000"/>
                <w:sz w:val="18"/>
                <w:szCs w:val="18"/>
              </w:rPr>
              <w:t>(850)</w:t>
            </w:r>
          </w:p>
        </w:tc>
        <w:tc>
          <w:tcPr>
            <w:tcW w:w="0" w:type="auto"/>
            <w:shd w:val="clear" w:color="auto" w:fill="FFFFFF"/>
            <w:tcMar>
              <w:top w:w="40" w:type="dxa"/>
              <w:left w:w="0" w:type="dxa"/>
              <w:bottom w:w="40" w:type="dxa"/>
              <w:right w:w="20" w:type="dxa"/>
            </w:tcMar>
            <w:vAlign w:val="bottom"/>
          </w:tcPr>
          <w:p w14:paraId="5902A40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0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06" w14:textId="77777777" w:rsidR="0084406A" w:rsidRDefault="002B18AF">
            <w:pPr>
              <w:jc w:val="right"/>
              <w:textAlignment w:val="bottom"/>
            </w:pPr>
            <w:r>
              <w:rPr>
                <w:rFonts w:ascii="Arial" w:eastAsia="宋体" w:hAnsi="Arial" w:cs="Arial"/>
                <w:color w:val="000000"/>
                <w:sz w:val="18"/>
                <w:szCs w:val="18"/>
              </w:rPr>
              <w:t>(284)</w:t>
            </w:r>
          </w:p>
        </w:tc>
        <w:tc>
          <w:tcPr>
            <w:tcW w:w="0" w:type="auto"/>
            <w:shd w:val="clear" w:color="auto" w:fill="FFFFFF"/>
            <w:tcMar>
              <w:top w:w="40" w:type="dxa"/>
              <w:left w:w="0" w:type="dxa"/>
              <w:bottom w:w="40" w:type="dxa"/>
              <w:right w:w="20" w:type="dxa"/>
            </w:tcMar>
            <w:vAlign w:val="bottom"/>
          </w:tcPr>
          <w:p w14:paraId="5902A407" w14:textId="77777777" w:rsidR="0084406A" w:rsidRDefault="0084406A">
            <w:pPr>
              <w:jc w:val="right"/>
              <w:rPr>
                <w:rFonts w:ascii="宋体"/>
              </w:rPr>
            </w:pPr>
          </w:p>
        </w:tc>
      </w:tr>
      <w:tr w:rsidR="0084406A" w14:paraId="5902A412" w14:textId="77777777">
        <w:trPr>
          <w:jc w:val="center"/>
        </w:trPr>
        <w:tc>
          <w:tcPr>
            <w:tcW w:w="0" w:type="auto"/>
            <w:gridSpan w:val="3"/>
            <w:shd w:val="clear" w:color="auto" w:fill="CCEEFF"/>
            <w:tcMar>
              <w:top w:w="40" w:type="dxa"/>
              <w:left w:w="245" w:type="dxa"/>
              <w:bottom w:w="40" w:type="dxa"/>
              <w:right w:w="20" w:type="dxa"/>
            </w:tcMar>
            <w:vAlign w:val="bottom"/>
          </w:tcPr>
          <w:p w14:paraId="5902A409" w14:textId="77777777" w:rsidR="0084406A" w:rsidRDefault="002B18AF">
            <w:pPr>
              <w:textAlignment w:val="bottom"/>
            </w:pPr>
            <w:r>
              <w:rPr>
                <w:rFonts w:ascii="Arial" w:eastAsia="宋体" w:hAnsi="Arial" w:cs="Arial"/>
                <w:color w:val="000000"/>
                <w:sz w:val="18"/>
                <w:szCs w:val="18"/>
              </w:rPr>
              <w:t xml:space="preserve">Proceeds from maturity of </w:t>
            </w:r>
            <w:r>
              <w:rPr>
                <w:rFonts w:ascii="Arial" w:eastAsia="宋体" w:hAnsi="Arial" w:cs="Arial"/>
                <w:color w:val="000000"/>
                <w:sz w:val="18"/>
                <w:szCs w:val="18"/>
              </w:rPr>
              <w:t>short-term investments</w:t>
            </w:r>
          </w:p>
        </w:tc>
        <w:tc>
          <w:tcPr>
            <w:tcW w:w="0" w:type="auto"/>
            <w:gridSpan w:val="2"/>
            <w:shd w:val="clear" w:color="auto" w:fill="CCEEFF"/>
            <w:tcMar>
              <w:top w:w="40" w:type="dxa"/>
              <w:left w:w="20" w:type="dxa"/>
              <w:bottom w:w="40" w:type="dxa"/>
              <w:right w:w="0" w:type="dxa"/>
            </w:tcMar>
            <w:vAlign w:val="bottom"/>
          </w:tcPr>
          <w:p w14:paraId="5902A40A" w14:textId="77777777" w:rsidR="0084406A" w:rsidRDefault="002B18AF">
            <w:pPr>
              <w:jc w:val="right"/>
              <w:textAlignment w:val="bottom"/>
            </w:pPr>
            <w:r>
              <w:rPr>
                <w:rFonts w:ascii="Arial" w:eastAsia="宋体" w:hAnsi="Arial" w:cs="Arial"/>
                <w:color w:val="000000"/>
                <w:sz w:val="18"/>
                <w:szCs w:val="18"/>
              </w:rPr>
              <w:t>1,678 </w:t>
            </w:r>
          </w:p>
        </w:tc>
        <w:tc>
          <w:tcPr>
            <w:tcW w:w="0" w:type="auto"/>
            <w:shd w:val="clear" w:color="auto" w:fill="CCEEFF"/>
            <w:tcMar>
              <w:top w:w="40" w:type="dxa"/>
              <w:left w:w="0" w:type="dxa"/>
              <w:bottom w:w="40" w:type="dxa"/>
              <w:right w:w="20" w:type="dxa"/>
            </w:tcMar>
            <w:vAlign w:val="bottom"/>
          </w:tcPr>
          <w:p w14:paraId="5902A40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0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0D" w14:textId="77777777" w:rsidR="0084406A" w:rsidRDefault="002B18AF">
            <w:pPr>
              <w:jc w:val="right"/>
              <w:textAlignment w:val="bottom"/>
            </w:pPr>
            <w:r>
              <w:rPr>
                <w:rFonts w:ascii="Arial" w:eastAsia="宋体" w:hAnsi="Arial" w:cs="Arial"/>
                <w:color w:val="000000"/>
                <w:sz w:val="18"/>
                <w:szCs w:val="18"/>
              </w:rPr>
              <w:t>192 </w:t>
            </w:r>
          </w:p>
        </w:tc>
        <w:tc>
          <w:tcPr>
            <w:tcW w:w="0" w:type="auto"/>
            <w:shd w:val="clear" w:color="auto" w:fill="CCEEFF"/>
            <w:tcMar>
              <w:top w:w="40" w:type="dxa"/>
              <w:left w:w="0" w:type="dxa"/>
              <w:bottom w:w="40" w:type="dxa"/>
              <w:right w:w="20" w:type="dxa"/>
            </w:tcMar>
            <w:vAlign w:val="bottom"/>
          </w:tcPr>
          <w:p w14:paraId="5902A40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0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10" w14:textId="77777777" w:rsidR="0084406A" w:rsidRDefault="002B18AF">
            <w:pPr>
              <w:jc w:val="right"/>
              <w:textAlignment w:val="bottom"/>
            </w:pPr>
            <w:r>
              <w:rPr>
                <w:rFonts w:ascii="Arial" w:eastAsia="宋体" w:hAnsi="Arial" w:cs="Arial"/>
                <w:color w:val="000000"/>
                <w:sz w:val="18"/>
                <w:szCs w:val="18"/>
              </w:rPr>
              <w:t>325 </w:t>
            </w:r>
          </w:p>
        </w:tc>
        <w:tc>
          <w:tcPr>
            <w:tcW w:w="0" w:type="auto"/>
            <w:shd w:val="clear" w:color="auto" w:fill="CCEEFF"/>
            <w:tcMar>
              <w:top w:w="40" w:type="dxa"/>
              <w:left w:w="0" w:type="dxa"/>
              <w:bottom w:w="40" w:type="dxa"/>
              <w:right w:w="20" w:type="dxa"/>
            </w:tcMar>
            <w:vAlign w:val="bottom"/>
          </w:tcPr>
          <w:p w14:paraId="5902A411" w14:textId="77777777" w:rsidR="0084406A" w:rsidRDefault="0084406A">
            <w:pPr>
              <w:jc w:val="right"/>
              <w:rPr>
                <w:rFonts w:ascii="宋体"/>
              </w:rPr>
            </w:pPr>
          </w:p>
        </w:tc>
      </w:tr>
      <w:tr w:rsidR="0084406A" w14:paraId="5902A41C" w14:textId="77777777">
        <w:trPr>
          <w:jc w:val="center"/>
        </w:trPr>
        <w:tc>
          <w:tcPr>
            <w:tcW w:w="0" w:type="auto"/>
            <w:gridSpan w:val="3"/>
            <w:shd w:val="clear" w:color="auto" w:fill="FFFFFF"/>
            <w:tcMar>
              <w:top w:w="40" w:type="dxa"/>
              <w:left w:w="245" w:type="dxa"/>
              <w:bottom w:w="40" w:type="dxa"/>
              <w:right w:w="20" w:type="dxa"/>
            </w:tcMar>
            <w:vAlign w:val="bottom"/>
          </w:tcPr>
          <w:p w14:paraId="5902A413" w14:textId="77777777" w:rsidR="0084406A" w:rsidRDefault="002B18AF">
            <w:pPr>
              <w:textAlignment w:val="bottom"/>
            </w:pPr>
            <w:r>
              <w:rPr>
                <w:rFonts w:ascii="Arial" w:eastAsia="宋体" w:hAnsi="Arial" w:cs="Arial"/>
                <w:color w:val="000000"/>
                <w:sz w:val="18"/>
                <w:szCs w:val="18"/>
              </w:rPr>
              <w:t>Collection of deferred proceeds on sale of receivables</w:t>
            </w:r>
          </w:p>
        </w:tc>
        <w:tc>
          <w:tcPr>
            <w:tcW w:w="0" w:type="auto"/>
            <w:gridSpan w:val="2"/>
            <w:shd w:val="clear" w:color="auto" w:fill="FFFFFF"/>
            <w:tcMar>
              <w:top w:w="40" w:type="dxa"/>
              <w:left w:w="20" w:type="dxa"/>
              <w:bottom w:w="40" w:type="dxa"/>
              <w:right w:w="0" w:type="dxa"/>
            </w:tcMar>
            <w:vAlign w:val="bottom"/>
          </w:tcPr>
          <w:p w14:paraId="5902A414"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1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1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17"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1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1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1A" w14:textId="77777777" w:rsidR="0084406A" w:rsidRDefault="002B18AF">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5902A41B" w14:textId="77777777" w:rsidR="0084406A" w:rsidRDefault="0084406A">
            <w:pPr>
              <w:jc w:val="right"/>
              <w:rPr>
                <w:rFonts w:ascii="宋体"/>
              </w:rPr>
            </w:pPr>
          </w:p>
        </w:tc>
      </w:tr>
      <w:tr w:rsidR="0084406A" w14:paraId="5902A426" w14:textId="77777777">
        <w:trPr>
          <w:jc w:val="center"/>
        </w:trPr>
        <w:tc>
          <w:tcPr>
            <w:tcW w:w="0" w:type="auto"/>
            <w:gridSpan w:val="3"/>
            <w:shd w:val="clear" w:color="auto" w:fill="CCEEFF"/>
            <w:tcMar>
              <w:top w:w="40" w:type="dxa"/>
              <w:left w:w="245" w:type="dxa"/>
              <w:bottom w:w="40" w:type="dxa"/>
              <w:right w:w="20" w:type="dxa"/>
            </w:tcMar>
            <w:vAlign w:val="bottom"/>
          </w:tcPr>
          <w:p w14:paraId="5902A41D" w14:textId="77777777" w:rsidR="0084406A" w:rsidRDefault="002B18AF">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5902A41E" w14:textId="77777777" w:rsidR="0084406A" w:rsidRDefault="002B18AF">
            <w:pPr>
              <w:jc w:val="right"/>
              <w:textAlignment w:val="bottom"/>
            </w:pPr>
            <w:r>
              <w:rPr>
                <w:rFonts w:ascii="Arial" w:eastAsia="宋体" w:hAnsi="Arial" w:cs="Arial"/>
                <w:color w:val="000000"/>
                <w:sz w:val="18"/>
                <w:szCs w:val="18"/>
              </w:rPr>
              <w:t>(7)</w:t>
            </w:r>
          </w:p>
        </w:tc>
        <w:tc>
          <w:tcPr>
            <w:tcW w:w="0" w:type="auto"/>
            <w:shd w:val="clear" w:color="auto" w:fill="CCEEFF"/>
            <w:tcMar>
              <w:top w:w="40" w:type="dxa"/>
              <w:left w:w="0" w:type="dxa"/>
              <w:bottom w:w="40" w:type="dxa"/>
              <w:right w:w="20" w:type="dxa"/>
            </w:tcMar>
            <w:vAlign w:val="bottom"/>
          </w:tcPr>
          <w:p w14:paraId="5902A41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2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21"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902A42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2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24" w14:textId="77777777" w:rsidR="0084406A" w:rsidRDefault="002B18AF">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5902A425" w14:textId="77777777" w:rsidR="0084406A" w:rsidRDefault="0084406A">
            <w:pPr>
              <w:jc w:val="right"/>
              <w:rPr>
                <w:rFonts w:ascii="宋体"/>
              </w:rPr>
            </w:pPr>
          </w:p>
        </w:tc>
      </w:tr>
      <w:tr w:rsidR="0084406A" w14:paraId="5902A430" w14:textId="77777777">
        <w:trPr>
          <w:jc w:val="center"/>
        </w:trPr>
        <w:tc>
          <w:tcPr>
            <w:tcW w:w="0" w:type="auto"/>
            <w:gridSpan w:val="3"/>
            <w:shd w:val="clear" w:color="auto" w:fill="FFFFFF"/>
            <w:tcMar>
              <w:top w:w="40" w:type="dxa"/>
              <w:left w:w="20" w:type="dxa"/>
              <w:bottom w:w="40" w:type="dxa"/>
              <w:right w:w="20" w:type="dxa"/>
            </w:tcMar>
            <w:vAlign w:val="bottom"/>
          </w:tcPr>
          <w:p w14:paraId="5902A427" w14:textId="77777777" w:rsidR="0084406A" w:rsidRDefault="002B18AF">
            <w:pPr>
              <w:textAlignment w:val="bottom"/>
            </w:pPr>
            <w:r>
              <w:rPr>
                <w:rFonts w:ascii="Arial" w:eastAsia="宋体" w:hAnsi="Arial" w:cs="Arial"/>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28" w14:textId="77777777" w:rsidR="0084406A" w:rsidRDefault="002B18AF">
            <w:pPr>
              <w:jc w:val="right"/>
              <w:textAlignment w:val="bottom"/>
            </w:pPr>
            <w:r>
              <w:rPr>
                <w:rFonts w:ascii="Arial" w:eastAsia="宋体" w:hAnsi="Arial" w:cs="Arial"/>
                <w:color w:val="000000"/>
                <w:sz w:val="18"/>
                <w:szCs w:val="18"/>
              </w:rPr>
              <w:t>(686)</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2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2A"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2B" w14:textId="77777777" w:rsidR="0084406A" w:rsidRDefault="002B18AF">
            <w:pPr>
              <w:jc w:val="right"/>
              <w:textAlignment w:val="bottom"/>
            </w:pPr>
            <w:r>
              <w:rPr>
                <w:rFonts w:ascii="Arial" w:eastAsia="宋体" w:hAnsi="Arial" w:cs="Arial"/>
                <w:color w:val="000000"/>
                <w:sz w:val="18"/>
                <w:szCs w:val="18"/>
              </w:rPr>
              <w:t>(952)</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2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2D"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2E" w14:textId="77777777" w:rsidR="0084406A" w:rsidRDefault="002B18AF">
            <w:pPr>
              <w:jc w:val="right"/>
              <w:textAlignment w:val="bottom"/>
            </w:pPr>
            <w:r>
              <w:rPr>
                <w:rFonts w:ascii="Arial" w:eastAsia="宋体" w:hAnsi="Arial" w:cs="Arial"/>
                <w:color w:val="000000"/>
                <w:sz w:val="18"/>
                <w:szCs w:val="18"/>
              </w:rPr>
              <w:t>(149)</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2F" w14:textId="77777777" w:rsidR="0084406A" w:rsidRDefault="0084406A">
            <w:pPr>
              <w:jc w:val="right"/>
              <w:rPr>
                <w:rFonts w:ascii="宋体"/>
              </w:rPr>
            </w:pPr>
          </w:p>
        </w:tc>
      </w:tr>
      <w:tr w:rsidR="0084406A" w14:paraId="5902A437" w14:textId="77777777">
        <w:trPr>
          <w:jc w:val="center"/>
        </w:trPr>
        <w:tc>
          <w:tcPr>
            <w:tcW w:w="0" w:type="auto"/>
            <w:gridSpan w:val="3"/>
            <w:shd w:val="clear" w:color="auto" w:fill="CCEEFF"/>
            <w:tcMar>
              <w:top w:w="40" w:type="dxa"/>
              <w:left w:w="20" w:type="dxa"/>
              <w:bottom w:w="40" w:type="dxa"/>
              <w:right w:w="20" w:type="dxa"/>
            </w:tcMar>
            <w:vAlign w:val="bottom"/>
          </w:tcPr>
          <w:p w14:paraId="5902A431" w14:textId="77777777" w:rsidR="0084406A" w:rsidRDefault="002B18AF">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43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433"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43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435"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436" w14:textId="77777777" w:rsidR="0084406A" w:rsidRDefault="0084406A">
            <w:pPr>
              <w:rPr>
                <w:rFonts w:ascii="宋体"/>
              </w:rPr>
            </w:pPr>
          </w:p>
        </w:tc>
      </w:tr>
      <w:tr w:rsidR="0084406A" w14:paraId="5902A441" w14:textId="77777777">
        <w:trPr>
          <w:jc w:val="center"/>
        </w:trPr>
        <w:tc>
          <w:tcPr>
            <w:tcW w:w="0" w:type="auto"/>
            <w:gridSpan w:val="3"/>
            <w:shd w:val="clear" w:color="auto" w:fill="FFFFFF"/>
            <w:tcMar>
              <w:top w:w="40" w:type="dxa"/>
              <w:left w:w="245" w:type="dxa"/>
              <w:bottom w:w="40" w:type="dxa"/>
              <w:right w:w="20" w:type="dxa"/>
            </w:tcMar>
            <w:vAlign w:val="bottom"/>
          </w:tcPr>
          <w:p w14:paraId="5902A438" w14:textId="77777777" w:rsidR="0084406A" w:rsidRDefault="002B18AF">
            <w:pPr>
              <w:textAlignment w:val="bottom"/>
            </w:pPr>
            <w:r>
              <w:rPr>
                <w:rFonts w:ascii="Arial" w:eastAsia="宋体" w:hAnsi="Arial" w:cs="Arial"/>
                <w:color w:val="000000"/>
                <w:sz w:val="18"/>
                <w:szCs w:val="18"/>
              </w:rPr>
              <w:t>Proceeds from short-term borrowings</w:t>
            </w:r>
          </w:p>
        </w:tc>
        <w:tc>
          <w:tcPr>
            <w:tcW w:w="0" w:type="auto"/>
            <w:gridSpan w:val="2"/>
            <w:shd w:val="clear" w:color="auto" w:fill="FFFFFF"/>
            <w:tcMar>
              <w:top w:w="40" w:type="dxa"/>
              <w:left w:w="20" w:type="dxa"/>
              <w:bottom w:w="40" w:type="dxa"/>
              <w:right w:w="0" w:type="dxa"/>
            </w:tcMar>
            <w:vAlign w:val="bottom"/>
          </w:tcPr>
          <w:p w14:paraId="5902A439"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3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3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3C" w14:textId="77777777" w:rsidR="0084406A" w:rsidRDefault="002B18AF">
            <w:pPr>
              <w:jc w:val="right"/>
              <w:textAlignment w:val="bottom"/>
            </w:pPr>
            <w:r>
              <w:rPr>
                <w:rFonts w:ascii="Arial" w:eastAsia="宋体" w:hAnsi="Arial" w:cs="Arial"/>
                <w:color w:val="000000"/>
                <w:sz w:val="18"/>
                <w:szCs w:val="18"/>
              </w:rPr>
              <w:t>200 </w:t>
            </w:r>
          </w:p>
        </w:tc>
        <w:tc>
          <w:tcPr>
            <w:tcW w:w="0" w:type="auto"/>
            <w:shd w:val="clear" w:color="auto" w:fill="FFFFFF"/>
            <w:tcMar>
              <w:top w:w="40" w:type="dxa"/>
              <w:left w:w="0" w:type="dxa"/>
              <w:bottom w:w="40" w:type="dxa"/>
              <w:right w:w="20" w:type="dxa"/>
            </w:tcMar>
            <w:vAlign w:val="bottom"/>
          </w:tcPr>
          <w:p w14:paraId="5902A43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3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3F"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40" w14:textId="77777777" w:rsidR="0084406A" w:rsidRDefault="0084406A">
            <w:pPr>
              <w:jc w:val="right"/>
              <w:rPr>
                <w:rFonts w:ascii="宋体"/>
              </w:rPr>
            </w:pPr>
          </w:p>
        </w:tc>
      </w:tr>
      <w:tr w:rsidR="0084406A" w14:paraId="5902A44B" w14:textId="77777777">
        <w:trPr>
          <w:jc w:val="center"/>
        </w:trPr>
        <w:tc>
          <w:tcPr>
            <w:tcW w:w="0" w:type="auto"/>
            <w:gridSpan w:val="3"/>
            <w:shd w:val="clear" w:color="auto" w:fill="CCEEFF"/>
            <w:tcMar>
              <w:top w:w="40" w:type="dxa"/>
              <w:left w:w="245" w:type="dxa"/>
              <w:bottom w:w="40" w:type="dxa"/>
              <w:right w:w="20" w:type="dxa"/>
            </w:tcMar>
            <w:vAlign w:val="bottom"/>
          </w:tcPr>
          <w:p w14:paraId="5902A442" w14:textId="77777777" w:rsidR="0084406A" w:rsidRDefault="002B18AF">
            <w:pPr>
              <w:textAlignment w:val="bottom"/>
            </w:pPr>
            <w:r>
              <w:rPr>
                <w:rFonts w:ascii="Arial" w:eastAsia="宋体" w:hAnsi="Arial" w:cs="Arial"/>
                <w:color w:val="000000"/>
                <w:sz w:val="18"/>
                <w:szCs w:val="18"/>
              </w:rPr>
              <w:t>Repayments and extinguishment of debt</w:t>
            </w:r>
          </w:p>
        </w:tc>
        <w:tc>
          <w:tcPr>
            <w:tcW w:w="0" w:type="auto"/>
            <w:gridSpan w:val="2"/>
            <w:shd w:val="clear" w:color="auto" w:fill="CCEEFF"/>
            <w:tcMar>
              <w:top w:w="40" w:type="dxa"/>
              <w:left w:w="20" w:type="dxa"/>
              <w:bottom w:w="40" w:type="dxa"/>
              <w:right w:w="0" w:type="dxa"/>
            </w:tcMar>
            <w:vAlign w:val="bottom"/>
          </w:tcPr>
          <w:p w14:paraId="5902A443"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902A44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4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46" w14:textId="77777777" w:rsidR="0084406A" w:rsidRDefault="002B18AF">
            <w:pPr>
              <w:jc w:val="right"/>
              <w:textAlignment w:val="bottom"/>
            </w:pPr>
            <w:r>
              <w:rPr>
                <w:rFonts w:ascii="Arial" w:eastAsia="宋体" w:hAnsi="Arial" w:cs="Arial"/>
                <w:color w:val="000000"/>
                <w:sz w:val="18"/>
                <w:szCs w:val="18"/>
              </w:rPr>
              <w:t>(200)</w:t>
            </w:r>
          </w:p>
        </w:tc>
        <w:tc>
          <w:tcPr>
            <w:tcW w:w="0" w:type="auto"/>
            <w:shd w:val="clear" w:color="auto" w:fill="CCEEFF"/>
            <w:tcMar>
              <w:top w:w="40" w:type="dxa"/>
              <w:left w:w="0" w:type="dxa"/>
              <w:bottom w:w="40" w:type="dxa"/>
              <w:right w:w="20" w:type="dxa"/>
            </w:tcMar>
            <w:vAlign w:val="bottom"/>
          </w:tcPr>
          <w:p w14:paraId="5902A44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4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49" w14:textId="77777777" w:rsidR="0084406A" w:rsidRDefault="002B18AF">
            <w:pPr>
              <w:jc w:val="right"/>
              <w:textAlignment w:val="bottom"/>
            </w:pPr>
            <w:r>
              <w:rPr>
                <w:rFonts w:ascii="Arial" w:eastAsia="宋体" w:hAnsi="Arial" w:cs="Arial"/>
                <w:color w:val="000000"/>
                <w:sz w:val="18"/>
                <w:szCs w:val="18"/>
              </w:rPr>
              <w:t>(473)</w:t>
            </w:r>
          </w:p>
        </w:tc>
        <w:tc>
          <w:tcPr>
            <w:tcW w:w="0" w:type="auto"/>
            <w:shd w:val="clear" w:color="auto" w:fill="CCEEFF"/>
            <w:tcMar>
              <w:top w:w="40" w:type="dxa"/>
              <w:left w:w="0" w:type="dxa"/>
              <w:bottom w:w="40" w:type="dxa"/>
              <w:right w:w="20" w:type="dxa"/>
            </w:tcMar>
            <w:vAlign w:val="bottom"/>
          </w:tcPr>
          <w:p w14:paraId="5902A44A" w14:textId="77777777" w:rsidR="0084406A" w:rsidRDefault="0084406A">
            <w:pPr>
              <w:jc w:val="right"/>
              <w:rPr>
                <w:rFonts w:ascii="宋体"/>
              </w:rPr>
            </w:pPr>
          </w:p>
        </w:tc>
      </w:tr>
      <w:tr w:rsidR="0084406A" w14:paraId="5902A455" w14:textId="77777777">
        <w:trPr>
          <w:jc w:val="center"/>
        </w:trPr>
        <w:tc>
          <w:tcPr>
            <w:tcW w:w="0" w:type="auto"/>
            <w:gridSpan w:val="3"/>
            <w:shd w:val="clear" w:color="auto" w:fill="FFFFFF"/>
            <w:tcMar>
              <w:top w:w="40" w:type="dxa"/>
              <w:left w:w="245" w:type="dxa"/>
              <w:bottom w:w="40" w:type="dxa"/>
              <w:right w:w="20" w:type="dxa"/>
            </w:tcMar>
            <w:vAlign w:val="bottom"/>
          </w:tcPr>
          <w:p w14:paraId="5902A44C" w14:textId="77777777" w:rsidR="0084406A" w:rsidRDefault="002B18AF">
            <w:pPr>
              <w:textAlignment w:val="bottom"/>
            </w:pPr>
            <w:r>
              <w:rPr>
                <w:rFonts w:ascii="Arial" w:eastAsia="宋体" w:hAnsi="Arial" w:cs="Arial"/>
                <w:color w:val="000000"/>
                <w:sz w:val="18"/>
                <w:szCs w:val="18"/>
              </w:rPr>
              <w:t>Proceeds from warrant exercise</w:t>
            </w:r>
          </w:p>
        </w:tc>
        <w:tc>
          <w:tcPr>
            <w:tcW w:w="0" w:type="auto"/>
            <w:gridSpan w:val="2"/>
            <w:shd w:val="clear" w:color="auto" w:fill="FFFFFF"/>
            <w:tcMar>
              <w:top w:w="40" w:type="dxa"/>
              <w:left w:w="20" w:type="dxa"/>
              <w:bottom w:w="40" w:type="dxa"/>
              <w:right w:w="0" w:type="dxa"/>
            </w:tcMar>
            <w:vAlign w:val="bottom"/>
          </w:tcPr>
          <w:p w14:paraId="5902A44D"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4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4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50"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5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5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53" w14:textId="77777777" w:rsidR="0084406A" w:rsidRDefault="002B18AF">
            <w:pPr>
              <w:jc w:val="right"/>
              <w:textAlignment w:val="bottom"/>
            </w:pPr>
            <w:r>
              <w:rPr>
                <w:rFonts w:ascii="Arial" w:eastAsia="宋体" w:hAnsi="Arial" w:cs="Arial"/>
                <w:color w:val="000000"/>
                <w:sz w:val="18"/>
                <w:szCs w:val="18"/>
              </w:rPr>
              <w:t>449 </w:t>
            </w:r>
          </w:p>
        </w:tc>
        <w:tc>
          <w:tcPr>
            <w:tcW w:w="0" w:type="auto"/>
            <w:shd w:val="clear" w:color="auto" w:fill="FFFFFF"/>
            <w:tcMar>
              <w:top w:w="40" w:type="dxa"/>
              <w:left w:w="0" w:type="dxa"/>
              <w:bottom w:w="40" w:type="dxa"/>
              <w:right w:w="20" w:type="dxa"/>
            </w:tcMar>
            <w:vAlign w:val="bottom"/>
          </w:tcPr>
          <w:p w14:paraId="5902A454" w14:textId="77777777" w:rsidR="0084406A" w:rsidRDefault="0084406A">
            <w:pPr>
              <w:jc w:val="right"/>
              <w:rPr>
                <w:rFonts w:ascii="宋体"/>
              </w:rPr>
            </w:pPr>
          </w:p>
        </w:tc>
      </w:tr>
      <w:tr w:rsidR="0084406A" w14:paraId="5902A45F" w14:textId="77777777">
        <w:trPr>
          <w:jc w:val="center"/>
        </w:trPr>
        <w:tc>
          <w:tcPr>
            <w:tcW w:w="0" w:type="auto"/>
            <w:gridSpan w:val="3"/>
            <w:shd w:val="clear" w:color="auto" w:fill="CCEEFF"/>
            <w:tcMar>
              <w:top w:w="40" w:type="dxa"/>
              <w:left w:w="245" w:type="dxa"/>
              <w:bottom w:w="40" w:type="dxa"/>
              <w:right w:w="20" w:type="dxa"/>
            </w:tcMar>
            <w:vAlign w:val="bottom"/>
          </w:tcPr>
          <w:p w14:paraId="5902A456" w14:textId="77777777" w:rsidR="0084406A" w:rsidRDefault="002B18AF">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CCEEFF"/>
            <w:tcMar>
              <w:top w:w="40" w:type="dxa"/>
              <w:left w:w="20" w:type="dxa"/>
              <w:bottom w:w="40" w:type="dxa"/>
              <w:right w:w="0" w:type="dxa"/>
            </w:tcMar>
            <w:vAlign w:val="bottom"/>
          </w:tcPr>
          <w:p w14:paraId="5902A457" w14:textId="77777777" w:rsidR="0084406A" w:rsidRDefault="002B18AF">
            <w:pPr>
              <w:jc w:val="right"/>
              <w:textAlignment w:val="bottom"/>
            </w:pPr>
            <w:r>
              <w:rPr>
                <w:rFonts w:ascii="Arial" w:eastAsia="宋体" w:hAnsi="Arial" w:cs="Arial"/>
                <w:color w:val="000000"/>
                <w:sz w:val="18"/>
                <w:szCs w:val="18"/>
              </w:rPr>
              <w:t>104 </w:t>
            </w:r>
          </w:p>
        </w:tc>
        <w:tc>
          <w:tcPr>
            <w:tcW w:w="0" w:type="auto"/>
            <w:shd w:val="clear" w:color="auto" w:fill="CCEEFF"/>
            <w:tcMar>
              <w:top w:w="40" w:type="dxa"/>
              <w:left w:w="0" w:type="dxa"/>
              <w:bottom w:w="40" w:type="dxa"/>
              <w:right w:w="20" w:type="dxa"/>
            </w:tcMar>
            <w:vAlign w:val="bottom"/>
          </w:tcPr>
          <w:p w14:paraId="5902A45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5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5A" w14:textId="77777777" w:rsidR="0084406A" w:rsidRDefault="002B18AF">
            <w:pPr>
              <w:jc w:val="right"/>
              <w:textAlignment w:val="bottom"/>
            </w:pPr>
            <w:r>
              <w:rPr>
                <w:rFonts w:ascii="Arial" w:eastAsia="宋体" w:hAnsi="Arial" w:cs="Arial"/>
                <w:color w:val="000000"/>
                <w:sz w:val="18"/>
                <w:szCs w:val="18"/>
              </w:rPr>
              <w:t>85 </w:t>
            </w:r>
          </w:p>
        </w:tc>
        <w:tc>
          <w:tcPr>
            <w:tcW w:w="0" w:type="auto"/>
            <w:shd w:val="clear" w:color="auto" w:fill="CCEEFF"/>
            <w:tcMar>
              <w:top w:w="40" w:type="dxa"/>
              <w:left w:w="0" w:type="dxa"/>
              <w:bottom w:w="40" w:type="dxa"/>
              <w:right w:w="20" w:type="dxa"/>
            </w:tcMar>
            <w:vAlign w:val="bottom"/>
          </w:tcPr>
          <w:p w14:paraId="5902A45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5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5D" w14:textId="77777777" w:rsidR="0084406A" w:rsidRDefault="002B18AF">
            <w:pPr>
              <w:jc w:val="right"/>
              <w:textAlignment w:val="bottom"/>
            </w:pPr>
            <w:r>
              <w:rPr>
                <w:rFonts w:ascii="Arial" w:eastAsia="宋体" w:hAnsi="Arial" w:cs="Arial"/>
                <w:color w:val="000000"/>
                <w:sz w:val="18"/>
                <w:szCs w:val="18"/>
              </w:rPr>
              <w:t>74 </w:t>
            </w:r>
          </w:p>
        </w:tc>
        <w:tc>
          <w:tcPr>
            <w:tcW w:w="0" w:type="auto"/>
            <w:shd w:val="clear" w:color="auto" w:fill="CCEEFF"/>
            <w:tcMar>
              <w:top w:w="40" w:type="dxa"/>
              <w:left w:w="0" w:type="dxa"/>
              <w:bottom w:w="40" w:type="dxa"/>
              <w:right w:w="20" w:type="dxa"/>
            </w:tcMar>
            <w:vAlign w:val="bottom"/>
          </w:tcPr>
          <w:p w14:paraId="5902A45E" w14:textId="77777777" w:rsidR="0084406A" w:rsidRDefault="0084406A">
            <w:pPr>
              <w:jc w:val="right"/>
              <w:rPr>
                <w:rFonts w:ascii="宋体"/>
              </w:rPr>
            </w:pPr>
          </w:p>
        </w:tc>
      </w:tr>
      <w:tr w:rsidR="0084406A" w14:paraId="5902A469" w14:textId="77777777">
        <w:trPr>
          <w:jc w:val="center"/>
        </w:trPr>
        <w:tc>
          <w:tcPr>
            <w:tcW w:w="0" w:type="auto"/>
            <w:gridSpan w:val="3"/>
            <w:shd w:val="clear" w:color="auto" w:fill="FFFFFF"/>
            <w:tcMar>
              <w:top w:w="40" w:type="dxa"/>
              <w:left w:w="245" w:type="dxa"/>
              <w:bottom w:w="40" w:type="dxa"/>
              <w:right w:w="20" w:type="dxa"/>
            </w:tcMar>
            <w:vAlign w:val="bottom"/>
          </w:tcPr>
          <w:p w14:paraId="5902A460" w14:textId="77777777" w:rsidR="0084406A" w:rsidRDefault="002B18AF">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5902A461" w14:textId="77777777" w:rsidR="0084406A" w:rsidRDefault="002B18AF">
            <w:pPr>
              <w:jc w:val="right"/>
              <w:textAlignment w:val="bottom"/>
            </w:pPr>
            <w:r>
              <w:rPr>
                <w:rFonts w:ascii="Arial" w:eastAsia="宋体" w:hAnsi="Arial" w:cs="Arial"/>
                <w:color w:val="000000"/>
                <w:sz w:val="18"/>
                <w:szCs w:val="18"/>
              </w:rPr>
              <w:t>(1,762)</w:t>
            </w:r>
          </w:p>
        </w:tc>
        <w:tc>
          <w:tcPr>
            <w:tcW w:w="0" w:type="auto"/>
            <w:shd w:val="clear" w:color="auto" w:fill="FFFFFF"/>
            <w:tcMar>
              <w:top w:w="40" w:type="dxa"/>
              <w:left w:w="0" w:type="dxa"/>
              <w:bottom w:w="40" w:type="dxa"/>
              <w:right w:w="20" w:type="dxa"/>
            </w:tcMar>
            <w:vAlign w:val="bottom"/>
          </w:tcPr>
          <w:p w14:paraId="5902A46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6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64"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6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6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67"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68" w14:textId="77777777" w:rsidR="0084406A" w:rsidRDefault="0084406A">
            <w:pPr>
              <w:jc w:val="right"/>
              <w:rPr>
                <w:rFonts w:ascii="宋体"/>
              </w:rPr>
            </w:pPr>
          </w:p>
        </w:tc>
      </w:tr>
      <w:tr w:rsidR="0084406A" w14:paraId="5902A473" w14:textId="77777777">
        <w:trPr>
          <w:jc w:val="center"/>
        </w:trPr>
        <w:tc>
          <w:tcPr>
            <w:tcW w:w="0" w:type="auto"/>
            <w:gridSpan w:val="3"/>
            <w:shd w:val="clear" w:color="auto" w:fill="CCEEFF"/>
            <w:tcMar>
              <w:top w:w="40" w:type="dxa"/>
              <w:left w:w="20" w:type="dxa"/>
              <w:bottom w:w="40" w:type="dxa"/>
              <w:right w:w="20" w:type="dxa"/>
            </w:tcMar>
            <w:vAlign w:val="bottom"/>
          </w:tcPr>
          <w:p w14:paraId="5902A46A" w14:textId="77777777" w:rsidR="0084406A" w:rsidRDefault="002B18AF">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5902A46B" w14:textId="77777777" w:rsidR="0084406A" w:rsidRDefault="002B18AF">
            <w:pPr>
              <w:jc w:val="right"/>
              <w:textAlignment w:val="bottom"/>
            </w:pPr>
            <w:r>
              <w:rPr>
                <w:rFonts w:ascii="Arial" w:eastAsia="宋体" w:hAnsi="Arial" w:cs="Arial"/>
                <w:color w:val="000000"/>
                <w:sz w:val="18"/>
                <w:szCs w:val="18"/>
              </w:rPr>
              <w:t>(237)</w:t>
            </w:r>
          </w:p>
        </w:tc>
        <w:tc>
          <w:tcPr>
            <w:tcW w:w="0" w:type="auto"/>
            <w:shd w:val="clear" w:color="auto" w:fill="CCEEFF"/>
            <w:tcMar>
              <w:top w:w="40" w:type="dxa"/>
              <w:left w:w="0" w:type="dxa"/>
              <w:bottom w:w="40" w:type="dxa"/>
              <w:right w:w="20" w:type="dxa"/>
            </w:tcMar>
            <w:vAlign w:val="bottom"/>
          </w:tcPr>
          <w:p w14:paraId="5902A46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6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6E" w14:textId="77777777" w:rsidR="0084406A" w:rsidRDefault="002B18AF">
            <w:pPr>
              <w:jc w:val="right"/>
              <w:textAlignment w:val="bottom"/>
            </w:pPr>
            <w:r>
              <w:rPr>
                <w:rFonts w:ascii="Arial" w:eastAsia="宋体" w:hAnsi="Arial" w:cs="Arial"/>
                <w:color w:val="000000"/>
                <w:sz w:val="18"/>
                <w:szCs w:val="18"/>
              </w:rPr>
              <w:t>(78)</w:t>
            </w:r>
          </w:p>
        </w:tc>
        <w:tc>
          <w:tcPr>
            <w:tcW w:w="0" w:type="auto"/>
            <w:shd w:val="clear" w:color="auto" w:fill="CCEEFF"/>
            <w:tcMar>
              <w:top w:w="40" w:type="dxa"/>
              <w:left w:w="0" w:type="dxa"/>
              <w:bottom w:w="40" w:type="dxa"/>
              <w:right w:w="20" w:type="dxa"/>
            </w:tcMar>
            <w:vAlign w:val="bottom"/>
          </w:tcPr>
          <w:p w14:paraId="5902A46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7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71" w14:textId="77777777" w:rsidR="0084406A" w:rsidRDefault="002B18AF">
            <w:pPr>
              <w:jc w:val="right"/>
              <w:textAlignment w:val="bottom"/>
            </w:pPr>
            <w:r>
              <w:rPr>
                <w:rFonts w:ascii="Arial" w:eastAsia="宋体" w:hAnsi="Arial" w:cs="Arial"/>
                <w:color w:val="000000"/>
                <w:sz w:val="18"/>
                <w:szCs w:val="18"/>
              </w:rPr>
              <w:t>(6)</w:t>
            </w:r>
          </w:p>
        </w:tc>
        <w:tc>
          <w:tcPr>
            <w:tcW w:w="0" w:type="auto"/>
            <w:shd w:val="clear" w:color="auto" w:fill="CCEEFF"/>
            <w:tcMar>
              <w:top w:w="40" w:type="dxa"/>
              <w:left w:w="0" w:type="dxa"/>
              <w:bottom w:w="40" w:type="dxa"/>
              <w:right w:w="20" w:type="dxa"/>
            </w:tcMar>
            <w:vAlign w:val="bottom"/>
          </w:tcPr>
          <w:p w14:paraId="5902A472" w14:textId="77777777" w:rsidR="0084406A" w:rsidRDefault="0084406A">
            <w:pPr>
              <w:jc w:val="right"/>
              <w:rPr>
                <w:rFonts w:ascii="宋体"/>
              </w:rPr>
            </w:pPr>
          </w:p>
        </w:tc>
      </w:tr>
      <w:tr w:rsidR="0084406A" w14:paraId="5902A47D" w14:textId="77777777">
        <w:trPr>
          <w:jc w:val="center"/>
        </w:trPr>
        <w:tc>
          <w:tcPr>
            <w:tcW w:w="0" w:type="auto"/>
            <w:gridSpan w:val="3"/>
            <w:shd w:val="clear" w:color="auto" w:fill="FFFFFF"/>
            <w:tcMar>
              <w:top w:w="40" w:type="dxa"/>
              <w:left w:w="245" w:type="dxa"/>
              <w:bottom w:w="40" w:type="dxa"/>
              <w:right w:w="20" w:type="dxa"/>
            </w:tcMar>
            <w:vAlign w:val="bottom"/>
          </w:tcPr>
          <w:p w14:paraId="5902A474" w14:textId="77777777" w:rsidR="0084406A" w:rsidRDefault="002B18AF">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5902A475"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47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7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78" w14:textId="77777777" w:rsidR="0084406A" w:rsidRDefault="002B18AF">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5902A47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7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47B" w14:textId="77777777" w:rsidR="0084406A" w:rsidRDefault="002B18AF">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5902A47C" w14:textId="77777777" w:rsidR="0084406A" w:rsidRDefault="0084406A">
            <w:pPr>
              <w:jc w:val="right"/>
              <w:rPr>
                <w:rFonts w:ascii="宋体"/>
              </w:rPr>
            </w:pPr>
          </w:p>
        </w:tc>
      </w:tr>
      <w:tr w:rsidR="0084406A" w14:paraId="5902A487" w14:textId="77777777">
        <w:trPr>
          <w:jc w:val="center"/>
        </w:trPr>
        <w:tc>
          <w:tcPr>
            <w:tcW w:w="0" w:type="auto"/>
            <w:gridSpan w:val="3"/>
            <w:shd w:val="clear" w:color="auto" w:fill="CCEEFF"/>
            <w:tcMar>
              <w:top w:w="40" w:type="dxa"/>
              <w:left w:w="20" w:type="dxa"/>
              <w:bottom w:w="40" w:type="dxa"/>
              <w:right w:w="20" w:type="dxa"/>
            </w:tcMar>
            <w:vAlign w:val="bottom"/>
          </w:tcPr>
          <w:p w14:paraId="5902A47E" w14:textId="77777777" w:rsidR="0084406A" w:rsidRDefault="002B18AF">
            <w:pPr>
              <w:textAlignment w:val="bottom"/>
            </w:pPr>
            <w:r>
              <w:rPr>
                <w:rFonts w:ascii="Arial" w:eastAsia="宋体" w:hAnsi="Arial" w:cs="Arial"/>
                <w:color w:val="000000"/>
                <w:sz w:val="18"/>
                <w:szCs w:val="18"/>
              </w:rPr>
              <w:t>Net cash (used in) provided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47F" w14:textId="77777777" w:rsidR="0084406A" w:rsidRDefault="002B18AF">
            <w:pPr>
              <w:jc w:val="right"/>
              <w:textAlignment w:val="bottom"/>
            </w:pPr>
            <w:r>
              <w:rPr>
                <w:rFonts w:ascii="Arial" w:eastAsia="宋体" w:hAnsi="Arial" w:cs="Arial"/>
                <w:color w:val="000000"/>
                <w:sz w:val="18"/>
                <w:szCs w:val="18"/>
              </w:rPr>
              <w:t>(1,895)</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48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81"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482" w14:textId="77777777" w:rsidR="0084406A" w:rsidRDefault="002B18AF">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48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84"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485" w14:textId="77777777" w:rsidR="0084406A" w:rsidRDefault="002B18AF">
            <w:pPr>
              <w:jc w:val="right"/>
              <w:textAlignment w:val="bottom"/>
            </w:pPr>
            <w:r>
              <w:rPr>
                <w:rFonts w:ascii="Arial" w:eastAsia="宋体" w:hAnsi="Arial" w:cs="Arial"/>
                <w:color w:val="000000"/>
                <w:sz w:val="18"/>
                <w:szCs w:val="18"/>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486" w14:textId="77777777" w:rsidR="0084406A" w:rsidRDefault="0084406A">
            <w:pPr>
              <w:jc w:val="right"/>
              <w:rPr>
                <w:rFonts w:ascii="宋体"/>
              </w:rPr>
            </w:pPr>
          </w:p>
        </w:tc>
      </w:tr>
      <w:tr w:rsidR="0084406A" w14:paraId="5902A491" w14:textId="77777777">
        <w:trPr>
          <w:jc w:val="center"/>
        </w:trPr>
        <w:tc>
          <w:tcPr>
            <w:tcW w:w="0" w:type="auto"/>
            <w:gridSpan w:val="3"/>
            <w:shd w:val="clear" w:color="auto" w:fill="FFFFFF"/>
            <w:tcMar>
              <w:top w:w="40" w:type="dxa"/>
              <w:left w:w="20" w:type="dxa"/>
              <w:bottom w:w="40" w:type="dxa"/>
              <w:right w:w="20" w:type="dxa"/>
            </w:tcMar>
            <w:vAlign w:val="bottom"/>
          </w:tcPr>
          <w:p w14:paraId="5902A488" w14:textId="77777777" w:rsidR="0084406A" w:rsidRDefault="002B18AF">
            <w:pPr>
              <w:textAlignment w:val="bottom"/>
            </w:pPr>
            <w:r>
              <w:rPr>
                <w:rFonts w:ascii="Arial" w:eastAsia="宋体" w:hAnsi="Arial" w:cs="Arial"/>
                <w:color w:val="000000"/>
                <w:sz w:val="18"/>
                <w:szCs w:val="18"/>
              </w:rPr>
              <w:t xml:space="preserve">Net increase in </w:t>
            </w:r>
            <w:r>
              <w:rPr>
                <w:rFonts w:ascii="Arial" w:eastAsia="宋体" w:hAnsi="Arial" w:cs="Arial"/>
                <w:color w:val="000000"/>
                <w:sz w:val="18"/>
                <w:szCs w:val="18"/>
              </w:rPr>
              <w:t>cash and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89" w14:textId="77777777" w:rsidR="0084406A" w:rsidRDefault="002B18AF">
            <w:pPr>
              <w:jc w:val="right"/>
              <w:textAlignment w:val="bottom"/>
            </w:pPr>
            <w:r>
              <w:rPr>
                <w:rFonts w:ascii="Arial" w:eastAsia="宋体" w:hAnsi="Arial" w:cs="Arial"/>
                <w:color w:val="000000"/>
                <w:sz w:val="18"/>
                <w:szCs w:val="18"/>
              </w:rPr>
              <w:t>940 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8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8B"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8C" w14:textId="77777777" w:rsidR="0084406A" w:rsidRDefault="002B18AF">
            <w:pPr>
              <w:jc w:val="right"/>
              <w:textAlignment w:val="bottom"/>
            </w:pPr>
            <w:r>
              <w:rPr>
                <w:rFonts w:ascii="Arial" w:eastAsia="宋体" w:hAnsi="Arial" w:cs="Arial"/>
                <w:color w:val="000000"/>
                <w:sz w:val="18"/>
                <w:szCs w:val="18"/>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8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8E"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48F" w14:textId="77777777" w:rsidR="0084406A" w:rsidRDefault="002B18AF">
            <w:pPr>
              <w:jc w:val="right"/>
              <w:textAlignment w:val="bottom"/>
            </w:pPr>
            <w:r>
              <w:rPr>
                <w:rFonts w:ascii="Arial" w:eastAsia="宋体" w:hAnsi="Arial" w:cs="Arial"/>
                <w:color w:val="000000"/>
                <w:sz w:val="18"/>
                <w:szCs w:val="18"/>
              </w:rPr>
              <w:t>387 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490" w14:textId="77777777" w:rsidR="0084406A" w:rsidRDefault="0084406A">
            <w:pPr>
              <w:jc w:val="right"/>
              <w:rPr>
                <w:rFonts w:ascii="宋体"/>
              </w:rPr>
            </w:pPr>
          </w:p>
        </w:tc>
      </w:tr>
      <w:tr w:rsidR="0084406A" w14:paraId="5902A49B" w14:textId="77777777">
        <w:trPr>
          <w:jc w:val="center"/>
        </w:trPr>
        <w:tc>
          <w:tcPr>
            <w:tcW w:w="0" w:type="auto"/>
            <w:gridSpan w:val="3"/>
            <w:shd w:val="clear" w:color="auto" w:fill="CCEEFF"/>
            <w:tcMar>
              <w:top w:w="40" w:type="dxa"/>
              <w:left w:w="20" w:type="dxa"/>
              <w:bottom w:w="40" w:type="dxa"/>
              <w:right w:w="20" w:type="dxa"/>
            </w:tcMar>
            <w:vAlign w:val="bottom"/>
          </w:tcPr>
          <w:p w14:paraId="5902A492" w14:textId="77777777" w:rsidR="0084406A" w:rsidRDefault="002B18AF">
            <w:pPr>
              <w:textAlignment w:val="bottom"/>
            </w:pPr>
            <w:r>
              <w:rPr>
                <w:rFonts w:ascii="Arial" w:eastAsia="宋体" w:hAnsi="Arial" w:cs="Arial"/>
                <w:color w:val="000000"/>
                <w:sz w:val="18"/>
                <w:szCs w:val="18"/>
              </w:rPr>
              <w:t>Cash, cash equivalents and restricted cash at beginning of year</w:t>
            </w:r>
          </w:p>
        </w:tc>
        <w:tc>
          <w:tcPr>
            <w:tcW w:w="0" w:type="auto"/>
            <w:gridSpan w:val="2"/>
            <w:shd w:val="clear" w:color="auto" w:fill="CCEEFF"/>
            <w:tcMar>
              <w:top w:w="40" w:type="dxa"/>
              <w:left w:w="20" w:type="dxa"/>
              <w:bottom w:w="40" w:type="dxa"/>
              <w:right w:w="0" w:type="dxa"/>
            </w:tcMar>
            <w:vAlign w:val="bottom"/>
          </w:tcPr>
          <w:p w14:paraId="5902A493" w14:textId="77777777" w:rsidR="0084406A" w:rsidRDefault="002B18AF">
            <w:pPr>
              <w:jc w:val="right"/>
              <w:textAlignment w:val="bottom"/>
            </w:pPr>
            <w:r>
              <w:rPr>
                <w:rFonts w:ascii="Arial" w:eastAsia="宋体" w:hAnsi="Arial" w:cs="Arial"/>
                <w:color w:val="000000"/>
                <w:sz w:val="18"/>
                <w:szCs w:val="18"/>
              </w:rPr>
              <w:t>1,595 </w:t>
            </w:r>
          </w:p>
        </w:tc>
        <w:tc>
          <w:tcPr>
            <w:tcW w:w="0" w:type="auto"/>
            <w:shd w:val="clear" w:color="auto" w:fill="CCEEFF"/>
            <w:tcMar>
              <w:top w:w="40" w:type="dxa"/>
              <w:left w:w="0" w:type="dxa"/>
              <w:bottom w:w="40" w:type="dxa"/>
              <w:right w:w="20" w:type="dxa"/>
            </w:tcMar>
            <w:vAlign w:val="bottom"/>
          </w:tcPr>
          <w:p w14:paraId="5902A49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9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96" w14:textId="77777777" w:rsidR="0084406A" w:rsidRDefault="002B18AF">
            <w:pPr>
              <w:jc w:val="right"/>
              <w:textAlignment w:val="bottom"/>
            </w:pPr>
            <w:r>
              <w:rPr>
                <w:rFonts w:ascii="Arial" w:eastAsia="宋体" w:hAnsi="Arial" w:cs="Arial"/>
                <w:color w:val="000000"/>
                <w:sz w:val="18"/>
                <w:szCs w:val="18"/>
              </w:rPr>
              <w:t>1,470 </w:t>
            </w:r>
          </w:p>
        </w:tc>
        <w:tc>
          <w:tcPr>
            <w:tcW w:w="0" w:type="auto"/>
            <w:shd w:val="clear" w:color="auto" w:fill="CCEEFF"/>
            <w:tcMar>
              <w:top w:w="40" w:type="dxa"/>
              <w:left w:w="0" w:type="dxa"/>
              <w:bottom w:w="40" w:type="dxa"/>
              <w:right w:w="20" w:type="dxa"/>
            </w:tcMar>
            <w:vAlign w:val="bottom"/>
          </w:tcPr>
          <w:p w14:paraId="5902A49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49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499" w14:textId="77777777" w:rsidR="0084406A" w:rsidRDefault="002B18AF">
            <w:pPr>
              <w:jc w:val="right"/>
              <w:textAlignment w:val="bottom"/>
            </w:pPr>
            <w:r>
              <w:rPr>
                <w:rFonts w:ascii="Arial" w:eastAsia="宋体" w:hAnsi="Arial" w:cs="Arial"/>
                <w:color w:val="000000"/>
                <w:sz w:val="18"/>
                <w:szCs w:val="18"/>
              </w:rPr>
              <w:t>1,083 </w:t>
            </w:r>
          </w:p>
        </w:tc>
        <w:tc>
          <w:tcPr>
            <w:tcW w:w="0" w:type="auto"/>
            <w:shd w:val="clear" w:color="auto" w:fill="CCEEFF"/>
            <w:tcMar>
              <w:top w:w="40" w:type="dxa"/>
              <w:left w:w="0" w:type="dxa"/>
              <w:bottom w:w="40" w:type="dxa"/>
              <w:right w:w="20" w:type="dxa"/>
            </w:tcMar>
            <w:vAlign w:val="bottom"/>
          </w:tcPr>
          <w:p w14:paraId="5902A49A" w14:textId="77777777" w:rsidR="0084406A" w:rsidRDefault="0084406A">
            <w:pPr>
              <w:jc w:val="right"/>
              <w:rPr>
                <w:rFonts w:ascii="宋体"/>
              </w:rPr>
            </w:pPr>
          </w:p>
        </w:tc>
      </w:tr>
      <w:tr w:rsidR="0084406A" w14:paraId="5902A4A8" w14:textId="77777777">
        <w:trPr>
          <w:jc w:val="center"/>
        </w:trPr>
        <w:tc>
          <w:tcPr>
            <w:tcW w:w="0" w:type="auto"/>
            <w:gridSpan w:val="3"/>
            <w:shd w:val="clear" w:color="auto" w:fill="FFFFFF"/>
            <w:tcMar>
              <w:top w:w="40" w:type="dxa"/>
              <w:left w:w="20" w:type="dxa"/>
              <w:bottom w:w="40" w:type="dxa"/>
              <w:right w:w="20" w:type="dxa"/>
            </w:tcMar>
            <w:vAlign w:val="bottom"/>
          </w:tcPr>
          <w:p w14:paraId="5902A49C" w14:textId="77777777" w:rsidR="0084406A" w:rsidRDefault="002B18AF">
            <w:pPr>
              <w:textAlignment w:val="bottom"/>
            </w:pPr>
            <w:r>
              <w:rPr>
                <w:rFonts w:ascii="Arial" w:eastAsia="宋体" w:hAnsi="Arial" w:cs="Arial"/>
                <w:color w:val="000000"/>
                <w:sz w:val="18"/>
                <w:szCs w:val="18"/>
              </w:rPr>
              <w:t>Cash, cash equivalents and restricted cash at end of year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49D" w14:textId="77777777" w:rsidR="0084406A" w:rsidRDefault="002B18A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49E" w14:textId="77777777" w:rsidR="0084406A" w:rsidRDefault="002B18AF">
            <w:pPr>
              <w:jc w:val="right"/>
              <w:textAlignment w:val="bottom"/>
            </w:pPr>
            <w:r>
              <w:rPr>
                <w:rFonts w:ascii="Arial" w:eastAsia="宋体" w:hAnsi="Arial" w:cs="Arial"/>
                <w:color w:val="000000"/>
                <w:sz w:val="18"/>
                <w:szCs w:val="18"/>
              </w:rPr>
              <w:t>2,535 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49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A0"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4A1" w14:textId="77777777" w:rsidR="0084406A" w:rsidRDefault="002B18A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4A2" w14:textId="77777777" w:rsidR="0084406A" w:rsidRDefault="002B18AF">
            <w:pPr>
              <w:jc w:val="right"/>
              <w:textAlignment w:val="bottom"/>
            </w:pPr>
            <w:r>
              <w:rPr>
                <w:rFonts w:ascii="Arial" w:eastAsia="宋体" w:hAnsi="Arial" w:cs="Arial"/>
                <w:color w:val="000000"/>
                <w:sz w:val="18"/>
                <w:szCs w:val="18"/>
              </w:rPr>
              <w:t>1,595 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4A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4A4"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4A5" w14:textId="77777777" w:rsidR="0084406A" w:rsidRDefault="002B18AF">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4A6" w14:textId="77777777" w:rsidR="0084406A" w:rsidRDefault="002B18AF">
            <w:pPr>
              <w:jc w:val="right"/>
              <w:textAlignment w:val="bottom"/>
            </w:pPr>
            <w:r>
              <w:rPr>
                <w:rFonts w:ascii="Arial" w:eastAsia="宋体" w:hAnsi="Arial" w:cs="Arial"/>
                <w:color w:val="000000"/>
                <w:sz w:val="18"/>
                <w:szCs w:val="18"/>
              </w:rPr>
              <w:t>1,470 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4A7" w14:textId="77777777" w:rsidR="0084406A" w:rsidRDefault="0084406A">
            <w:pPr>
              <w:jc w:val="right"/>
              <w:rPr>
                <w:rFonts w:ascii="宋体"/>
              </w:rPr>
            </w:pPr>
          </w:p>
        </w:tc>
      </w:tr>
      <w:tr w:rsidR="0084406A" w14:paraId="5902A4AF" w14:textId="77777777">
        <w:trPr>
          <w:jc w:val="center"/>
          <w:hidden/>
        </w:trPr>
        <w:tc>
          <w:tcPr>
            <w:tcW w:w="0" w:type="auto"/>
            <w:gridSpan w:val="3"/>
            <w:shd w:val="clear" w:color="auto" w:fill="auto"/>
            <w:vAlign w:val="bottom"/>
          </w:tcPr>
          <w:p w14:paraId="5902A4A9" w14:textId="77777777" w:rsidR="0084406A" w:rsidRDefault="0084406A">
            <w:pPr>
              <w:rPr>
                <w:rFonts w:ascii="宋体"/>
                <w:vanish/>
              </w:rPr>
            </w:pPr>
          </w:p>
        </w:tc>
        <w:tc>
          <w:tcPr>
            <w:tcW w:w="0" w:type="auto"/>
            <w:gridSpan w:val="3"/>
            <w:shd w:val="clear" w:color="auto" w:fill="auto"/>
            <w:vAlign w:val="bottom"/>
          </w:tcPr>
          <w:p w14:paraId="5902A4AA" w14:textId="77777777" w:rsidR="0084406A" w:rsidRDefault="0084406A">
            <w:pPr>
              <w:rPr>
                <w:rFonts w:ascii="宋体"/>
                <w:vanish/>
              </w:rPr>
            </w:pPr>
          </w:p>
        </w:tc>
        <w:tc>
          <w:tcPr>
            <w:tcW w:w="0" w:type="auto"/>
            <w:gridSpan w:val="3"/>
            <w:shd w:val="clear" w:color="auto" w:fill="auto"/>
            <w:vAlign w:val="bottom"/>
          </w:tcPr>
          <w:p w14:paraId="5902A4AB" w14:textId="77777777" w:rsidR="0084406A" w:rsidRDefault="0084406A">
            <w:pPr>
              <w:rPr>
                <w:rFonts w:ascii="宋体"/>
                <w:vanish/>
              </w:rPr>
            </w:pPr>
          </w:p>
        </w:tc>
        <w:tc>
          <w:tcPr>
            <w:tcW w:w="0" w:type="auto"/>
            <w:gridSpan w:val="3"/>
            <w:shd w:val="clear" w:color="auto" w:fill="auto"/>
            <w:vAlign w:val="bottom"/>
          </w:tcPr>
          <w:p w14:paraId="5902A4AC" w14:textId="77777777" w:rsidR="0084406A" w:rsidRDefault="0084406A">
            <w:pPr>
              <w:rPr>
                <w:rFonts w:ascii="宋体"/>
                <w:vanish/>
              </w:rPr>
            </w:pPr>
          </w:p>
        </w:tc>
        <w:tc>
          <w:tcPr>
            <w:tcW w:w="0" w:type="auto"/>
            <w:gridSpan w:val="3"/>
            <w:shd w:val="clear" w:color="auto" w:fill="auto"/>
            <w:vAlign w:val="bottom"/>
          </w:tcPr>
          <w:p w14:paraId="5902A4AD" w14:textId="77777777" w:rsidR="0084406A" w:rsidRDefault="0084406A">
            <w:pPr>
              <w:rPr>
                <w:rFonts w:ascii="宋体"/>
                <w:vanish/>
              </w:rPr>
            </w:pPr>
          </w:p>
        </w:tc>
        <w:tc>
          <w:tcPr>
            <w:tcW w:w="0" w:type="auto"/>
            <w:gridSpan w:val="3"/>
            <w:shd w:val="clear" w:color="auto" w:fill="auto"/>
            <w:vAlign w:val="bottom"/>
          </w:tcPr>
          <w:p w14:paraId="5902A4AE" w14:textId="77777777" w:rsidR="0084406A" w:rsidRDefault="0084406A">
            <w:pPr>
              <w:rPr>
                <w:rFonts w:ascii="宋体"/>
                <w:vanish/>
              </w:rPr>
            </w:pPr>
          </w:p>
        </w:tc>
      </w:tr>
      <w:tr w:rsidR="0084406A" w14:paraId="5902A4B6" w14:textId="77777777">
        <w:trPr>
          <w:jc w:val="center"/>
          <w:hidden/>
        </w:trPr>
        <w:tc>
          <w:tcPr>
            <w:tcW w:w="0" w:type="auto"/>
            <w:gridSpan w:val="3"/>
            <w:shd w:val="clear" w:color="auto" w:fill="auto"/>
            <w:vAlign w:val="bottom"/>
          </w:tcPr>
          <w:p w14:paraId="5902A4B0" w14:textId="77777777" w:rsidR="0084406A" w:rsidRDefault="0084406A">
            <w:pPr>
              <w:rPr>
                <w:rFonts w:ascii="宋体"/>
                <w:vanish/>
              </w:rPr>
            </w:pPr>
          </w:p>
        </w:tc>
        <w:tc>
          <w:tcPr>
            <w:tcW w:w="0" w:type="auto"/>
            <w:gridSpan w:val="3"/>
            <w:shd w:val="clear" w:color="auto" w:fill="auto"/>
            <w:vAlign w:val="bottom"/>
          </w:tcPr>
          <w:p w14:paraId="5902A4B1" w14:textId="77777777" w:rsidR="0084406A" w:rsidRDefault="0084406A">
            <w:pPr>
              <w:rPr>
                <w:rFonts w:ascii="宋体"/>
                <w:vanish/>
              </w:rPr>
            </w:pPr>
          </w:p>
        </w:tc>
        <w:tc>
          <w:tcPr>
            <w:tcW w:w="0" w:type="auto"/>
            <w:gridSpan w:val="3"/>
            <w:shd w:val="clear" w:color="auto" w:fill="auto"/>
            <w:vAlign w:val="bottom"/>
          </w:tcPr>
          <w:p w14:paraId="5902A4B2" w14:textId="77777777" w:rsidR="0084406A" w:rsidRDefault="0084406A">
            <w:pPr>
              <w:rPr>
                <w:rFonts w:ascii="宋体"/>
                <w:vanish/>
              </w:rPr>
            </w:pPr>
          </w:p>
        </w:tc>
        <w:tc>
          <w:tcPr>
            <w:tcW w:w="0" w:type="auto"/>
            <w:gridSpan w:val="3"/>
            <w:shd w:val="clear" w:color="auto" w:fill="auto"/>
            <w:vAlign w:val="bottom"/>
          </w:tcPr>
          <w:p w14:paraId="5902A4B3" w14:textId="77777777" w:rsidR="0084406A" w:rsidRDefault="0084406A">
            <w:pPr>
              <w:rPr>
                <w:rFonts w:ascii="宋体"/>
                <w:vanish/>
              </w:rPr>
            </w:pPr>
          </w:p>
        </w:tc>
        <w:tc>
          <w:tcPr>
            <w:tcW w:w="0" w:type="auto"/>
            <w:gridSpan w:val="3"/>
            <w:shd w:val="clear" w:color="auto" w:fill="auto"/>
            <w:vAlign w:val="bottom"/>
          </w:tcPr>
          <w:p w14:paraId="5902A4B4" w14:textId="77777777" w:rsidR="0084406A" w:rsidRDefault="0084406A">
            <w:pPr>
              <w:rPr>
                <w:rFonts w:ascii="宋体"/>
                <w:vanish/>
              </w:rPr>
            </w:pPr>
          </w:p>
        </w:tc>
        <w:tc>
          <w:tcPr>
            <w:tcW w:w="0" w:type="auto"/>
            <w:gridSpan w:val="3"/>
            <w:shd w:val="clear" w:color="auto" w:fill="auto"/>
            <w:vAlign w:val="bottom"/>
          </w:tcPr>
          <w:p w14:paraId="5902A4B5" w14:textId="77777777" w:rsidR="0084406A" w:rsidRDefault="0084406A">
            <w:pPr>
              <w:rPr>
                <w:rFonts w:ascii="宋体"/>
                <w:vanish/>
              </w:rPr>
            </w:pPr>
          </w:p>
        </w:tc>
      </w:tr>
      <w:tr w:rsidR="0084406A" w14:paraId="5902A4BD" w14:textId="77777777">
        <w:trPr>
          <w:jc w:val="center"/>
          <w:hidden/>
        </w:trPr>
        <w:tc>
          <w:tcPr>
            <w:tcW w:w="0" w:type="auto"/>
            <w:gridSpan w:val="3"/>
            <w:shd w:val="clear" w:color="auto" w:fill="auto"/>
            <w:vAlign w:val="bottom"/>
          </w:tcPr>
          <w:p w14:paraId="5902A4B7" w14:textId="77777777" w:rsidR="0084406A" w:rsidRDefault="0084406A">
            <w:pPr>
              <w:rPr>
                <w:rFonts w:ascii="宋体"/>
                <w:vanish/>
              </w:rPr>
            </w:pPr>
          </w:p>
        </w:tc>
        <w:tc>
          <w:tcPr>
            <w:tcW w:w="0" w:type="auto"/>
            <w:gridSpan w:val="3"/>
            <w:shd w:val="clear" w:color="auto" w:fill="auto"/>
            <w:vAlign w:val="bottom"/>
          </w:tcPr>
          <w:p w14:paraId="5902A4B8" w14:textId="77777777" w:rsidR="0084406A" w:rsidRDefault="0084406A">
            <w:pPr>
              <w:rPr>
                <w:rFonts w:ascii="宋体"/>
                <w:vanish/>
              </w:rPr>
            </w:pPr>
          </w:p>
        </w:tc>
        <w:tc>
          <w:tcPr>
            <w:tcW w:w="0" w:type="auto"/>
            <w:gridSpan w:val="3"/>
            <w:shd w:val="clear" w:color="auto" w:fill="auto"/>
            <w:vAlign w:val="bottom"/>
          </w:tcPr>
          <w:p w14:paraId="5902A4B9" w14:textId="77777777" w:rsidR="0084406A" w:rsidRDefault="0084406A">
            <w:pPr>
              <w:rPr>
                <w:rFonts w:ascii="宋体"/>
                <w:vanish/>
              </w:rPr>
            </w:pPr>
          </w:p>
        </w:tc>
        <w:tc>
          <w:tcPr>
            <w:tcW w:w="0" w:type="auto"/>
            <w:gridSpan w:val="3"/>
            <w:shd w:val="clear" w:color="auto" w:fill="auto"/>
            <w:vAlign w:val="bottom"/>
          </w:tcPr>
          <w:p w14:paraId="5902A4BA" w14:textId="77777777" w:rsidR="0084406A" w:rsidRDefault="0084406A">
            <w:pPr>
              <w:rPr>
                <w:rFonts w:ascii="宋体"/>
                <w:vanish/>
              </w:rPr>
            </w:pPr>
          </w:p>
        </w:tc>
        <w:tc>
          <w:tcPr>
            <w:tcW w:w="0" w:type="auto"/>
            <w:gridSpan w:val="3"/>
            <w:shd w:val="clear" w:color="auto" w:fill="auto"/>
            <w:vAlign w:val="bottom"/>
          </w:tcPr>
          <w:p w14:paraId="5902A4BB" w14:textId="77777777" w:rsidR="0084406A" w:rsidRDefault="0084406A">
            <w:pPr>
              <w:rPr>
                <w:rFonts w:ascii="宋体"/>
                <w:vanish/>
              </w:rPr>
            </w:pPr>
          </w:p>
        </w:tc>
        <w:tc>
          <w:tcPr>
            <w:tcW w:w="0" w:type="auto"/>
            <w:gridSpan w:val="3"/>
            <w:shd w:val="clear" w:color="auto" w:fill="auto"/>
            <w:vAlign w:val="bottom"/>
          </w:tcPr>
          <w:p w14:paraId="5902A4BC" w14:textId="77777777" w:rsidR="0084406A" w:rsidRDefault="0084406A">
            <w:pPr>
              <w:rPr>
                <w:rFonts w:ascii="宋体"/>
                <w:vanish/>
              </w:rPr>
            </w:pPr>
          </w:p>
        </w:tc>
      </w:tr>
      <w:tr w:rsidR="0084406A" w14:paraId="5902A4C4" w14:textId="77777777">
        <w:trPr>
          <w:jc w:val="center"/>
          <w:hidden/>
        </w:trPr>
        <w:tc>
          <w:tcPr>
            <w:tcW w:w="0" w:type="auto"/>
            <w:gridSpan w:val="3"/>
            <w:shd w:val="clear" w:color="auto" w:fill="auto"/>
            <w:vAlign w:val="bottom"/>
          </w:tcPr>
          <w:p w14:paraId="5902A4BE" w14:textId="77777777" w:rsidR="0084406A" w:rsidRDefault="0084406A">
            <w:pPr>
              <w:rPr>
                <w:rFonts w:ascii="宋体"/>
                <w:vanish/>
              </w:rPr>
            </w:pPr>
          </w:p>
        </w:tc>
        <w:tc>
          <w:tcPr>
            <w:tcW w:w="0" w:type="auto"/>
            <w:gridSpan w:val="3"/>
            <w:shd w:val="clear" w:color="auto" w:fill="auto"/>
            <w:vAlign w:val="bottom"/>
          </w:tcPr>
          <w:p w14:paraId="5902A4BF" w14:textId="77777777" w:rsidR="0084406A" w:rsidRDefault="0084406A">
            <w:pPr>
              <w:rPr>
                <w:rFonts w:ascii="宋体"/>
                <w:vanish/>
              </w:rPr>
            </w:pPr>
          </w:p>
        </w:tc>
        <w:tc>
          <w:tcPr>
            <w:tcW w:w="0" w:type="auto"/>
            <w:gridSpan w:val="3"/>
            <w:shd w:val="clear" w:color="auto" w:fill="auto"/>
            <w:vAlign w:val="bottom"/>
          </w:tcPr>
          <w:p w14:paraId="5902A4C0" w14:textId="77777777" w:rsidR="0084406A" w:rsidRDefault="0084406A">
            <w:pPr>
              <w:rPr>
                <w:rFonts w:ascii="宋体"/>
                <w:vanish/>
              </w:rPr>
            </w:pPr>
          </w:p>
        </w:tc>
        <w:tc>
          <w:tcPr>
            <w:tcW w:w="0" w:type="auto"/>
            <w:gridSpan w:val="3"/>
            <w:shd w:val="clear" w:color="auto" w:fill="auto"/>
            <w:vAlign w:val="bottom"/>
          </w:tcPr>
          <w:p w14:paraId="5902A4C1" w14:textId="77777777" w:rsidR="0084406A" w:rsidRDefault="0084406A">
            <w:pPr>
              <w:rPr>
                <w:rFonts w:ascii="宋体"/>
                <w:vanish/>
              </w:rPr>
            </w:pPr>
          </w:p>
        </w:tc>
        <w:tc>
          <w:tcPr>
            <w:tcW w:w="0" w:type="auto"/>
            <w:gridSpan w:val="3"/>
            <w:shd w:val="clear" w:color="auto" w:fill="auto"/>
            <w:vAlign w:val="bottom"/>
          </w:tcPr>
          <w:p w14:paraId="5902A4C2" w14:textId="77777777" w:rsidR="0084406A" w:rsidRDefault="0084406A">
            <w:pPr>
              <w:rPr>
                <w:rFonts w:ascii="宋体"/>
                <w:vanish/>
              </w:rPr>
            </w:pPr>
          </w:p>
        </w:tc>
        <w:tc>
          <w:tcPr>
            <w:tcW w:w="0" w:type="auto"/>
            <w:gridSpan w:val="3"/>
            <w:shd w:val="clear" w:color="auto" w:fill="auto"/>
            <w:vAlign w:val="bottom"/>
          </w:tcPr>
          <w:p w14:paraId="5902A4C3" w14:textId="77777777" w:rsidR="0084406A" w:rsidRDefault="0084406A">
            <w:pPr>
              <w:rPr>
                <w:rFonts w:ascii="宋体"/>
                <w:vanish/>
              </w:rPr>
            </w:pPr>
          </w:p>
        </w:tc>
      </w:tr>
      <w:tr w:rsidR="0084406A" w14:paraId="5902A4CB" w14:textId="77777777">
        <w:trPr>
          <w:jc w:val="center"/>
          <w:hidden/>
        </w:trPr>
        <w:tc>
          <w:tcPr>
            <w:tcW w:w="0" w:type="auto"/>
            <w:gridSpan w:val="3"/>
            <w:shd w:val="clear" w:color="auto" w:fill="auto"/>
            <w:vAlign w:val="bottom"/>
          </w:tcPr>
          <w:p w14:paraId="5902A4C5" w14:textId="77777777" w:rsidR="0084406A" w:rsidRDefault="0084406A">
            <w:pPr>
              <w:rPr>
                <w:rFonts w:ascii="宋体"/>
                <w:vanish/>
              </w:rPr>
            </w:pPr>
          </w:p>
        </w:tc>
        <w:tc>
          <w:tcPr>
            <w:tcW w:w="0" w:type="auto"/>
            <w:gridSpan w:val="3"/>
            <w:shd w:val="clear" w:color="auto" w:fill="auto"/>
            <w:vAlign w:val="bottom"/>
          </w:tcPr>
          <w:p w14:paraId="5902A4C6" w14:textId="77777777" w:rsidR="0084406A" w:rsidRDefault="0084406A">
            <w:pPr>
              <w:rPr>
                <w:rFonts w:ascii="宋体"/>
                <w:vanish/>
              </w:rPr>
            </w:pPr>
          </w:p>
        </w:tc>
        <w:tc>
          <w:tcPr>
            <w:tcW w:w="0" w:type="auto"/>
            <w:gridSpan w:val="3"/>
            <w:shd w:val="clear" w:color="auto" w:fill="auto"/>
            <w:vAlign w:val="bottom"/>
          </w:tcPr>
          <w:p w14:paraId="5902A4C7" w14:textId="77777777" w:rsidR="0084406A" w:rsidRDefault="0084406A">
            <w:pPr>
              <w:rPr>
                <w:rFonts w:ascii="宋体"/>
                <w:vanish/>
              </w:rPr>
            </w:pPr>
          </w:p>
        </w:tc>
        <w:tc>
          <w:tcPr>
            <w:tcW w:w="0" w:type="auto"/>
            <w:gridSpan w:val="3"/>
            <w:shd w:val="clear" w:color="auto" w:fill="auto"/>
            <w:vAlign w:val="bottom"/>
          </w:tcPr>
          <w:p w14:paraId="5902A4C8" w14:textId="77777777" w:rsidR="0084406A" w:rsidRDefault="0084406A">
            <w:pPr>
              <w:rPr>
                <w:rFonts w:ascii="宋体"/>
                <w:vanish/>
              </w:rPr>
            </w:pPr>
          </w:p>
        </w:tc>
        <w:tc>
          <w:tcPr>
            <w:tcW w:w="0" w:type="auto"/>
            <w:gridSpan w:val="3"/>
            <w:shd w:val="clear" w:color="auto" w:fill="auto"/>
            <w:vAlign w:val="bottom"/>
          </w:tcPr>
          <w:p w14:paraId="5902A4C9" w14:textId="77777777" w:rsidR="0084406A" w:rsidRDefault="0084406A">
            <w:pPr>
              <w:rPr>
                <w:rFonts w:ascii="宋体"/>
                <w:vanish/>
              </w:rPr>
            </w:pPr>
          </w:p>
        </w:tc>
        <w:tc>
          <w:tcPr>
            <w:tcW w:w="0" w:type="auto"/>
            <w:gridSpan w:val="3"/>
            <w:shd w:val="clear" w:color="auto" w:fill="auto"/>
            <w:vAlign w:val="bottom"/>
          </w:tcPr>
          <w:p w14:paraId="5902A4CA" w14:textId="77777777" w:rsidR="0084406A" w:rsidRDefault="0084406A">
            <w:pPr>
              <w:rPr>
                <w:rFonts w:ascii="宋体"/>
                <w:vanish/>
              </w:rPr>
            </w:pPr>
          </w:p>
        </w:tc>
      </w:tr>
      <w:tr w:rsidR="0084406A" w14:paraId="5902A4D2" w14:textId="77777777">
        <w:trPr>
          <w:jc w:val="center"/>
          <w:hidden/>
        </w:trPr>
        <w:tc>
          <w:tcPr>
            <w:tcW w:w="0" w:type="auto"/>
            <w:gridSpan w:val="3"/>
            <w:shd w:val="clear" w:color="auto" w:fill="auto"/>
            <w:vAlign w:val="bottom"/>
          </w:tcPr>
          <w:p w14:paraId="5902A4CC" w14:textId="77777777" w:rsidR="0084406A" w:rsidRDefault="0084406A">
            <w:pPr>
              <w:rPr>
                <w:rFonts w:ascii="宋体"/>
                <w:vanish/>
              </w:rPr>
            </w:pPr>
          </w:p>
        </w:tc>
        <w:tc>
          <w:tcPr>
            <w:tcW w:w="0" w:type="auto"/>
            <w:gridSpan w:val="3"/>
            <w:shd w:val="clear" w:color="auto" w:fill="auto"/>
            <w:vAlign w:val="bottom"/>
          </w:tcPr>
          <w:p w14:paraId="5902A4CD" w14:textId="77777777" w:rsidR="0084406A" w:rsidRDefault="0084406A">
            <w:pPr>
              <w:rPr>
                <w:rFonts w:ascii="宋体"/>
                <w:vanish/>
              </w:rPr>
            </w:pPr>
          </w:p>
        </w:tc>
        <w:tc>
          <w:tcPr>
            <w:tcW w:w="0" w:type="auto"/>
            <w:gridSpan w:val="3"/>
            <w:shd w:val="clear" w:color="auto" w:fill="auto"/>
            <w:vAlign w:val="bottom"/>
          </w:tcPr>
          <w:p w14:paraId="5902A4CE" w14:textId="77777777" w:rsidR="0084406A" w:rsidRDefault="0084406A">
            <w:pPr>
              <w:rPr>
                <w:rFonts w:ascii="宋体"/>
                <w:vanish/>
              </w:rPr>
            </w:pPr>
          </w:p>
        </w:tc>
        <w:tc>
          <w:tcPr>
            <w:tcW w:w="0" w:type="auto"/>
            <w:gridSpan w:val="3"/>
            <w:shd w:val="clear" w:color="auto" w:fill="auto"/>
            <w:vAlign w:val="bottom"/>
          </w:tcPr>
          <w:p w14:paraId="5902A4CF" w14:textId="77777777" w:rsidR="0084406A" w:rsidRDefault="0084406A">
            <w:pPr>
              <w:rPr>
                <w:rFonts w:ascii="宋体"/>
                <w:vanish/>
              </w:rPr>
            </w:pPr>
          </w:p>
        </w:tc>
        <w:tc>
          <w:tcPr>
            <w:tcW w:w="0" w:type="auto"/>
            <w:gridSpan w:val="3"/>
            <w:shd w:val="clear" w:color="auto" w:fill="auto"/>
            <w:vAlign w:val="bottom"/>
          </w:tcPr>
          <w:p w14:paraId="5902A4D0" w14:textId="77777777" w:rsidR="0084406A" w:rsidRDefault="0084406A">
            <w:pPr>
              <w:rPr>
                <w:rFonts w:ascii="宋体"/>
                <w:vanish/>
              </w:rPr>
            </w:pPr>
          </w:p>
        </w:tc>
        <w:tc>
          <w:tcPr>
            <w:tcW w:w="0" w:type="auto"/>
            <w:gridSpan w:val="3"/>
            <w:shd w:val="clear" w:color="auto" w:fill="auto"/>
            <w:vAlign w:val="bottom"/>
          </w:tcPr>
          <w:p w14:paraId="5902A4D1" w14:textId="77777777" w:rsidR="0084406A" w:rsidRDefault="0084406A">
            <w:pPr>
              <w:rPr>
                <w:rFonts w:ascii="宋体"/>
                <w:vanish/>
              </w:rPr>
            </w:pPr>
          </w:p>
        </w:tc>
      </w:tr>
      <w:tr w:rsidR="0084406A" w14:paraId="5902A4D9" w14:textId="77777777">
        <w:trPr>
          <w:jc w:val="center"/>
          <w:hidden/>
        </w:trPr>
        <w:tc>
          <w:tcPr>
            <w:tcW w:w="0" w:type="auto"/>
            <w:gridSpan w:val="3"/>
            <w:shd w:val="clear" w:color="auto" w:fill="auto"/>
            <w:vAlign w:val="bottom"/>
          </w:tcPr>
          <w:p w14:paraId="5902A4D3" w14:textId="77777777" w:rsidR="0084406A" w:rsidRDefault="0084406A">
            <w:pPr>
              <w:rPr>
                <w:rFonts w:ascii="宋体"/>
                <w:vanish/>
              </w:rPr>
            </w:pPr>
          </w:p>
        </w:tc>
        <w:tc>
          <w:tcPr>
            <w:tcW w:w="0" w:type="auto"/>
            <w:gridSpan w:val="3"/>
            <w:shd w:val="clear" w:color="auto" w:fill="auto"/>
            <w:vAlign w:val="bottom"/>
          </w:tcPr>
          <w:p w14:paraId="5902A4D4" w14:textId="77777777" w:rsidR="0084406A" w:rsidRDefault="0084406A">
            <w:pPr>
              <w:rPr>
                <w:rFonts w:ascii="宋体"/>
                <w:vanish/>
              </w:rPr>
            </w:pPr>
          </w:p>
        </w:tc>
        <w:tc>
          <w:tcPr>
            <w:tcW w:w="0" w:type="auto"/>
            <w:gridSpan w:val="3"/>
            <w:shd w:val="clear" w:color="auto" w:fill="auto"/>
            <w:vAlign w:val="bottom"/>
          </w:tcPr>
          <w:p w14:paraId="5902A4D5" w14:textId="77777777" w:rsidR="0084406A" w:rsidRDefault="0084406A">
            <w:pPr>
              <w:rPr>
                <w:rFonts w:ascii="宋体"/>
                <w:vanish/>
              </w:rPr>
            </w:pPr>
          </w:p>
        </w:tc>
        <w:tc>
          <w:tcPr>
            <w:tcW w:w="0" w:type="auto"/>
            <w:gridSpan w:val="3"/>
            <w:shd w:val="clear" w:color="auto" w:fill="auto"/>
            <w:vAlign w:val="bottom"/>
          </w:tcPr>
          <w:p w14:paraId="5902A4D6" w14:textId="77777777" w:rsidR="0084406A" w:rsidRDefault="0084406A">
            <w:pPr>
              <w:rPr>
                <w:rFonts w:ascii="宋体"/>
                <w:vanish/>
              </w:rPr>
            </w:pPr>
          </w:p>
        </w:tc>
        <w:tc>
          <w:tcPr>
            <w:tcW w:w="0" w:type="auto"/>
            <w:gridSpan w:val="3"/>
            <w:shd w:val="clear" w:color="auto" w:fill="auto"/>
            <w:vAlign w:val="bottom"/>
          </w:tcPr>
          <w:p w14:paraId="5902A4D7" w14:textId="77777777" w:rsidR="0084406A" w:rsidRDefault="0084406A">
            <w:pPr>
              <w:rPr>
                <w:rFonts w:ascii="宋体"/>
                <w:vanish/>
              </w:rPr>
            </w:pPr>
          </w:p>
        </w:tc>
        <w:tc>
          <w:tcPr>
            <w:tcW w:w="0" w:type="auto"/>
            <w:gridSpan w:val="3"/>
            <w:shd w:val="clear" w:color="auto" w:fill="auto"/>
            <w:vAlign w:val="bottom"/>
          </w:tcPr>
          <w:p w14:paraId="5902A4D8" w14:textId="77777777" w:rsidR="0084406A" w:rsidRDefault="0084406A">
            <w:pPr>
              <w:rPr>
                <w:rFonts w:ascii="宋体"/>
                <w:vanish/>
              </w:rPr>
            </w:pPr>
          </w:p>
        </w:tc>
      </w:tr>
      <w:tr w:rsidR="0084406A" w14:paraId="5902A4E0" w14:textId="77777777">
        <w:trPr>
          <w:jc w:val="center"/>
          <w:hidden/>
        </w:trPr>
        <w:tc>
          <w:tcPr>
            <w:tcW w:w="0" w:type="auto"/>
            <w:gridSpan w:val="3"/>
            <w:shd w:val="clear" w:color="auto" w:fill="auto"/>
            <w:vAlign w:val="bottom"/>
          </w:tcPr>
          <w:p w14:paraId="5902A4DA" w14:textId="77777777" w:rsidR="0084406A" w:rsidRDefault="0084406A">
            <w:pPr>
              <w:rPr>
                <w:rFonts w:ascii="宋体"/>
                <w:vanish/>
              </w:rPr>
            </w:pPr>
          </w:p>
        </w:tc>
        <w:tc>
          <w:tcPr>
            <w:tcW w:w="0" w:type="auto"/>
            <w:gridSpan w:val="3"/>
            <w:shd w:val="clear" w:color="auto" w:fill="auto"/>
            <w:vAlign w:val="bottom"/>
          </w:tcPr>
          <w:p w14:paraId="5902A4DB" w14:textId="77777777" w:rsidR="0084406A" w:rsidRDefault="0084406A">
            <w:pPr>
              <w:rPr>
                <w:rFonts w:ascii="宋体"/>
                <w:vanish/>
              </w:rPr>
            </w:pPr>
          </w:p>
        </w:tc>
        <w:tc>
          <w:tcPr>
            <w:tcW w:w="0" w:type="auto"/>
            <w:gridSpan w:val="3"/>
            <w:shd w:val="clear" w:color="auto" w:fill="auto"/>
            <w:vAlign w:val="bottom"/>
          </w:tcPr>
          <w:p w14:paraId="5902A4DC" w14:textId="77777777" w:rsidR="0084406A" w:rsidRDefault="0084406A">
            <w:pPr>
              <w:rPr>
                <w:rFonts w:ascii="宋体"/>
                <w:vanish/>
              </w:rPr>
            </w:pPr>
          </w:p>
        </w:tc>
        <w:tc>
          <w:tcPr>
            <w:tcW w:w="0" w:type="auto"/>
            <w:gridSpan w:val="3"/>
            <w:shd w:val="clear" w:color="auto" w:fill="auto"/>
            <w:vAlign w:val="bottom"/>
          </w:tcPr>
          <w:p w14:paraId="5902A4DD" w14:textId="77777777" w:rsidR="0084406A" w:rsidRDefault="0084406A">
            <w:pPr>
              <w:rPr>
                <w:rFonts w:ascii="宋体"/>
                <w:vanish/>
              </w:rPr>
            </w:pPr>
          </w:p>
        </w:tc>
        <w:tc>
          <w:tcPr>
            <w:tcW w:w="0" w:type="auto"/>
            <w:gridSpan w:val="3"/>
            <w:shd w:val="clear" w:color="auto" w:fill="auto"/>
            <w:vAlign w:val="bottom"/>
          </w:tcPr>
          <w:p w14:paraId="5902A4DE" w14:textId="77777777" w:rsidR="0084406A" w:rsidRDefault="0084406A">
            <w:pPr>
              <w:rPr>
                <w:rFonts w:ascii="宋体"/>
                <w:vanish/>
              </w:rPr>
            </w:pPr>
          </w:p>
        </w:tc>
        <w:tc>
          <w:tcPr>
            <w:tcW w:w="0" w:type="auto"/>
            <w:gridSpan w:val="3"/>
            <w:shd w:val="clear" w:color="auto" w:fill="auto"/>
            <w:vAlign w:val="bottom"/>
          </w:tcPr>
          <w:p w14:paraId="5902A4DF" w14:textId="77777777" w:rsidR="0084406A" w:rsidRDefault="0084406A">
            <w:pPr>
              <w:rPr>
                <w:rFonts w:ascii="宋体"/>
                <w:vanish/>
              </w:rPr>
            </w:pPr>
          </w:p>
        </w:tc>
      </w:tr>
      <w:tr w:rsidR="0084406A" w14:paraId="5902A4E7" w14:textId="77777777">
        <w:trPr>
          <w:jc w:val="center"/>
          <w:hidden/>
        </w:trPr>
        <w:tc>
          <w:tcPr>
            <w:tcW w:w="0" w:type="auto"/>
            <w:gridSpan w:val="3"/>
            <w:shd w:val="clear" w:color="auto" w:fill="auto"/>
            <w:vAlign w:val="bottom"/>
          </w:tcPr>
          <w:p w14:paraId="5902A4E1" w14:textId="77777777" w:rsidR="0084406A" w:rsidRDefault="0084406A">
            <w:pPr>
              <w:rPr>
                <w:rFonts w:ascii="宋体"/>
                <w:vanish/>
              </w:rPr>
            </w:pPr>
          </w:p>
        </w:tc>
        <w:tc>
          <w:tcPr>
            <w:tcW w:w="0" w:type="auto"/>
            <w:gridSpan w:val="3"/>
            <w:shd w:val="clear" w:color="auto" w:fill="auto"/>
            <w:vAlign w:val="bottom"/>
          </w:tcPr>
          <w:p w14:paraId="5902A4E2" w14:textId="77777777" w:rsidR="0084406A" w:rsidRDefault="0084406A">
            <w:pPr>
              <w:rPr>
                <w:rFonts w:ascii="宋体"/>
                <w:vanish/>
              </w:rPr>
            </w:pPr>
          </w:p>
        </w:tc>
        <w:tc>
          <w:tcPr>
            <w:tcW w:w="0" w:type="auto"/>
            <w:gridSpan w:val="3"/>
            <w:shd w:val="clear" w:color="auto" w:fill="auto"/>
            <w:vAlign w:val="bottom"/>
          </w:tcPr>
          <w:p w14:paraId="5902A4E3" w14:textId="77777777" w:rsidR="0084406A" w:rsidRDefault="0084406A">
            <w:pPr>
              <w:rPr>
                <w:rFonts w:ascii="宋体"/>
                <w:vanish/>
              </w:rPr>
            </w:pPr>
          </w:p>
        </w:tc>
        <w:tc>
          <w:tcPr>
            <w:tcW w:w="0" w:type="auto"/>
            <w:gridSpan w:val="3"/>
            <w:shd w:val="clear" w:color="auto" w:fill="auto"/>
            <w:vAlign w:val="bottom"/>
          </w:tcPr>
          <w:p w14:paraId="5902A4E4" w14:textId="77777777" w:rsidR="0084406A" w:rsidRDefault="0084406A">
            <w:pPr>
              <w:rPr>
                <w:rFonts w:ascii="宋体"/>
                <w:vanish/>
              </w:rPr>
            </w:pPr>
          </w:p>
        </w:tc>
        <w:tc>
          <w:tcPr>
            <w:tcW w:w="0" w:type="auto"/>
            <w:gridSpan w:val="3"/>
            <w:shd w:val="clear" w:color="auto" w:fill="auto"/>
            <w:vAlign w:val="bottom"/>
          </w:tcPr>
          <w:p w14:paraId="5902A4E5" w14:textId="77777777" w:rsidR="0084406A" w:rsidRDefault="0084406A">
            <w:pPr>
              <w:rPr>
                <w:rFonts w:ascii="宋体"/>
                <w:vanish/>
              </w:rPr>
            </w:pPr>
          </w:p>
        </w:tc>
        <w:tc>
          <w:tcPr>
            <w:tcW w:w="0" w:type="auto"/>
            <w:gridSpan w:val="3"/>
            <w:shd w:val="clear" w:color="auto" w:fill="auto"/>
            <w:vAlign w:val="bottom"/>
          </w:tcPr>
          <w:p w14:paraId="5902A4E6" w14:textId="77777777" w:rsidR="0084406A" w:rsidRDefault="0084406A">
            <w:pPr>
              <w:rPr>
                <w:rFonts w:ascii="宋体"/>
                <w:vanish/>
              </w:rPr>
            </w:pPr>
          </w:p>
        </w:tc>
      </w:tr>
      <w:tr w:rsidR="0084406A" w14:paraId="5902A4EE" w14:textId="77777777">
        <w:trPr>
          <w:jc w:val="center"/>
          <w:hidden/>
        </w:trPr>
        <w:tc>
          <w:tcPr>
            <w:tcW w:w="0" w:type="auto"/>
            <w:gridSpan w:val="3"/>
            <w:shd w:val="clear" w:color="auto" w:fill="auto"/>
            <w:vAlign w:val="bottom"/>
          </w:tcPr>
          <w:p w14:paraId="5902A4E8" w14:textId="77777777" w:rsidR="0084406A" w:rsidRDefault="0084406A">
            <w:pPr>
              <w:rPr>
                <w:rFonts w:ascii="宋体"/>
                <w:vanish/>
              </w:rPr>
            </w:pPr>
          </w:p>
        </w:tc>
        <w:tc>
          <w:tcPr>
            <w:tcW w:w="0" w:type="auto"/>
            <w:gridSpan w:val="3"/>
            <w:shd w:val="clear" w:color="auto" w:fill="auto"/>
            <w:vAlign w:val="bottom"/>
          </w:tcPr>
          <w:p w14:paraId="5902A4E9" w14:textId="77777777" w:rsidR="0084406A" w:rsidRDefault="0084406A">
            <w:pPr>
              <w:rPr>
                <w:rFonts w:ascii="宋体"/>
                <w:vanish/>
              </w:rPr>
            </w:pPr>
          </w:p>
        </w:tc>
        <w:tc>
          <w:tcPr>
            <w:tcW w:w="0" w:type="auto"/>
            <w:gridSpan w:val="3"/>
            <w:shd w:val="clear" w:color="auto" w:fill="auto"/>
            <w:vAlign w:val="bottom"/>
          </w:tcPr>
          <w:p w14:paraId="5902A4EA" w14:textId="77777777" w:rsidR="0084406A" w:rsidRDefault="0084406A">
            <w:pPr>
              <w:rPr>
                <w:rFonts w:ascii="宋体"/>
                <w:vanish/>
              </w:rPr>
            </w:pPr>
          </w:p>
        </w:tc>
        <w:tc>
          <w:tcPr>
            <w:tcW w:w="0" w:type="auto"/>
            <w:gridSpan w:val="3"/>
            <w:shd w:val="clear" w:color="auto" w:fill="auto"/>
            <w:vAlign w:val="bottom"/>
          </w:tcPr>
          <w:p w14:paraId="5902A4EB" w14:textId="77777777" w:rsidR="0084406A" w:rsidRDefault="0084406A">
            <w:pPr>
              <w:rPr>
                <w:rFonts w:ascii="宋体"/>
                <w:vanish/>
              </w:rPr>
            </w:pPr>
          </w:p>
        </w:tc>
        <w:tc>
          <w:tcPr>
            <w:tcW w:w="0" w:type="auto"/>
            <w:gridSpan w:val="3"/>
            <w:shd w:val="clear" w:color="auto" w:fill="auto"/>
            <w:vAlign w:val="bottom"/>
          </w:tcPr>
          <w:p w14:paraId="5902A4EC" w14:textId="77777777" w:rsidR="0084406A" w:rsidRDefault="0084406A">
            <w:pPr>
              <w:rPr>
                <w:rFonts w:ascii="宋体"/>
                <w:vanish/>
              </w:rPr>
            </w:pPr>
          </w:p>
        </w:tc>
        <w:tc>
          <w:tcPr>
            <w:tcW w:w="0" w:type="auto"/>
            <w:gridSpan w:val="3"/>
            <w:shd w:val="clear" w:color="auto" w:fill="auto"/>
            <w:vAlign w:val="bottom"/>
          </w:tcPr>
          <w:p w14:paraId="5902A4ED" w14:textId="77777777" w:rsidR="0084406A" w:rsidRDefault="0084406A">
            <w:pPr>
              <w:rPr>
                <w:rFonts w:ascii="宋体"/>
                <w:vanish/>
              </w:rPr>
            </w:pPr>
          </w:p>
        </w:tc>
      </w:tr>
      <w:tr w:rsidR="0084406A" w14:paraId="5902A4F5" w14:textId="77777777">
        <w:trPr>
          <w:jc w:val="center"/>
          <w:hidden/>
        </w:trPr>
        <w:tc>
          <w:tcPr>
            <w:tcW w:w="0" w:type="auto"/>
            <w:gridSpan w:val="3"/>
            <w:shd w:val="clear" w:color="auto" w:fill="auto"/>
            <w:vAlign w:val="bottom"/>
          </w:tcPr>
          <w:p w14:paraId="5902A4EF" w14:textId="77777777" w:rsidR="0084406A" w:rsidRDefault="0084406A">
            <w:pPr>
              <w:rPr>
                <w:rFonts w:ascii="宋体"/>
                <w:vanish/>
              </w:rPr>
            </w:pPr>
          </w:p>
        </w:tc>
        <w:tc>
          <w:tcPr>
            <w:tcW w:w="0" w:type="auto"/>
            <w:gridSpan w:val="3"/>
            <w:shd w:val="clear" w:color="auto" w:fill="auto"/>
            <w:vAlign w:val="bottom"/>
          </w:tcPr>
          <w:p w14:paraId="5902A4F0" w14:textId="77777777" w:rsidR="0084406A" w:rsidRDefault="0084406A">
            <w:pPr>
              <w:rPr>
                <w:rFonts w:ascii="宋体"/>
                <w:vanish/>
              </w:rPr>
            </w:pPr>
          </w:p>
        </w:tc>
        <w:tc>
          <w:tcPr>
            <w:tcW w:w="0" w:type="auto"/>
            <w:gridSpan w:val="3"/>
            <w:shd w:val="clear" w:color="auto" w:fill="auto"/>
            <w:vAlign w:val="bottom"/>
          </w:tcPr>
          <w:p w14:paraId="5902A4F1" w14:textId="77777777" w:rsidR="0084406A" w:rsidRDefault="0084406A">
            <w:pPr>
              <w:rPr>
                <w:rFonts w:ascii="宋体"/>
                <w:vanish/>
              </w:rPr>
            </w:pPr>
          </w:p>
        </w:tc>
        <w:tc>
          <w:tcPr>
            <w:tcW w:w="0" w:type="auto"/>
            <w:gridSpan w:val="3"/>
            <w:shd w:val="clear" w:color="auto" w:fill="auto"/>
            <w:vAlign w:val="bottom"/>
          </w:tcPr>
          <w:p w14:paraId="5902A4F2" w14:textId="77777777" w:rsidR="0084406A" w:rsidRDefault="0084406A">
            <w:pPr>
              <w:rPr>
                <w:rFonts w:ascii="宋体"/>
                <w:vanish/>
              </w:rPr>
            </w:pPr>
          </w:p>
        </w:tc>
        <w:tc>
          <w:tcPr>
            <w:tcW w:w="0" w:type="auto"/>
            <w:gridSpan w:val="3"/>
            <w:shd w:val="clear" w:color="auto" w:fill="auto"/>
            <w:vAlign w:val="bottom"/>
          </w:tcPr>
          <w:p w14:paraId="5902A4F3" w14:textId="77777777" w:rsidR="0084406A" w:rsidRDefault="0084406A">
            <w:pPr>
              <w:rPr>
                <w:rFonts w:ascii="宋体"/>
                <w:vanish/>
              </w:rPr>
            </w:pPr>
          </w:p>
        </w:tc>
        <w:tc>
          <w:tcPr>
            <w:tcW w:w="0" w:type="auto"/>
            <w:gridSpan w:val="3"/>
            <w:shd w:val="clear" w:color="auto" w:fill="auto"/>
            <w:vAlign w:val="bottom"/>
          </w:tcPr>
          <w:p w14:paraId="5902A4F4" w14:textId="77777777" w:rsidR="0084406A" w:rsidRDefault="0084406A">
            <w:pPr>
              <w:rPr>
                <w:rFonts w:ascii="宋体"/>
                <w:vanish/>
              </w:rPr>
            </w:pPr>
          </w:p>
        </w:tc>
      </w:tr>
      <w:tr w:rsidR="0084406A" w14:paraId="5902A4FC" w14:textId="77777777">
        <w:trPr>
          <w:jc w:val="center"/>
          <w:hidden/>
        </w:trPr>
        <w:tc>
          <w:tcPr>
            <w:tcW w:w="0" w:type="auto"/>
            <w:gridSpan w:val="3"/>
            <w:shd w:val="clear" w:color="auto" w:fill="auto"/>
            <w:vAlign w:val="bottom"/>
          </w:tcPr>
          <w:p w14:paraId="5902A4F6" w14:textId="77777777" w:rsidR="0084406A" w:rsidRDefault="0084406A">
            <w:pPr>
              <w:rPr>
                <w:rFonts w:ascii="宋体"/>
                <w:vanish/>
              </w:rPr>
            </w:pPr>
          </w:p>
        </w:tc>
        <w:tc>
          <w:tcPr>
            <w:tcW w:w="0" w:type="auto"/>
            <w:gridSpan w:val="3"/>
            <w:shd w:val="clear" w:color="auto" w:fill="auto"/>
            <w:vAlign w:val="bottom"/>
          </w:tcPr>
          <w:p w14:paraId="5902A4F7" w14:textId="77777777" w:rsidR="0084406A" w:rsidRDefault="0084406A">
            <w:pPr>
              <w:rPr>
                <w:rFonts w:ascii="宋体"/>
                <w:vanish/>
              </w:rPr>
            </w:pPr>
          </w:p>
        </w:tc>
        <w:tc>
          <w:tcPr>
            <w:tcW w:w="0" w:type="auto"/>
            <w:gridSpan w:val="3"/>
            <w:shd w:val="clear" w:color="auto" w:fill="auto"/>
            <w:vAlign w:val="bottom"/>
          </w:tcPr>
          <w:p w14:paraId="5902A4F8" w14:textId="77777777" w:rsidR="0084406A" w:rsidRDefault="0084406A">
            <w:pPr>
              <w:rPr>
                <w:rFonts w:ascii="宋体"/>
                <w:vanish/>
              </w:rPr>
            </w:pPr>
          </w:p>
        </w:tc>
        <w:tc>
          <w:tcPr>
            <w:tcW w:w="0" w:type="auto"/>
            <w:gridSpan w:val="3"/>
            <w:shd w:val="clear" w:color="auto" w:fill="auto"/>
            <w:vAlign w:val="bottom"/>
          </w:tcPr>
          <w:p w14:paraId="5902A4F9" w14:textId="77777777" w:rsidR="0084406A" w:rsidRDefault="0084406A">
            <w:pPr>
              <w:rPr>
                <w:rFonts w:ascii="宋体"/>
                <w:vanish/>
              </w:rPr>
            </w:pPr>
          </w:p>
        </w:tc>
        <w:tc>
          <w:tcPr>
            <w:tcW w:w="0" w:type="auto"/>
            <w:gridSpan w:val="3"/>
            <w:shd w:val="clear" w:color="auto" w:fill="auto"/>
            <w:vAlign w:val="bottom"/>
          </w:tcPr>
          <w:p w14:paraId="5902A4FA" w14:textId="77777777" w:rsidR="0084406A" w:rsidRDefault="0084406A">
            <w:pPr>
              <w:rPr>
                <w:rFonts w:ascii="宋体"/>
                <w:vanish/>
              </w:rPr>
            </w:pPr>
          </w:p>
        </w:tc>
        <w:tc>
          <w:tcPr>
            <w:tcW w:w="0" w:type="auto"/>
            <w:gridSpan w:val="3"/>
            <w:shd w:val="clear" w:color="auto" w:fill="auto"/>
            <w:vAlign w:val="bottom"/>
          </w:tcPr>
          <w:p w14:paraId="5902A4FB" w14:textId="77777777" w:rsidR="0084406A" w:rsidRDefault="0084406A">
            <w:pPr>
              <w:rPr>
                <w:rFonts w:ascii="宋体"/>
                <w:vanish/>
              </w:rPr>
            </w:pPr>
          </w:p>
        </w:tc>
      </w:tr>
      <w:tr w:rsidR="0084406A" w14:paraId="5902A503" w14:textId="77777777">
        <w:trPr>
          <w:jc w:val="center"/>
          <w:hidden/>
        </w:trPr>
        <w:tc>
          <w:tcPr>
            <w:tcW w:w="0" w:type="auto"/>
            <w:gridSpan w:val="3"/>
            <w:shd w:val="clear" w:color="auto" w:fill="auto"/>
            <w:vAlign w:val="bottom"/>
          </w:tcPr>
          <w:p w14:paraId="5902A4FD" w14:textId="77777777" w:rsidR="0084406A" w:rsidRDefault="0084406A">
            <w:pPr>
              <w:rPr>
                <w:rFonts w:ascii="宋体"/>
                <w:vanish/>
              </w:rPr>
            </w:pPr>
          </w:p>
        </w:tc>
        <w:tc>
          <w:tcPr>
            <w:tcW w:w="0" w:type="auto"/>
            <w:gridSpan w:val="3"/>
            <w:shd w:val="clear" w:color="auto" w:fill="auto"/>
            <w:vAlign w:val="bottom"/>
          </w:tcPr>
          <w:p w14:paraId="5902A4FE" w14:textId="77777777" w:rsidR="0084406A" w:rsidRDefault="0084406A">
            <w:pPr>
              <w:rPr>
                <w:rFonts w:ascii="宋体"/>
                <w:vanish/>
              </w:rPr>
            </w:pPr>
          </w:p>
        </w:tc>
        <w:tc>
          <w:tcPr>
            <w:tcW w:w="0" w:type="auto"/>
            <w:gridSpan w:val="3"/>
            <w:shd w:val="clear" w:color="auto" w:fill="auto"/>
            <w:vAlign w:val="bottom"/>
          </w:tcPr>
          <w:p w14:paraId="5902A4FF" w14:textId="77777777" w:rsidR="0084406A" w:rsidRDefault="0084406A">
            <w:pPr>
              <w:rPr>
                <w:rFonts w:ascii="宋体"/>
                <w:vanish/>
              </w:rPr>
            </w:pPr>
          </w:p>
        </w:tc>
        <w:tc>
          <w:tcPr>
            <w:tcW w:w="0" w:type="auto"/>
            <w:gridSpan w:val="3"/>
            <w:shd w:val="clear" w:color="auto" w:fill="auto"/>
            <w:vAlign w:val="bottom"/>
          </w:tcPr>
          <w:p w14:paraId="5902A500" w14:textId="77777777" w:rsidR="0084406A" w:rsidRDefault="0084406A">
            <w:pPr>
              <w:rPr>
                <w:rFonts w:ascii="宋体"/>
                <w:vanish/>
              </w:rPr>
            </w:pPr>
          </w:p>
        </w:tc>
        <w:tc>
          <w:tcPr>
            <w:tcW w:w="0" w:type="auto"/>
            <w:gridSpan w:val="3"/>
            <w:shd w:val="clear" w:color="auto" w:fill="auto"/>
            <w:vAlign w:val="bottom"/>
          </w:tcPr>
          <w:p w14:paraId="5902A501" w14:textId="77777777" w:rsidR="0084406A" w:rsidRDefault="0084406A">
            <w:pPr>
              <w:rPr>
                <w:rFonts w:ascii="宋体"/>
                <w:vanish/>
              </w:rPr>
            </w:pPr>
          </w:p>
        </w:tc>
        <w:tc>
          <w:tcPr>
            <w:tcW w:w="0" w:type="auto"/>
            <w:gridSpan w:val="3"/>
            <w:shd w:val="clear" w:color="auto" w:fill="auto"/>
            <w:vAlign w:val="bottom"/>
          </w:tcPr>
          <w:p w14:paraId="5902A502" w14:textId="77777777" w:rsidR="0084406A" w:rsidRDefault="0084406A">
            <w:pPr>
              <w:rPr>
                <w:rFonts w:ascii="宋体"/>
                <w:vanish/>
              </w:rPr>
            </w:pPr>
          </w:p>
        </w:tc>
      </w:tr>
    </w:tbl>
    <w:p w14:paraId="5902A504" w14:textId="77777777" w:rsidR="0084406A" w:rsidRDefault="002B18AF">
      <w:pPr>
        <w:jc w:val="center"/>
      </w:pPr>
      <w:r>
        <w:rPr>
          <w:rFonts w:ascii="Arial" w:eastAsia="宋体" w:hAnsi="Arial" w:cs="Arial"/>
          <w:color w:val="000000"/>
          <w:sz w:val="20"/>
          <w:szCs w:val="20"/>
        </w:rPr>
        <w:t>52</w:t>
      </w:r>
    </w:p>
    <w:p w14:paraId="5902A505" w14:textId="77777777" w:rsidR="0084406A" w:rsidRDefault="002B18AF">
      <w:r>
        <w:pict w14:anchorId="5902BB2A">
          <v:rect id="_x0000_i1079" style="width:415.3pt;height:1.5pt" o:hralign="center" o:hrstd="t" o:hr="t" fillcolor="#a0a0a0" stroked="f"/>
        </w:pict>
      </w:r>
    </w:p>
    <w:p w14:paraId="5902A506" w14:textId="77777777" w:rsidR="0084406A" w:rsidRDefault="0084406A"/>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147"/>
        <w:gridCol w:w="38"/>
        <w:gridCol w:w="122"/>
        <w:gridCol w:w="834"/>
        <w:gridCol w:w="36"/>
        <w:gridCol w:w="36"/>
        <w:gridCol w:w="36"/>
        <w:gridCol w:w="36"/>
        <w:gridCol w:w="122"/>
        <w:gridCol w:w="793"/>
        <w:gridCol w:w="36"/>
        <w:gridCol w:w="36"/>
        <w:gridCol w:w="36"/>
        <w:gridCol w:w="36"/>
        <w:gridCol w:w="122"/>
        <w:gridCol w:w="795"/>
        <w:gridCol w:w="36"/>
      </w:tblGrid>
      <w:tr w:rsidR="0084406A" w14:paraId="5902A519" w14:textId="77777777">
        <w:trPr>
          <w:jc w:val="center"/>
        </w:trPr>
        <w:tc>
          <w:tcPr>
            <w:tcW w:w="50" w:type="pct"/>
            <w:shd w:val="clear" w:color="auto" w:fill="auto"/>
            <w:vAlign w:val="bottom"/>
          </w:tcPr>
          <w:p w14:paraId="5902A507" w14:textId="77777777" w:rsidR="0084406A" w:rsidRDefault="0084406A">
            <w:pPr>
              <w:rPr>
                <w:rFonts w:ascii="宋体"/>
              </w:rPr>
            </w:pPr>
          </w:p>
        </w:tc>
        <w:tc>
          <w:tcPr>
            <w:tcW w:w="3117" w:type="pct"/>
            <w:shd w:val="clear" w:color="auto" w:fill="auto"/>
            <w:vAlign w:val="bottom"/>
          </w:tcPr>
          <w:p w14:paraId="5902A508" w14:textId="77777777" w:rsidR="0084406A" w:rsidRDefault="0084406A">
            <w:pPr>
              <w:rPr>
                <w:rFonts w:ascii="宋体"/>
              </w:rPr>
            </w:pPr>
          </w:p>
        </w:tc>
        <w:tc>
          <w:tcPr>
            <w:tcW w:w="5" w:type="pct"/>
            <w:shd w:val="clear" w:color="auto" w:fill="auto"/>
            <w:vAlign w:val="bottom"/>
          </w:tcPr>
          <w:p w14:paraId="5902A509" w14:textId="77777777" w:rsidR="0084406A" w:rsidRDefault="0084406A">
            <w:pPr>
              <w:rPr>
                <w:rFonts w:ascii="宋体"/>
              </w:rPr>
            </w:pPr>
          </w:p>
        </w:tc>
        <w:tc>
          <w:tcPr>
            <w:tcW w:w="50" w:type="pct"/>
            <w:shd w:val="clear" w:color="auto" w:fill="auto"/>
            <w:vAlign w:val="bottom"/>
          </w:tcPr>
          <w:p w14:paraId="5902A50A" w14:textId="77777777" w:rsidR="0084406A" w:rsidRDefault="0084406A">
            <w:pPr>
              <w:rPr>
                <w:rFonts w:ascii="宋体"/>
              </w:rPr>
            </w:pPr>
          </w:p>
        </w:tc>
        <w:tc>
          <w:tcPr>
            <w:tcW w:w="529" w:type="pct"/>
            <w:shd w:val="clear" w:color="auto" w:fill="auto"/>
            <w:vAlign w:val="bottom"/>
          </w:tcPr>
          <w:p w14:paraId="5902A50B" w14:textId="77777777" w:rsidR="0084406A" w:rsidRDefault="0084406A">
            <w:pPr>
              <w:rPr>
                <w:rFonts w:ascii="宋体"/>
              </w:rPr>
            </w:pPr>
          </w:p>
        </w:tc>
        <w:tc>
          <w:tcPr>
            <w:tcW w:w="5" w:type="pct"/>
            <w:shd w:val="clear" w:color="auto" w:fill="auto"/>
            <w:vAlign w:val="bottom"/>
          </w:tcPr>
          <w:p w14:paraId="5902A50C" w14:textId="77777777" w:rsidR="0084406A" w:rsidRDefault="0084406A">
            <w:pPr>
              <w:rPr>
                <w:rFonts w:ascii="宋体"/>
              </w:rPr>
            </w:pPr>
          </w:p>
        </w:tc>
        <w:tc>
          <w:tcPr>
            <w:tcW w:w="5" w:type="pct"/>
            <w:shd w:val="clear" w:color="auto" w:fill="auto"/>
            <w:vAlign w:val="bottom"/>
          </w:tcPr>
          <w:p w14:paraId="5902A50D" w14:textId="77777777" w:rsidR="0084406A" w:rsidRDefault="0084406A">
            <w:pPr>
              <w:rPr>
                <w:rFonts w:ascii="宋体"/>
              </w:rPr>
            </w:pPr>
          </w:p>
        </w:tc>
        <w:tc>
          <w:tcPr>
            <w:tcW w:w="26" w:type="pct"/>
            <w:shd w:val="clear" w:color="auto" w:fill="auto"/>
            <w:vAlign w:val="bottom"/>
          </w:tcPr>
          <w:p w14:paraId="5902A50E" w14:textId="77777777" w:rsidR="0084406A" w:rsidRDefault="0084406A">
            <w:pPr>
              <w:rPr>
                <w:rFonts w:ascii="宋体"/>
              </w:rPr>
            </w:pPr>
          </w:p>
        </w:tc>
        <w:tc>
          <w:tcPr>
            <w:tcW w:w="5" w:type="pct"/>
            <w:shd w:val="clear" w:color="auto" w:fill="auto"/>
            <w:vAlign w:val="bottom"/>
          </w:tcPr>
          <w:p w14:paraId="5902A50F" w14:textId="77777777" w:rsidR="0084406A" w:rsidRDefault="0084406A">
            <w:pPr>
              <w:rPr>
                <w:rFonts w:ascii="宋体"/>
              </w:rPr>
            </w:pPr>
          </w:p>
        </w:tc>
        <w:tc>
          <w:tcPr>
            <w:tcW w:w="50" w:type="pct"/>
            <w:shd w:val="clear" w:color="auto" w:fill="auto"/>
            <w:vAlign w:val="bottom"/>
          </w:tcPr>
          <w:p w14:paraId="5902A510" w14:textId="77777777" w:rsidR="0084406A" w:rsidRDefault="0084406A">
            <w:pPr>
              <w:rPr>
                <w:rFonts w:ascii="宋体"/>
              </w:rPr>
            </w:pPr>
          </w:p>
        </w:tc>
        <w:tc>
          <w:tcPr>
            <w:tcW w:w="529" w:type="pct"/>
            <w:shd w:val="clear" w:color="auto" w:fill="auto"/>
            <w:vAlign w:val="bottom"/>
          </w:tcPr>
          <w:p w14:paraId="5902A511" w14:textId="77777777" w:rsidR="0084406A" w:rsidRDefault="0084406A">
            <w:pPr>
              <w:rPr>
                <w:rFonts w:ascii="宋体"/>
              </w:rPr>
            </w:pPr>
          </w:p>
        </w:tc>
        <w:tc>
          <w:tcPr>
            <w:tcW w:w="5" w:type="pct"/>
            <w:shd w:val="clear" w:color="auto" w:fill="auto"/>
            <w:vAlign w:val="bottom"/>
          </w:tcPr>
          <w:p w14:paraId="5902A512" w14:textId="77777777" w:rsidR="0084406A" w:rsidRDefault="0084406A">
            <w:pPr>
              <w:rPr>
                <w:rFonts w:ascii="宋体"/>
              </w:rPr>
            </w:pPr>
          </w:p>
        </w:tc>
        <w:tc>
          <w:tcPr>
            <w:tcW w:w="5" w:type="pct"/>
            <w:shd w:val="clear" w:color="auto" w:fill="auto"/>
            <w:vAlign w:val="bottom"/>
          </w:tcPr>
          <w:p w14:paraId="5902A513" w14:textId="77777777" w:rsidR="0084406A" w:rsidRDefault="0084406A">
            <w:pPr>
              <w:rPr>
                <w:rFonts w:ascii="宋体"/>
              </w:rPr>
            </w:pPr>
          </w:p>
        </w:tc>
        <w:tc>
          <w:tcPr>
            <w:tcW w:w="26" w:type="pct"/>
            <w:shd w:val="clear" w:color="auto" w:fill="auto"/>
            <w:vAlign w:val="bottom"/>
          </w:tcPr>
          <w:p w14:paraId="5902A514" w14:textId="77777777" w:rsidR="0084406A" w:rsidRDefault="0084406A">
            <w:pPr>
              <w:rPr>
                <w:rFonts w:ascii="宋体"/>
              </w:rPr>
            </w:pPr>
          </w:p>
        </w:tc>
        <w:tc>
          <w:tcPr>
            <w:tcW w:w="5" w:type="pct"/>
            <w:shd w:val="clear" w:color="auto" w:fill="auto"/>
            <w:vAlign w:val="bottom"/>
          </w:tcPr>
          <w:p w14:paraId="5902A515" w14:textId="77777777" w:rsidR="0084406A" w:rsidRDefault="0084406A">
            <w:pPr>
              <w:rPr>
                <w:rFonts w:ascii="宋体"/>
              </w:rPr>
            </w:pPr>
          </w:p>
        </w:tc>
        <w:tc>
          <w:tcPr>
            <w:tcW w:w="50" w:type="pct"/>
            <w:shd w:val="clear" w:color="auto" w:fill="auto"/>
            <w:vAlign w:val="bottom"/>
          </w:tcPr>
          <w:p w14:paraId="5902A516" w14:textId="77777777" w:rsidR="0084406A" w:rsidRDefault="0084406A">
            <w:pPr>
              <w:rPr>
                <w:rFonts w:ascii="宋体"/>
              </w:rPr>
            </w:pPr>
          </w:p>
        </w:tc>
        <w:tc>
          <w:tcPr>
            <w:tcW w:w="530" w:type="pct"/>
            <w:shd w:val="clear" w:color="auto" w:fill="auto"/>
            <w:vAlign w:val="bottom"/>
          </w:tcPr>
          <w:p w14:paraId="5902A517" w14:textId="77777777" w:rsidR="0084406A" w:rsidRDefault="0084406A">
            <w:pPr>
              <w:rPr>
                <w:rFonts w:ascii="宋体"/>
              </w:rPr>
            </w:pPr>
          </w:p>
        </w:tc>
        <w:tc>
          <w:tcPr>
            <w:tcW w:w="5" w:type="pct"/>
            <w:shd w:val="clear" w:color="auto" w:fill="auto"/>
            <w:vAlign w:val="bottom"/>
          </w:tcPr>
          <w:p w14:paraId="5902A518" w14:textId="77777777" w:rsidR="0084406A" w:rsidRDefault="0084406A">
            <w:pPr>
              <w:rPr>
                <w:rFonts w:ascii="宋体"/>
              </w:rPr>
            </w:pPr>
          </w:p>
        </w:tc>
      </w:tr>
      <w:tr w:rsidR="0084406A" w14:paraId="5902A51C" w14:textId="77777777">
        <w:trPr>
          <w:jc w:val="center"/>
        </w:trPr>
        <w:tc>
          <w:tcPr>
            <w:tcW w:w="0" w:type="auto"/>
            <w:gridSpan w:val="3"/>
            <w:shd w:val="clear" w:color="auto" w:fill="auto"/>
            <w:tcMar>
              <w:top w:w="0" w:type="dxa"/>
              <w:left w:w="20" w:type="dxa"/>
              <w:bottom w:w="0" w:type="dxa"/>
              <w:right w:w="20" w:type="dxa"/>
            </w:tcMar>
            <w:vAlign w:val="bottom"/>
          </w:tcPr>
          <w:p w14:paraId="5902A51A"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51B"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A523" w14:textId="77777777">
        <w:trPr>
          <w:jc w:val="center"/>
        </w:trPr>
        <w:tc>
          <w:tcPr>
            <w:tcW w:w="0" w:type="auto"/>
            <w:gridSpan w:val="3"/>
            <w:shd w:val="clear" w:color="auto" w:fill="auto"/>
            <w:tcMar>
              <w:top w:w="0" w:type="dxa"/>
              <w:left w:w="20" w:type="dxa"/>
              <w:bottom w:w="0" w:type="dxa"/>
              <w:right w:w="20" w:type="dxa"/>
            </w:tcMar>
            <w:vAlign w:val="bottom"/>
          </w:tcPr>
          <w:p w14:paraId="5902A51D"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51E"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51F"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520"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521"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522"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84406A" w14:paraId="5902A526" w14:textId="77777777">
        <w:trPr>
          <w:jc w:val="center"/>
        </w:trPr>
        <w:tc>
          <w:tcPr>
            <w:tcW w:w="0" w:type="auto"/>
            <w:gridSpan w:val="3"/>
            <w:shd w:val="clear" w:color="auto" w:fill="auto"/>
            <w:tcMar>
              <w:top w:w="40" w:type="dxa"/>
              <w:left w:w="20" w:type="dxa"/>
              <w:bottom w:w="40" w:type="dxa"/>
              <w:right w:w="20" w:type="dxa"/>
            </w:tcMar>
            <w:vAlign w:val="bottom"/>
          </w:tcPr>
          <w:p w14:paraId="5902A524"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525" w14:textId="77777777" w:rsidR="0084406A" w:rsidRDefault="002B18AF">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r>
      <w:tr w:rsidR="0084406A" w14:paraId="5902A52D" w14:textId="77777777">
        <w:trPr>
          <w:jc w:val="center"/>
        </w:trPr>
        <w:tc>
          <w:tcPr>
            <w:tcW w:w="0" w:type="auto"/>
            <w:gridSpan w:val="3"/>
            <w:shd w:val="clear" w:color="auto" w:fill="CCEEFF"/>
            <w:tcMar>
              <w:top w:w="40" w:type="dxa"/>
              <w:left w:w="20" w:type="dxa"/>
              <w:bottom w:w="40" w:type="dxa"/>
              <w:right w:w="20" w:type="dxa"/>
            </w:tcMar>
            <w:vAlign w:val="bottom"/>
          </w:tcPr>
          <w:p w14:paraId="5902A527" w14:textId="77777777" w:rsidR="0084406A" w:rsidRDefault="002B18AF">
            <w:pPr>
              <w:textAlignment w:val="bottom"/>
            </w:pPr>
            <w:r>
              <w:rPr>
                <w:rFonts w:ascii="Arial" w:eastAsia="宋体" w:hAnsi="Arial" w:cs="Arial"/>
                <w:color w:val="000000"/>
                <w:sz w:val="18"/>
                <w:szCs w:val="18"/>
              </w:rPr>
              <w:t>Supplemental cash flow information:</w:t>
            </w:r>
          </w:p>
        </w:tc>
        <w:tc>
          <w:tcPr>
            <w:tcW w:w="0" w:type="auto"/>
            <w:gridSpan w:val="3"/>
            <w:shd w:val="clear" w:color="auto" w:fill="CCEEFF"/>
            <w:tcMar>
              <w:top w:w="0" w:type="dxa"/>
              <w:left w:w="20" w:type="dxa"/>
              <w:bottom w:w="0" w:type="dxa"/>
              <w:right w:w="20" w:type="dxa"/>
            </w:tcMar>
            <w:vAlign w:val="bottom"/>
          </w:tcPr>
          <w:p w14:paraId="5902A52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2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2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2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2C" w14:textId="77777777" w:rsidR="0084406A" w:rsidRDefault="0084406A">
            <w:pPr>
              <w:rPr>
                <w:rFonts w:ascii="宋体"/>
              </w:rPr>
            </w:pPr>
          </w:p>
        </w:tc>
      </w:tr>
      <w:tr w:rsidR="0084406A" w14:paraId="5902A534" w14:textId="77777777">
        <w:trPr>
          <w:jc w:val="center"/>
        </w:trPr>
        <w:tc>
          <w:tcPr>
            <w:tcW w:w="0" w:type="auto"/>
            <w:gridSpan w:val="3"/>
            <w:shd w:val="clear" w:color="auto" w:fill="FFFFFF"/>
            <w:tcMar>
              <w:top w:w="40" w:type="dxa"/>
              <w:left w:w="380" w:type="dxa"/>
              <w:bottom w:w="40" w:type="dxa"/>
              <w:right w:w="20" w:type="dxa"/>
            </w:tcMar>
            <w:vAlign w:val="bottom"/>
          </w:tcPr>
          <w:p w14:paraId="5902A52E" w14:textId="77777777" w:rsidR="0084406A" w:rsidRDefault="002B18AF">
            <w:pPr>
              <w:textAlignment w:val="bottom"/>
            </w:pPr>
            <w:r>
              <w:rPr>
                <w:rFonts w:ascii="Arial" w:eastAsia="宋体" w:hAnsi="Arial" w:cs="Arial"/>
                <w:color w:val="000000"/>
                <w:sz w:val="18"/>
                <w:szCs w:val="18"/>
              </w:rPr>
              <w:t>Cash paid during the year for:</w:t>
            </w:r>
          </w:p>
        </w:tc>
        <w:tc>
          <w:tcPr>
            <w:tcW w:w="0" w:type="auto"/>
            <w:gridSpan w:val="3"/>
            <w:shd w:val="clear" w:color="auto" w:fill="FFFFFF"/>
            <w:tcMar>
              <w:top w:w="0" w:type="dxa"/>
              <w:left w:w="20" w:type="dxa"/>
              <w:bottom w:w="0" w:type="dxa"/>
              <w:right w:w="20" w:type="dxa"/>
            </w:tcMar>
            <w:vAlign w:val="bottom"/>
          </w:tcPr>
          <w:p w14:paraId="5902A52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30"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31"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32"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33" w14:textId="77777777" w:rsidR="0084406A" w:rsidRDefault="0084406A">
            <w:pPr>
              <w:rPr>
                <w:rFonts w:ascii="宋体"/>
              </w:rPr>
            </w:pPr>
          </w:p>
        </w:tc>
      </w:tr>
      <w:tr w:rsidR="0084406A" w14:paraId="5902A541" w14:textId="77777777">
        <w:trPr>
          <w:jc w:val="center"/>
        </w:trPr>
        <w:tc>
          <w:tcPr>
            <w:tcW w:w="0" w:type="auto"/>
            <w:gridSpan w:val="3"/>
            <w:shd w:val="clear" w:color="auto" w:fill="CCEEFF"/>
            <w:tcMar>
              <w:top w:w="40" w:type="dxa"/>
              <w:left w:w="740" w:type="dxa"/>
              <w:bottom w:w="40" w:type="dxa"/>
              <w:right w:w="20" w:type="dxa"/>
            </w:tcMar>
            <w:vAlign w:val="bottom"/>
          </w:tcPr>
          <w:p w14:paraId="5902A535" w14:textId="77777777" w:rsidR="0084406A" w:rsidRDefault="002B18AF">
            <w:pPr>
              <w:textAlignment w:val="bottom"/>
            </w:pPr>
            <w:r>
              <w:rPr>
                <w:rFonts w:ascii="Arial" w:eastAsia="宋体" w:hAnsi="Arial" w:cs="Arial"/>
                <w:color w:val="000000"/>
                <w:sz w:val="18"/>
                <w:szCs w:val="18"/>
              </w:rPr>
              <w:t>Interest</w:t>
            </w:r>
          </w:p>
        </w:tc>
        <w:tc>
          <w:tcPr>
            <w:tcW w:w="0" w:type="auto"/>
            <w:shd w:val="clear" w:color="auto" w:fill="CCEEFF"/>
            <w:tcMar>
              <w:top w:w="40" w:type="dxa"/>
              <w:left w:w="20" w:type="dxa"/>
              <w:bottom w:w="40" w:type="dxa"/>
              <w:right w:w="0" w:type="dxa"/>
            </w:tcMar>
            <w:vAlign w:val="bottom"/>
          </w:tcPr>
          <w:p w14:paraId="5902A536"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37" w14:textId="77777777" w:rsidR="0084406A" w:rsidRDefault="002B18AF">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5902A53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3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3A"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3B" w14:textId="77777777" w:rsidR="0084406A" w:rsidRDefault="002B18AF">
            <w:pPr>
              <w:jc w:val="right"/>
              <w:textAlignment w:val="bottom"/>
            </w:pPr>
            <w:r>
              <w:rPr>
                <w:rFonts w:ascii="Arial" w:eastAsia="宋体" w:hAnsi="Arial" w:cs="Arial"/>
                <w:color w:val="000000"/>
                <w:sz w:val="18"/>
                <w:szCs w:val="18"/>
              </w:rPr>
              <w:t>31 </w:t>
            </w:r>
          </w:p>
        </w:tc>
        <w:tc>
          <w:tcPr>
            <w:tcW w:w="0" w:type="auto"/>
            <w:shd w:val="clear" w:color="auto" w:fill="CCEEFF"/>
            <w:tcMar>
              <w:top w:w="40" w:type="dxa"/>
              <w:left w:w="0" w:type="dxa"/>
              <w:bottom w:w="40" w:type="dxa"/>
              <w:right w:w="20" w:type="dxa"/>
            </w:tcMar>
            <w:vAlign w:val="bottom"/>
          </w:tcPr>
          <w:p w14:paraId="5902A53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3D"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3E"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3F" w14:textId="77777777" w:rsidR="0084406A" w:rsidRDefault="002B18AF">
            <w:pPr>
              <w:jc w:val="right"/>
              <w:textAlignment w:val="bottom"/>
            </w:pPr>
            <w:r>
              <w:rPr>
                <w:rFonts w:ascii="Arial" w:eastAsia="宋体" w:hAnsi="Arial" w:cs="Arial"/>
                <w:color w:val="000000"/>
                <w:sz w:val="18"/>
                <w:szCs w:val="18"/>
              </w:rPr>
              <w:t>67 </w:t>
            </w:r>
          </w:p>
        </w:tc>
        <w:tc>
          <w:tcPr>
            <w:tcW w:w="0" w:type="auto"/>
            <w:shd w:val="clear" w:color="auto" w:fill="CCEEFF"/>
            <w:tcMar>
              <w:top w:w="40" w:type="dxa"/>
              <w:left w:w="0" w:type="dxa"/>
              <w:bottom w:w="40" w:type="dxa"/>
              <w:right w:w="20" w:type="dxa"/>
            </w:tcMar>
            <w:vAlign w:val="bottom"/>
          </w:tcPr>
          <w:p w14:paraId="5902A540" w14:textId="77777777" w:rsidR="0084406A" w:rsidRDefault="0084406A">
            <w:pPr>
              <w:jc w:val="right"/>
              <w:rPr>
                <w:rFonts w:ascii="宋体"/>
              </w:rPr>
            </w:pPr>
          </w:p>
        </w:tc>
      </w:tr>
      <w:tr w:rsidR="0084406A" w14:paraId="5902A54E" w14:textId="77777777">
        <w:trPr>
          <w:jc w:val="center"/>
        </w:trPr>
        <w:tc>
          <w:tcPr>
            <w:tcW w:w="0" w:type="auto"/>
            <w:gridSpan w:val="3"/>
            <w:shd w:val="clear" w:color="auto" w:fill="FFFFFF"/>
            <w:tcMar>
              <w:top w:w="40" w:type="dxa"/>
              <w:left w:w="740" w:type="dxa"/>
              <w:bottom w:w="40" w:type="dxa"/>
              <w:right w:w="20" w:type="dxa"/>
            </w:tcMar>
            <w:vAlign w:val="bottom"/>
          </w:tcPr>
          <w:p w14:paraId="5902A542" w14:textId="77777777" w:rsidR="0084406A" w:rsidRDefault="002B18AF">
            <w:pPr>
              <w:textAlignment w:val="bottom"/>
            </w:pPr>
            <w:r>
              <w:rPr>
                <w:rFonts w:ascii="Arial" w:eastAsia="宋体" w:hAnsi="Arial" w:cs="Arial"/>
                <w:color w:val="000000"/>
                <w:sz w:val="18"/>
                <w:szCs w:val="18"/>
              </w:rPr>
              <w:t>Income taxes, net of refund</w:t>
            </w:r>
          </w:p>
        </w:tc>
        <w:tc>
          <w:tcPr>
            <w:tcW w:w="0" w:type="auto"/>
            <w:shd w:val="clear" w:color="auto" w:fill="auto"/>
            <w:tcMar>
              <w:top w:w="40" w:type="dxa"/>
              <w:left w:w="20" w:type="dxa"/>
              <w:bottom w:w="40" w:type="dxa"/>
              <w:right w:w="0" w:type="dxa"/>
            </w:tcMar>
            <w:vAlign w:val="bottom"/>
          </w:tcPr>
          <w:p w14:paraId="5902A543" w14:textId="77777777" w:rsidR="0084406A" w:rsidRDefault="002B18AF">
            <w:pPr>
              <w:textAlignment w:val="bottom"/>
            </w:pPr>
            <w:r>
              <w:rPr>
                <w:rFonts w:ascii="Arial" w:eastAsia="宋体" w:hAnsi="Arial" w:cs="Arial"/>
                <w:color w:val="000000"/>
                <w:sz w:val="18"/>
                <w:szCs w:val="18"/>
              </w:rPr>
              <w:t>$</w:t>
            </w:r>
          </w:p>
        </w:tc>
        <w:tc>
          <w:tcPr>
            <w:tcW w:w="0" w:type="auto"/>
            <w:shd w:val="clear" w:color="auto" w:fill="auto"/>
            <w:tcMar>
              <w:top w:w="40" w:type="dxa"/>
              <w:left w:w="0" w:type="dxa"/>
              <w:bottom w:w="40" w:type="dxa"/>
              <w:right w:w="0" w:type="dxa"/>
            </w:tcMar>
            <w:vAlign w:val="bottom"/>
          </w:tcPr>
          <w:p w14:paraId="5902A544" w14:textId="77777777" w:rsidR="0084406A" w:rsidRDefault="002B18AF">
            <w:pPr>
              <w:jc w:val="right"/>
              <w:textAlignment w:val="bottom"/>
            </w:pPr>
            <w:r>
              <w:rPr>
                <w:rFonts w:ascii="Arial" w:eastAsia="宋体" w:hAnsi="Arial" w:cs="Arial"/>
                <w:color w:val="000000"/>
                <w:sz w:val="18"/>
                <w:szCs w:val="18"/>
              </w:rPr>
              <w:t>35 </w:t>
            </w:r>
          </w:p>
        </w:tc>
        <w:tc>
          <w:tcPr>
            <w:tcW w:w="0" w:type="auto"/>
            <w:shd w:val="clear" w:color="auto" w:fill="auto"/>
            <w:tcMar>
              <w:top w:w="40" w:type="dxa"/>
              <w:left w:w="0" w:type="dxa"/>
              <w:bottom w:w="40" w:type="dxa"/>
              <w:right w:w="20" w:type="dxa"/>
            </w:tcMar>
            <w:vAlign w:val="bottom"/>
          </w:tcPr>
          <w:p w14:paraId="5902A54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46"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47"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48" w14:textId="77777777" w:rsidR="0084406A" w:rsidRDefault="002B18AF">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5902A54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4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4B"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4C" w14:textId="77777777" w:rsidR="0084406A" w:rsidRDefault="002B18AF">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5902A54D" w14:textId="77777777" w:rsidR="0084406A" w:rsidRDefault="0084406A">
            <w:pPr>
              <w:jc w:val="right"/>
              <w:rPr>
                <w:rFonts w:ascii="宋体"/>
              </w:rPr>
            </w:pPr>
          </w:p>
        </w:tc>
      </w:tr>
      <w:tr w:rsidR="0084406A" w14:paraId="5902A555" w14:textId="77777777">
        <w:trPr>
          <w:jc w:val="center"/>
        </w:trPr>
        <w:tc>
          <w:tcPr>
            <w:tcW w:w="0" w:type="auto"/>
            <w:gridSpan w:val="3"/>
            <w:shd w:val="clear" w:color="auto" w:fill="CCEEFF"/>
            <w:tcMar>
              <w:top w:w="40" w:type="dxa"/>
              <w:left w:w="380" w:type="dxa"/>
              <w:bottom w:w="40" w:type="dxa"/>
              <w:right w:w="20" w:type="dxa"/>
            </w:tcMar>
            <w:vAlign w:val="bottom"/>
          </w:tcPr>
          <w:p w14:paraId="5902A54F" w14:textId="77777777" w:rsidR="0084406A" w:rsidRDefault="002B18AF">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CCEEFF"/>
            <w:tcMar>
              <w:top w:w="0" w:type="dxa"/>
              <w:left w:w="20" w:type="dxa"/>
              <w:bottom w:w="0" w:type="dxa"/>
              <w:right w:w="20" w:type="dxa"/>
            </w:tcMar>
            <w:vAlign w:val="bottom"/>
          </w:tcPr>
          <w:p w14:paraId="5902A55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5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5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5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554" w14:textId="77777777" w:rsidR="0084406A" w:rsidRDefault="0084406A">
            <w:pPr>
              <w:rPr>
                <w:rFonts w:ascii="宋体"/>
              </w:rPr>
            </w:pPr>
          </w:p>
        </w:tc>
      </w:tr>
      <w:tr w:rsidR="0084406A" w14:paraId="5902A562" w14:textId="77777777">
        <w:trPr>
          <w:jc w:val="center"/>
        </w:trPr>
        <w:tc>
          <w:tcPr>
            <w:tcW w:w="0" w:type="auto"/>
            <w:gridSpan w:val="3"/>
            <w:shd w:val="clear" w:color="auto" w:fill="auto"/>
            <w:tcMar>
              <w:top w:w="40" w:type="dxa"/>
              <w:left w:w="740" w:type="dxa"/>
              <w:bottom w:w="40" w:type="dxa"/>
              <w:right w:w="20" w:type="dxa"/>
            </w:tcMar>
            <w:vAlign w:val="bottom"/>
          </w:tcPr>
          <w:p w14:paraId="5902A556" w14:textId="77777777" w:rsidR="0084406A" w:rsidRDefault="002B18AF">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FFFFFF"/>
            <w:tcMar>
              <w:top w:w="40" w:type="dxa"/>
              <w:left w:w="20" w:type="dxa"/>
              <w:bottom w:w="40" w:type="dxa"/>
              <w:right w:w="0" w:type="dxa"/>
            </w:tcMar>
            <w:vAlign w:val="bottom"/>
          </w:tcPr>
          <w:p w14:paraId="5902A557"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58" w14:textId="77777777" w:rsidR="0084406A" w:rsidRDefault="002B18AF">
            <w:pPr>
              <w:jc w:val="right"/>
              <w:textAlignment w:val="bottom"/>
            </w:pPr>
            <w:r>
              <w:rPr>
                <w:rFonts w:ascii="Arial" w:eastAsia="宋体" w:hAnsi="Arial" w:cs="Arial"/>
                <w:color w:val="000000"/>
                <w:sz w:val="18"/>
                <w:szCs w:val="18"/>
              </w:rPr>
              <w:t>72 </w:t>
            </w:r>
          </w:p>
        </w:tc>
        <w:tc>
          <w:tcPr>
            <w:tcW w:w="0" w:type="auto"/>
            <w:shd w:val="clear" w:color="auto" w:fill="FFFFFF"/>
            <w:tcMar>
              <w:top w:w="40" w:type="dxa"/>
              <w:left w:w="0" w:type="dxa"/>
              <w:bottom w:w="40" w:type="dxa"/>
              <w:right w:w="20" w:type="dxa"/>
            </w:tcMar>
            <w:vAlign w:val="bottom"/>
          </w:tcPr>
          <w:p w14:paraId="5902A55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5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5B"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5C" w14:textId="77777777" w:rsidR="0084406A" w:rsidRDefault="002B18AF">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5902A55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5E"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5F"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60" w14:textId="77777777" w:rsidR="0084406A" w:rsidRDefault="002B18AF">
            <w:pPr>
              <w:jc w:val="right"/>
              <w:textAlignment w:val="bottom"/>
            </w:pPr>
            <w:r>
              <w:rPr>
                <w:rFonts w:ascii="Arial" w:eastAsia="宋体" w:hAnsi="Arial" w:cs="Arial"/>
                <w:color w:val="000000"/>
                <w:sz w:val="18"/>
                <w:szCs w:val="18"/>
              </w:rPr>
              <w:t>65 </w:t>
            </w:r>
          </w:p>
        </w:tc>
        <w:tc>
          <w:tcPr>
            <w:tcW w:w="0" w:type="auto"/>
            <w:shd w:val="clear" w:color="auto" w:fill="FFFFFF"/>
            <w:tcMar>
              <w:top w:w="40" w:type="dxa"/>
              <w:left w:w="0" w:type="dxa"/>
              <w:bottom w:w="40" w:type="dxa"/>
              <w:right w:w="20" w:type="dxa"/>
            </w:tcMar>
            <w:vAlign w:val="bottom"/>
          </w:tcPr>
          <w:p w14:paraId="5902A561" w14:textId="77777777" w:rsidR="0084406A" w:rsidRDefault="0084406A">
            <w:pPr>
              <w:jc w:val="right"/>
              <w:rPr>
                <w:rFonts w:ascii="宋体"/>
              </w:rPr>
            </w:pPr>
          </w:p>
        </w:tc>
      </w:tr>
      <w:tr w:rsidR="0084406A" w14:paraId="5902A56F" w14:textId="77777777">
        <w:trPr>
          <w:jc w:val="center"/>
        </w:trPr>
        <w:tc>
          <w:tcPr>
            <w:tcW w:w="0" w:type="auto"/>
            <w:gridSpan w:val="3"/>
            <w:shd w:val="clear" w:color="auto" w:fill="CCEEFF"/>
            <w:tcMar>
              <w:top w:w="40" w:type="dxa"/>
              <w:left w:w="740" w:type="dxa"/>
              <w:bottom w:w="40" w:type="dxa"/>
              <w:right w:w="20" w:type="dxa"/>
            </w:tcMar>
            <w:vAlign w:val="bottom"/>
          </w:tcPr>
          <w:p w14:paraId="5902A563" w14:textId="77777777" w:rsidR="0084406A" w:rsidRDefault="002B18AF">
            <w:pPr>
              <w:textAlignment w:val="bottom"/>
            </w:pPr>
            <w:r>
              <w:rPr>
                <w:rFonts w:ascii="Arial" w:eastAsia="宋体" w:hAnsi="Arial" w:cs="Arial"/>
                <w:color w:val="000000"/>
                <w:sz w:val="18"/>
                <w:szCs w:val="18"/>
              </w:rPr>
              <w:t>Issuance of common stock to settle convertible debt</w:t>
            </w:r>
          </w:p>
        </w:tc>
        <w:tc>
          <w:tcPr>
            <w:tcW w:w="0" w:type="auto"/>
            <w:shd w:val="clear" w:color="auto" w:fill="CCEEFF"/>
            <w:tcMar>
              <w:top w:w="40" w:type="dxa"/>
              <w:left w:w="20" w:type="dxa"/>
              <w:bottom w:w="40" w:type="dxa"/>
              <w:right w:w="0" w:type="dxa"/>
            </w:tcMar>
            <w:vAlign w:val="bottom"/>
          </w:tcPr>
          <w:p w14:paraId="5902A564"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65" w14:textId="77777777" w:rsidR="0084406A" w:rsidRDefault="002B18AF">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5902A56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67"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68"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69" w14:textId="77777777" w:rsidR="0084406A" w:rsidRDefault="002B18AF">
            <w:pPr>
              <w:jc w:val="right"/>
              <w:textAlignment w:val="bottom"/>
            </w:pPr>
            <w:r>
              <w:rPr>
                <w:rFonts w:ascii="Arial" w:eastAsia="宋体" w:hAnsi="Arial" w:cs="Arial"/>
                <w:color w:val="000000"/>
                <w:sz w:val="18"/>
                <w:szCs w:val="18"/>
              </w:rPr>
              <w:t>217 </w:t>
            </w:r>
          </w:p>
        </w:tc>
        <w:tc>
          <w:tcPr>
            <w:tcW w:w="0" w:type="auto"/>
            <w:shd w:val="clear" w:color="auto" w:fill="CCEEFF"/>
            <w:tcMar>
              <w:top w:w="40" w:type="dxa"/>
              <w:left w:w="0" w:type="dxa"/>
              <w:bottom w:w="40" w:type="dxa"/>
              <w:right w:w="20" w:type="dxa"/>
            </w:tcMar>
            <w:vAlign w:val="bottom"/>
          </w:tcPr>
          <w:p w14:paraId="5902A56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6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6C"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6D" w14:textId="77777777" w:rsidR="0084406A" w:rsidRDefault="002B18AF">
            <w:pPr>
              <w:jc w:val="right"/>
              <w:textAlignment w:val="bottom"/>
            </w:pPr>
            <w:r>
              <w:rPr>
                <w:rFonts w:ascii="Arial" w:eastAsia="宋体" w:hAnsi="Arial" w:cs="Arial"/>
                <w:color w:val="000000"/>
                <w:sz w:val="18"/>
                <w:szCs w:val="18"/>
              </w:rPr>
              <w:t>377 </w:t>
            </w:r>
          </w:p>
        </w:tc>
        <w:tc>
          <w:tcPr>
            <w:tcW w:w="0" w:type="auto"/>
            <w:shd w:val="clear" w:color="auto" w:fill="CCEEFF"/>
            <w:tcMar>
              <w:top w:w="40" w:type="dxa"/>
              <w:left w:w="0" w:type="dxa"/>
              <w:bottom w:w="40" w:type="dxa"/>
              <w:right w:w="20" w:type="dxa"/>
            </w:tcMar>
            <w:vAlign w:val="bottom"/>
          </w:tcPr>
          <w:p w14:paraId="5902A56E" w14:textId="77777777" w:rsidR="0084406A" w:rsidRDefault="0084406A">
            <w:pPr>
              <w:jc w:val="right"/>
              <w:rPr>
                <w:rFonts w:ascii="宋体"/>
              </w:rPr>
            </w:pPr>
          </w:p>
        </w:tc>
      </w:tr>
      <w:tr w:rsidR="0084406A" w14:paraId="5902A57C" w14:textId="77777777">
        <w:trPr>
          <w:jc w:val="center"/>
        </w:trPr>
        <w:tc>
          <w:tcPr>
            <w:tcW w:w="0" w:type="auto"/>
            <w:gridSpan w:val="3"/>
            <w:shd w:val="clear" w:color="auto" w:fill="FFFFFF"/>
            <w:tcMar>
              <w:top w:w="40" w:type="dxa"/>
              <w:left w:w="740" w:type="dxa"/>
              <w:bottom w:w="40" w:type="dxa"/>
              <w:right w:w="20" w:type="dxa"/>
            </w:tcMar>
            <w:vAlign w:val="bottom"/>
          </w:tcPr>
          <w:p w14:paraId="5902A570" w14:textId="77777777" w:rsidR="0084406A" w:rsidRDefault="002B18AF">
            <w:pPr>
              <w:textAlignment w:val="bottom"/>
            </w:pPr>
            <w:r>
              <w:rPr>
                <w:rFonts w:ascii="Arial" w:eastAsia="宋体" w:hAnsi="Arial" w:cs="Arial"/>
                <w:color w:val="000000"/>
                <w:sz w:val="18"/>
                <w:szCs w:val="18"/>
              </w:rPr>
              <w:t>Transfer of assets for the acquisition of property and equipment</w:t>
            </w:r>
          </w:p>
        </w:tc>
        <w:tc>
          <w:tcPr>
            <w:tcW w:w="0" w:type="auto"/>
            <w:shd w:val="clear" w:color="auto" w:fill="FFFFFF"/>
            <w:tcMar>
              <w:top w:w="40" w:type="dxa"/>
              <w:left w:w="20" w:type="dxa"/>
              <w:bottom w:w="40" w:type="dxa"/>
              <w:right w:w="0" w:type="dxa"/>
            </w:tcMar>
            <w:vAlign w:val="bottom"/>
          </w:tcPr>
          <w:p w14:paraId="5902A571"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72" w14:textId="77777777" w:rsidR="0084406A" w:rsidRDefault="002B18AF">
            <w:pPr>
              <w:jc w:val="right"/>
              <w:textAlignment w:val="bottom"/>
            </w:pPr>
            <w:r>
              <w:rPr>
                <w:rFonts w:ascii="Arial" w:eastAsia="宋体" w:hAnsi="Arial" w:cs="Arial"/>
                <w:color w:val="000000"/>
                <w:sz w:val="18"/>
                <w:szCs w:val="18"/>
              </w:rPr>
              <w:t>37 </w:t>
            </w:r>
          </w:p>
        </w:tc>
        <w:tc>
          <w:tcPr>
            <w:tcW w:w="0" w:type="auto"/>
            <w:shd w:val="clear" w:color="auto" w:fill="FFFFFF"/>
            <w:tcMar>
              <w:top w:w="40" w:type="dxa"/>
              <w:left w:w="0" w:type="dxa"/>
              <w:bottom w:w="40" w:type="dxa"/>
              <w:right w:w="20" w:type="dxa"/>
            </w:tcMar>
            <w:vAlign w:val="bottom"/>
          </w:tcPr>
          <w:p w14:paraId="5902A57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74"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75"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76" w14:textId="77777777" w:rsidR="0084406A" w:rsidRDefault="002B18AF">
            <w:pPr>
              <w:jc w:val="right"/>
              <w:textAlignment w:val="bottom"/>
            </w:pPr>
            <w:r>
              <w:rPr>
                <w:rFonts w:ascii="Arial" w:eastAsia="宋体" w:hAnsi="Arial" w:cs="Arial"/>
                <w:color w:val="000000"/>
                <w:sz w:val="18"/>
                <w:szCs w:val="18"/>
              </w:rPr>
              <w:t>111 </w:t>
            </w:r>
          </w:p>
        </w:tc>
        <w:tc>
          <w:tcPr>
            <w:tcW w:w="0" w:type="auto"/>
            <w:shd w:val="clear" w:color="auto" w:fill="FFFFFF"/>
            <w:tcMar>
              <w:top w:w="40" w:type="dxa"/>
              <w:left w:w="0" w:type="dxa"/>
              <w:bottom w:w="40" w:type="dxa"/>
              <w:right w:w="20" w:type="dxa"/>
            </w:tcMar>
            <w:vAlign w:val="bottom"/>
          </w:tcPr>
          <w:p w14:paraId="5902A57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7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579" w14:textId="77777777" w:rsidR="0084406A" w:rsidRDefault="002B18AF">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5902A57A" w14:textId="77777777" w:rsidR="0084406A" w:rsidRDefault="002B18AF">
            <w:pPr>
              <w:jc w:val="right"/>
              <w:textAlignment w:val="bottom"/>
            </w:pPr>
            <w:r>
              <w:rPr>
                <w:rFonts w:ascii="Arial" w:eastAsia="宋体" w:hAnsi="Arial" w:cs="Arial"/>
                <w:color w:val="000000"/>
                <w:sz w:val="18"/>
                <w:szCs w:val="18"/>
              </w:rPr>
              <w:t>115 </w:t>
            </w:r>
          </w:p>
        </w:tc>
        <w:tc>
          <w:tcPr>
            <w:tcW w:w="0" w:type="auto"/>
            <w:shd w:val="clear" w:color="auto" w:fill="FFFFFF"/>
            <w:tcMar>
              <w:top w:w="40" w:type="dxa"/>
              <w:left w:w="0" w:type="dxa"/>
              <w:bottom w:w="40" w:type="dxa"/>
              <w:right w:w="20" w:type="dxa"/>
            </w:tcMar>
            <w:vAlign w:val="bottom"/>
          </w:tcPr>
          <w:p w14:paraId="5902A57B" w14:textId="77777777" w:rsidR="0084406A" w:rsidRDefault="0084406A">
            <w:pPr>
              <w:jc w:val="right"/>
              <w:rPr>
                <w:rFonts w:ascii="宋体"/>
              </w:rPr>
            </w:pPr>
          </w:p>
        </w:tc>
      </w:tr>
      <w:tr w:rsidR="0084406A" w14:paraId="5902A589" w14:textId="77777777">
        <w:trPr>
          <w:jc w:val="center"/>
        </w:trPr>
        <w:tc>
          <w:tcPr>
            <w:tcW w:w="0" w:type="auto"/>
            <w:gridSpan w:val="3"/>
            <w:shd w:val="clear" w:color="auto" w:fill="CCEEFF"/>
            <w:tcMar>
              <w:top w:w="40" w:type="dxa"/>
              <w:left w:w="740" w:type="dxa"/>
              <w:bottom w:w="40" w:type="dxa"/>
              <w:right w:w="20" w:type="dxa"/>
            </w:tcMar>
            <w:vAlign w:val="bottom"/>
          </w:tcPr>
          <w:p w14:paraId="5902A57D" w14:textId="77777777" w:rsidR="0084406A" w:rsidRDefault="002B18AF">
            <w:pPr>
              <w:textAlignment w:val="bottom"/>
            </w:pPr>
            <w:r>
              <w:rPr>
                <w:rFonts w:ascii="Arial" w:eastAsia="宋体" w:hAnsi="Arial" w:cs="Arial"/>
                <w:color w:val="000000"/>
                <w:sz w:val="18"/>
                <w:szCs w:val="18"/>
              </w:rPr>
              <w:t>Issuance of treasury stock to partially settle debt</w:t>
            </w:r>
          </w:p>
        </w:tc>
        <w:tc>
          <w:tcPr>
            <w:tcW w:w="0" w:type="auto"/>
            <w:shd w:val="clear" w:color="auto" w:fill="CCEEFF"/>
            <w:tcMar>
              <w:top w:w="40" w:type="dxa"/>
              <w:left w:w="20" w:type="dxa"/>
              <w:bottom w:w="40" w:type="dxa"/>
              <w:right w:w="0" w:type="dxa"/>
            </w:tcMar>
            <w:vAlign w:val="bottom"/>
          </w:tcPr>
          <w:p w14:paraId="5902A57E"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7F"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902A58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8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82"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83"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5902A58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8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86"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87" w14:textId="77777777" w:rsidR="0084406A" w:rsidRDefault="002B18AF">
            <w:pPr>
              <w:jc w:val="right"/>
              <w:textAlignment w:val="bottom"/>
            </w:pPr>
            <w:r>
              <w:rPr>
                <w:rFonts w:ascii="Arial" w:eastAsia="宋体" w:hAnsi="Arial" w:cs="Arial"/>
                <w:color w:val="000000"/>
                <w:sz w:val="18"/>
                <w:szCs w:val="18"/>
              </w:rPr>
              <w:t>7 </w:t>
            </w:r>
          </w:p>
        </w:tc>
        <w:tc>
          <w:tcPr>
            <w:tcW w:w="0" w:type="auto"/>
            <w:shd w:val="clear" w:color="auto" w:fill="CCEEFF"/>
            <w:tcMar>
              <w:top w:w="40" w:type="dxa"/>
              <w:left w:w="0" w:type="dxa"/>
              <w:bottom w:w="40" w:type="dxa"/>
              <w:right w:w="20" w:type="dxa"/>
            </w:tcMar>
            <w:vAlign w:val="bottom"/>
          </w:tcPr>
          <w:p w14:paraId="5902A588" w14:textId="77777777" w:rsidR="0084406A" w:rsidRDefault="0084406A">
            <w:pPr>
              <w:jc w:val="right"/>
              <w:rPr>
                <w:rFonts w:ascii="宋体"/>
              </w:rPr>
            </w:pPr>
          </w:p>
        </w:tc>
      </w:tr>
      <w:tr w:rsidR="0084406A" w14:paraId="5902A590" w14:textId="77777777">
        <w:trPr>
          <w:jc w:val="center"/>
          <w:hidden/>
        </w:trPr>
        <w:tc>
          <w:tcPr>
            <w:tcW w:w="0" w:type="auto"/>
            <w:gridSpan w:val="3"/>
            <w:shd w:val="clear" w:color="auto" w:fill="auto"/>
            <w:vAlign w:val="bottom"/>
          </w:tcPr>
          <w:p w14:paraId="5902A58A" w14:textId="77777777" w:rsidR="0084406A" w:rsidRDefault="0084406A">
            <w:pPr>
              <w:rPr>
                <w:rFonts w:ascii="宋体"/>
                <w:vanish/>
              </w:rPr>
            </w:pPr>
          </w:p>
        </w:tc>
        <w:tc>
          <w:tcPr>
            <w:tcW w:w="0" w:type="auto"/>
            <w:gridSpan w:val="3"/>
            <w:shd w:val="clear" w:color="auto" w:fill="auto"/>
            <w:vAlign w:val="bottom"/>
          </w:tcPr>
          <w:p w14:paraId="5902A58B" w14:textId="77777777" w:rsidR="0084406A" w:rsidRDefault="0084406A">
            <w:pPr>
              <w:rPr>
                <w:rFonts w:ascii="宋体"/>
                <w:vanish/>
              </w:rPr>
            </w:pPr>
          </w:p>
        </w:tc>
        <w:tc>
          <w:tcPr>
            <w:tcW w:w="0" w:type="auto"/>
            <w:gridSpan w:val="3"/>
            <w:shd w:val="clear" w:color="auto" w:fill="auto"/>
            <w:vAlign w:val="bottom"/>
          </w:tcPr>
          <w:p w14:paraId="5902A58C" w14:textId="77777777" w:rsidR="0084406A" w:rsidRDefault="0084406A">
            <w:pPr>
              <w:rPr>
                <w:rFonts w:ascii="宋体"/>
                <w:vanish/>
              </w:rPr>
            </w:pPr>
          </w:p>
        </w:tc>
        <w:tc>
          <w:tcPr>
            <w:tcW w:w="0" w:type="auto"/>
            <w:gridSpan w:val="3"/>
            <w:shd w:val="clear" w:color="auto" w:fill="auto"/>
            <w:vAlign w:val="bottom"/>
          </w:tcPr>
          <w:p w14:paraId="5902A58D" w14:textId="77777777" w:rsidR="0084406A" w:rsidRDefault="0084406A">
            <w:pPr>
              <w:rPr>
                <w:rFonts w:ascii="宋体"/>
                <w:vanish/>
              </w:rPr>
            </w:pPr>
          </w:p>
        </w:tc>
        <w:tc>
          <w:tcPr>
            <w:tcW w:w="0" w:type="auto"/>
            <w:gridSpan w:val="3"/>
            <w:shd w:val="clear" w:color="auto" w:fill="auto"/>
            <w:vAlign w:val="bottom"/>
          </w:tcPr>
          <w:p w14:paraId="5902A58E" w14:textId="77777777" w:rsidR="0084406A" w:rsidRDefault="0084406A">
            <w:pPr>
              <w:rPr>
                <w:rFonts w:ascii="宋体"/>
                <w:vanish/>
              </w:rPr>
            </w:pPr>
          </w:p>
        </w:tc>
        <w:tc>
          <w:tcPr>
            <w:tcW w:w="0" w:type="auto"/>
            <w:gridSpan w:val="3"/>
            <w:shd w:val="clear" w:color="auto" w:fill="auto"/>
            <w:vAlign w:val="bottom"/>
          </w:tcPr>
          <w:p w14:paraId="5902A58F" w14:textId="77777777" w:rsidR="0084406A" w:rsidRDefault="0084406A">
            <w:pPr>
              <w:rPr>
                <w:rFonts w:ascii="宋体"/>
                <w:vanish/>
              </w:rPr>
            </w:pPr>
          </w:p>
        </w:tc>
      </w:tr>
      <w:tr w:rsidR="0084406A" w14:paraId="5902A597" w14:textId="77777777">
        <w:trPr>
          <w:jc w:val="center"/>
        </w:trPr>
        <w:tc>
          <w:tcPr>
            <w:tcW w:w="0" w:type="auto"/>
            <w:gridSpan w:val="3"/>
            <w:shd w:val="clear" w:color="auto" w:fill="FFFFFF"/>
            <w:tcMar>
              <w:top w:w="40" w:type="dxa"/>
              <w:left w:w="380" w:type="dxa"/>
              <w:bottom w:w="40" w:type="dxa"/>
              <w:right w:w="20" w:type="dxa"/>
            </w:tcMar>
            <w:vAlign w:val="bottom"/>
          </w:tcPr>
          <w:p w14:paraId="5902A591" w14:textId="77777777" w:rsidR="0084406A" w:rsidRDefault="002B18AF">
            <w:pPr>
              <w:textAlignment w:val="bottom"/>
            </w:pPr>
            <w:r>
              <w:rPr>
                <w:rFonts w:ascii="Arial" w:eastAsia="宋体" w:hAnsi="Arial" w:cs="Arial"/>
                <w:color w:val="000000"/>
                <w:sz w:val="18"/>
                <w:szCs w:val="18"/>
              </w:rPr>
              <w:t>Non-cash activities for leases:</w:t>
            </w:r>
          </w:p>
        </w:tc>
        <w:tc>
          <w:tcPr>
            <w:tcW w:w="0" w:type="auto"/>
            <w:gridSpan w:val="3"/>
            <w:shd w:val="clear" w:color="auto" w:fill="FFFFFF"/>
            <w:tcMar>
              <w:top w:w="0" w:type="dxa"/>
              <w:left w:w="20" w:type="dxa"/>
              <w:bottom w:w="0" w:type="dxa"/>
              <w:right w:w="20" w:type="dxa"/>
            </w:tcMar>
            <w:vAlign w:val="bottom"/>
          </w:tcPr>
          <w:p w14:paraId="5902A592"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93"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94"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95"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96" w14:textId="77777777" w:rsidR="0084406A" w:rsidRDefault="0084406A">
            <w:pPr>
              <w:rPr>
                <w:rFonts w:ascii="宋体"/>
              </w:rPr>
            </w:pPr>
          </w:p>
        </w:tc>
      </w:tr>
      <w:tr w:rsidR="0084406A" w14:paraId="5902A5A4" w14:textId="77777777">
        <w:trPr>
          <w:jc w:val="center"/>
        </w:trPr>
        <w:tc>
          <w:tcPr>
            <w:tcW w:w="0" w:type="auto"/>
            <w:gridSpan w:val="3"/>
            <w:shd w:val="clear" w:color="auto" w:fill="CCEEFF"/>
            <w:tcMar>
              <w:top w:w="40" w:type="dxa"/>
              <w:left w:w="740" w:type="dxa"/>
              <w:bottom w:w="40" w:type="dxa"/>
              <w:right w:w="20" w:type="dxa"/>
            </w:tcMar>
            <w:vAlign w:val="bottom"/>
          </w:tcPr>
          <w:p w14:paraId="5902A598" w14:textId="77777777" w:rsidR="0084406A" w:rsidRDefault="002B18AF">
            <w:pPr>
              <w:textAlignment w:val="bottom"/>
            </w:pPr>
            <w:r>
              <w:rPr>
                <w:rFonts w:ascii="Arial" w:eastAsia="宋体" w:hAnsi="Arial" w:cs="Arial"/>
                <w:color w:val="000000"/>
                <w:sz w:val="18"/>
                <w:szCs w:val="18"/>
              </w:rPr>
              <w:t>Operating lease right-of-use assets acquired by assuming related liabilities</w:t>
            </w:r>
          </w:p>
        </w:tc>
        <w:tc>
          <w:tcPr>
            <w:tcW w:w="0" w:type="auto"/>
            <w:shd w:val="clear" w:color="auto" w:fill="CCEEFF"/>
            <w:tcMar>
              <w:top w:w="40" w:type="dxa"/>
              <w:left w:w="20" w:type="dxa"/>
              <w:bottom w:w="40" w:type="dxa"/>
              <w:right w:w="0" w:type="dxa"/>
            </w:tcMar>
            <w:vAlign w:val="bottom"/>
          </w:tcPr>
          <w:p w14:paraId="5902A599"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9A" w14:textId="77777777" w:rsidR="0084406A" w:rsidRDefault="002B18AF">
            <w:pPr>
              <w:jc w:val="right"/>
              <w:textAlignment w:val="bottom"/>
            </w:pPr>
            <w:r>
              <w:rPr>
                <w:rFonts w:ascii="Arial" w:eastAsia="宋体" w:hAnsi="Arial" w:cs="Arial"/>
                <w:color w:val="000000"/>
                <w:sz w:val="18"/>
                <w:szCs w:val="18"/>
              </w:rPr>
              <w:t>227 </w:t>
            </w:r>
          </w:p>
        </w:tc>
        <w:tc>
          <w:tcPr>
            <w:tcW w:w="0" w:type="auto"/>
            <w:shd w:val="clear" w:color="auto" w:fill="CCEEFF"/>
            <w:tcMar>
              <w:top w:w="40" w:type="dxa"/>
              <w:left w:w="0" w:type="dxa"/>
              <w:bottom w:w="40" w:type="dxa"/>
              <w:right w:w="20" w:type="dxa"/>
            </w:tcMar>
            <w:vAlign w:val="bottom"/>
          </w:tcPr>
          <w:p w14:paraId="5902A59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9C"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9D"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9E" w14:textId="77777777" w:rsidR="0084406A" w:rsidRDefault="002B18AF">
            <w:pPr>
              <w:jc w:val="right"/>
              <w:textAlignment w:val="bottom"/>
            </w:pPr>
            <w:r>
              <w:rPr>
                <w:rFonts w:ascii="Arial" w:eastAsia="宋体" w:hAnsi="Arial" w:cs="Arial"/>
                <w:color w:val="000000"/>
                <w:sz w:val="18"/>
                <w:szCs w:val="18"/>
              </w:rPr>
              <w:t>45 </w:t>
            </w:r>
          </w:p>
        </w:tc>
        <w:tc>
          <w:tcPr>
            <w:tcW w:w="0" w:type="auto"/>
            <w:shd w:val="clear" w:color="auto" w:fill="CCEEFF"/>
            <w:tcMar>
              <w:top w:w="40" w:type="dxa"/>
              <w:left w:w="0" w:type="dxa"/>
              <w:bottom w:w="40" w:type="dxa"/>
              <w:right w:w="20" w:type="dxa"/>
            </w:tcMar>
            <w:vAlign w:val="bottom"/>
          </w:tcPr>
          <w:p w14:paraId="5902A59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A0"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A1"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A2" w14:textId="77777777" w:rsidR="0084406A" w:rsidRDefault="002B18AF">
            <w:pPr>
              <w:jc w:val="right"/>
              <w:textAlignment w:val="bottom"/>
            </w:pPr>
            <w:r>
              <w:rPr>
                <w:rFonts w:ascii="Arial" w:eastAsia="宋体" w:hAnsi="Arial" w:cs="Arial"/>
                <w:color w:val="000000"/>
                <w:sz w:val="18"/>
                <w:szCs w:val="18"/>
              </w:rPr>
              <w:t>22 </w:t>
            </w:r>
          </w:p>
        </w:tc>
        <w:tc>
          <w:tcPr>
            <w:tcW w:w="0" w:type="auto"/>
            <w:shd w:val="clear" w:color="auto" w:fill="CCEEFF"/>
            <w:tcMar>
              <w:top w:w="40" w:type="dxa"/>
              <w:left w:w="0" w:type="dxa"/>
              <w:bottom w:w="40" w:type="dxa"/>
              <w:right w:w="20" w:type="dxa"/>
            </w:tcMar>
            <w:vAlign w:val="bottom"/>
          </w:tcPr>
          <w:p w14:paraId="5902A5A3" w14:textId="77777777" w:rsidR="0084406A" w:rsidRDefault="0084406A">
            <w:pPr>
              <w:jc w:val="right"/>
              <w:rPr>
                <w:rFonts w:ascii="宋体"/>
              </w:rPr>
            </w:pPr>
          </w:p>
        </w:tc>
      </w:tr>
      <w:tr w:rsidR="0084406A" w14:paraId="5902A5AB" w14:textId="77777777">
        <w:trPr>
          <w:jc w:val="center"/>
        </w:trPr>
        <w:tc>
          <w:tcPr>
            <w:tcW w:w="0" w:type="auto"/>
            <w:gridSpan w:val="3"/>
            <w:shd w:val="clear" w:color="auto" w:fill="FFFFFF"/>
            <w:tcMar>
              <w:top w:w="40" w:type="dxa"/>
              <w:left w:w="20" w:type="dxa"/>
              <w:bottom w:w="40" w:type="dxa"/>
              <w:right w:w="20" w:type="dxa"/>
            </w:tcMar>
          </w:tcPr>
          <w:p w14:paraId="5902A5A5" w14:textId="77777777" w:rsidR="0084406A" w:rsidRDefault="002B18AF">
            <w:pPr>
              <w:textAlignment w:val="top"/>
            </w:pPr>
            <w:r>
              <w:rPr>
                <w:rFonts w:ascii="Arial" w:eastAsia="宋体" w:hAnsi="Arial" w:cs="Arial"/>
                <w:color w:val="000000"/>
                <w:sz w:val="18"/>
                <w:szCs w:val="18"/>
              </w:rPr>
              <w:t>Reconciliation of cash, cash equivalents and restricted cash</w:t>
            </w:r>
          </w:p>
        </w:tc>
        <w:tc>
          <w:tcPr>
            <w:tcW w:w="0" w:type="auto"/>
            <w:gridSpan w:val="3"/>
            <w:shd w:val="clear" w:color="auto" w:fill="FFFFFF"/>
            <w:tcMar>
              <w:top w:w="0" w:type="dxa"/>
              <w:left w:w="20" w:type="dxa"/>
              <w:bottom w:w="0" w:type="dxa"/>
              <w:right w:w="20" w:type="dxa"/>
            </w:tcMar>
            <w:vAlign w:val="bottom"/>
          </w:tcPr>
          <w:p w14:paraId="5902A5A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A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A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A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5AA" w14:textId="77777777" w:rsidR="0084406A" w:rsidRDefault="0084406A">
            <w:pPr>
              <w:rPr>
                <w:rFonts w:ascii="宋体"/>
              </w:rPr>
            </w:pPr>
          </w:p>
        </w:tc>
      </w:tr>
      <w:tr w:rsidR="0084406A" w14:paraId="5902A5B8" w14:textId="77777777">
        <w:trPr>
          <w:jc w:val="center"/>
        </w:trPr>
        <w:tc>
          <w:tcPr>
            <w:tcW w:w="0" w:type="auto"/>
            <w:gridSpan w:val="3"/>
            <w:shd w:val="clear" w:color="auto" w:fill="CCEEFF"/>
            <w:tcMar>
              <w:top w:w="40" w:type="dxa"/>
              <w:left w:w="740" w:type="dxa"/>
              <w:bottom w:w="40" w:type="dxa"/>
              <w:right w:w="20" w:type="dxa"/>
            </w:tcMar>
            <w:vAlign w:val="bottom"/>
          </w:tcPr>
          <w:p w14:paraId="5902A5AC" w14:textId="77777777" w:rsidR="0084406A" w:rsidRDefault="002B18AF">
            <w:pPr>
              <w:textAlignment w:val="bottom"/>
            </w:pPr>
            <w:r>
              <w:rPr>
                <w:rFonts w:ascii="Arial" w:eastAsia="宋体" w:hAnsi="Arial" w:cs="Arial"/>
                <w:color w:val="000000"/>
                <w:sz w:val="18"/>
                <w:szCs w:val="18"/>
              </w:rPr>
              <w:t>Cash and cash equivalents</w:t>
            </w:r>
          </w:p>
        </w:tc>
        <w:tc>
          <w:tcPr>
            <w:tcW w:w="0" w:type="auto"/>
            <w:shd w:val="clear" w:color="auto" w:fill="CCEEFF"/>
            <w:tcMar>
              <w:top w:w="40" w:type="dxa"/>
              <w:left w:w="20" w:type="dxa"/>
              <w:bottom w:w="40" w:type="dxa"/>
              <w:right w:w="0" w:type="dxa"/>
            </w:tcMar>
            <w:vAlign w:val="bottom"/>
          </w:tcPr>
          <w:p w14:paraId="5902A5AD"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AE" w14:textId="77777777" w:rsidR="0084406A" w:rsidRDefault="002B18AF">
            <w:pPr>
              <w:jc w:val="right"/>
              <w:textAlignment w:val="bottom"/>
            </w:pPr>
            <w:r>
              <w:rPr>
                <w:rFonts w:ascii="Arial" w:eastAsia="宋体" w:hAnsi="Arial" w:cs="Arial"/>
                <w:color w:val="000000"/>
                <w:sz w:val="18"/>
                <w:szCs w:val="18"/>
              </w:rPr>
              <w:t>2,535 </w:t>
            </w:r>
          </w:p>
        </w:tc>
        <w:tc>
          <w:tcPr>
            <w:tcW w:w="0" w:type="auto"/>
            <w:shd w:val="clear" w:color="auto" w:fill="CCEEFF"/>
            <w:tcMar>
              <w:top w:w="40" w:type="dxa"/>
              <w:left w:w="0" w:type="dxa"/>
              <w:bottom w:w="40" w:type="dxa"/>
              <w:right w:w="20" w:type="dxa"/>
            </w:tcMar>
            <w:vAlign w:val="bottom"/>
          </w:tcPr>
          <w:p w14:paraId="5902A5A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B0"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B1"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B2" w14:textId="77777777" w:rsidR="0084406A" w:rsidRDefault="002B18AF">
            <w:pPr>
              <w:jc w:val="right"/>
              <w:textAlignment w:val="bottom"/>
            </w:pPr>
            <w:r>
              <w:rPr>
                <w:rFonts w:ascii="Arial" w:eastAsia="宋体" w:hAnsi="Arial" w:cs="Arial"/>
                <w:color w:val="000000"/>
                <w:sz w:val="18"/>
                <w:szCs w:val="18"/>
              </w:rPr>
              <w:t>1,595 </w:t>
            </w:r>
          </w:p>
        </w:tc>
        <w:tc>
          <w:tcPr>
            <w:tcW w:w="0" w:type="auto"/>
            <w:shd w:val="clear" w:color="auto" w:fill="CCEEFF"/>
            <w:tcMar>
              <w:top w:w="40" w:type="dxa"/>
              <w:left w:w="0" w:type="dxa"/>
              <w:bottom w:w="40" w:type="dxa"/>
              <w:right w:w="20" w:type="dxa"/>
            </w:tcMar>
            <w:vAlign w:val="bottom"/>
          </w:tcPr>
          <w:p w14:paraId="5902A5B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B4"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5B5" w14:textId="77777777" w:rsidR="0084406A" w:rsidRDefault="002B18AF">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5902A5B6" w14:textId="77777777" w:rsidR="0084406A" w:rsidRDefault="002B18AF">
            <w:pPr>
              <w:jc w:val="right"/>
              <w:textAlignment w:val="bottom"/>
            </w:pPr>
            <w:r>
              <w:rPr>
                <w:rFonts w:ascii="Arial" w:eastAsia="宋体" w:hAnsi="Arial" w:cs="Arial"/>
                <w:color w:val="000000"/>
                <w:sz w:val="18"/>
                <w:szCs w:val="18"/>
              </w:rPr>
              <w:t>1,466 </w:t>
            </w:r>
          </w:p>
        </w:tc>
        <w:tc>
          <w:tcPr>
            <w:tcW w:w="0" w:type="auto"/>
            <w:shd w:val="clear" w:color="auto" w:fill="CCEEFF"/>
            <w:tcMar>
              <w:top w:w="40" w:type="dxa"/>
              <w:left w:w="0" w:type="dxa"/>
              <w:bottom w:w="40" w:type="dxa"/>
              <w:right w:w="20" w:type="dxa"/>
            </w:tcMar>
            <w:vAlign w:val="bottom"/>
          </w:tcPr>
          <w:p w14:paraId="5902A5B7" w14:textId="77777777" w:rsidR="0084406A" w:rsidRDefault="0084406A">
            <w:pPr>
              <w:jc w:val="right"/>
              <w:rPr>
                <w:rFonts w:ascii="宋体"/>
              </w:rPr>
            </w:pPr>
          </w:p>
        </w:tc>
      </w:tr>
      <w:tr w:rsidR="0084406A" w14:paraId="5902A5C2" w14:textId="77777777">
        <w:trPr>
          <w:jc w:val="center"/>
        </w:trPr>
        <w:tc>
          <w:tcPr>
            <w:tcW w:w="0" w:type="auto"/>
            <w:gridSpan w:val="3"/>
            <w:shd w:val="clear" w:color="auto" w:fill="FFFFFF"/>
            <w:tcMar>
              <w:top w:w="40" w:type="dxa"/>
              <w:left w:w="740" w:type="dxa"/>
              <w:bottom w:w="40" w:type="dxa"/>
              <w:right w:w="20" w:type="dxa"/>
            </w:tcMar>
            <w:vAlign w:val="bottom"/>
          </w:tcPr>
          <w:p w14:paraId="5902A5B9" w14:textId="77777777" w:rsidR="0084406A" w:rsidRDefault="002B18AF">
            <w:pPr>
              <w:textAlignment w:val="bottom"/>
            </w:pPr>
            <w:r>
              <w:rPr>
                <w:rFonts w:ascii="Arial" w:eastAsia="宋体" w:hAnsi="Arial" w:cs="Arial"/>
                <w:color w:val="000000"/>
                <w:sz w:val="18"/>
                <w:szCs w:val="18"/>
              </w:rPr>
              <w:t>Restricted cash included in Prepaid expense and other current assets</w:t>
            </w:r>
          </w:p>
        </w:tc>
        <w:tc>
          <w:tcPr>
            <w:tcW w:w="0" w:type="auto"/>
            <w:gridSpan w:val="2"/>
            <w:shd w:val="clear" w:color="auto" w:fill="FFFFFF"/>
            <w:tcMar>
              <w:top w:w="40" w:type="dxa"/>
              <w:left w:w="20" w:type="dxa"/>
              <w:bottom w:w="40" w:type="dxa"/>
              <w:right w:w="0" w:type="dxa"/>
            </w:tcMar>
            <w:vAlign w:val="bottom"/>
          </w:tcPr>
          <w:p w14:paraId="5902A5BA"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5B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B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5BD" w14:textId="77777777" w:rsidR="0084406A" w:rsidRDefault="002B18AF">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5902A5B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5B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5C0" w14:textId="77777777" w:rsidR="0084406A" w:rsidRDefault="002B18AF">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5902A5C1" w14:textId="77777777" w:rsidR="0084406A" w:rsidRDefault="0084406A">
            <w:pPr>
              <w:jc w:val="right"/>
              <w:rPr>
                <w:rFonts w:ascii="宋体"/>
              </w:rPr>
            </w:pPr>
          </w:p>
        </w:tc>
      </w:tr>
      <w:tr w:rsidR="0084406A" w14:paraId="5902A5CF" w14:textId="77777777">
        <w:trPr>
          <w:jc w:val="center"/>
        </w:trPr>
        <w:tc>
          <w:tcPr>
            <w:tcW w:w="0" w:type="auto"/>
            <w:gridSpan w:val="3"/>
            <w:shd w:val="clear" w:color="auto" w:fill="CCEEFF"/>
            <w:tcMar>
              <w:top w:w="40" w:type="dxa"/>
              <w:left w:w="20" w:type="dxa"/>
              <w:bottom w:w="40" w:type="dxa"/>
              <w:right w:w="20" w:type="dxa"/>
            </w:tcMar>
            <w:vAlign w:val="center"/>
          </w:tcPr>
          <w:p w14:paraId="5902A5C3" w14:textId="77777777" w:rsidR="0084406A" w:rsidRDefault="002B18AF">
            <w:pPr>
              <w:textAlignment w:val="center"/>
            </w:pPr>
            <w:r>
              <w:rPr>
                <w:rFonts w:ascii="Arial" w:eastAsia="宋体" w:hAnsi="Arial" w:cs="Arial"/>
                <w:color w:val="000000"/>
                <w:sz w:val="18"/>
                <w:szCs w:val="18"/>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902A5C4" w14:textId="77777777" w:rsidR="0084406A" w:rsidRDefault="002B18AF">
            <w:pPr>
              <w:textAlignment w:val="center"/>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902A5C5" w14:textId="77777777" w:rsidR="0084406A" w:rsidRDefault="002B18AF">
            <w:pPr>
              <w:jc w:val="right"/>
              <w:textAlignment w:val="center"/>
            </w:pPr>
            <w:r>
              <w:rPr>
                <w:rFonts w:ascii="Arial" w:eastAsia="宋体" w:hAnsi="Arial" w:cs="Arial"/>
                <w:color w:val="000000"/>
                <w:sz w:val="18"/>
                <w:szCs w:val="18"/>
              </w:rPr>
              <w:t>2,535 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902A5C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C7"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902A5C8" w14:textId="77777777" w:rsidR="0084406A" w:rsidRDefault="002B18AF">
            <w:pPr>
              <w:textAlignment w:val="center"/>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902A5C9" w14:textId="77777777" w:rsidR="0084406A" w:rsidRDefault="002B18AF">
            <w:pPr>
              <w:jc w:val="right"/>
              <w:textAlignment w:val="center"/>
            </w:pPr>
            <w:r>
              <w:rPr>
                <w:rFonts w:ascii="Arial" w:eastAsia="宋体" w:hAnsi="Arial" w:cs="Arial"/>
                <w:color w:val="000000"/>
                <w:sz w:val="18"/>
                <w:szCs w:val="18"/>
              </w:rPr>
              <w:t>1,595 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902A5C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5CB"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5902A5CC" w14:textId="77777777" w:rsidR="0084406A" w:rsidRDefault="002B18AF">
            <w:pPr>
              <w:textAlignment w:val="center"/>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5902A5CD" w14:textId="77777777" w:rsidR="0084406A" w:rsidRDefault="002B18AF">
            <w:pPr>
              <w:jc w:val="right"/>
              <w:textAlignment w:val="center"/>
            </w:pPr>
            <w:r>
              <w:rPr>
                <w:rFonts w:ascii="Arial" w:eastAsia="宋体" w:hAnsi="Arial" w:cs="Arial"/>
                <w:color w:val="000000"/>
                <w:sz w:val="18"/>
                <w:szCs w:val="18"/>
              </w:rPr>
              <w:t>1,470 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5902A5CE" w14:textId="77777777" w:rsidR="0084406A" w:rsidRDefault="0084406A">
            <w:pPr>
              <w:jc w:val="right"/>
              <w:rPr>
                <w:rFonts w:ascii="宋体"/>
              </w:rPr>
            </w:pPr>
          </w:p>
        </w:tc>
      </w:tr>
    </w:tbl>
    <w:p w14:paraId="5902A5D0" w14:textId="77777777" w:rsidR="0084406A" w:rsidRDefault="0084406A">
      <w:pPr>
        <w:jc w:val="center"/>
      </w:pPr>
    </w:p>
    <w:p w14:paraId="5902A5D1" w14:textId="77777777" w:rsidR="0084406A" w:rsidRDefault="002B18AF">
      <w:pPr>
        <w:jc w:val="center"/>
      </w:pPr>
      <w:r>
        <w:rPr>
          <w:rFonts w:ascii="Arial" w:eastAsia="宋体" w:hAnsi="Arial" w:cs="Arial"/>
          <w:color w:val="000000"/>
          <w:sz w:val="20"/>
          <w:szCs w:val="20"/>
        </w:rPr>
        <w:t>See accompanying notes to consolidated financial statements.</w:t>
      </w:r>
    </w:p>
    <w:p w14:paraId="5902A5D2" w14:textId="77777777" w:rsidR="0084406A" w:rsidRDefault="002B18AF">
      <w:pPr>
        <w:jc w:val="center"/>
      </w:pPr>
      <w:r>
        <w:rPr>
          <w:rFonts w:ascii="Arial" w:eastAsia="宋体" w:hAnsi="Arial" w:cs="Arial"/>
          <w:color w:val="000000"/>
          <w:sz w:val="20"/>
          <w:szCs w:val="20"/>
        </w:rPr>
        <w:t>53</w:t>
      </w:r>
    </w:p>
    <w:p w14:paraId="5902A5D3" w14:textId="77777777" w:rsidR="0084406A" w:rsidRDefault="002B18AF">
      <w:r>
        <w:pict w14:anchorId="5902BB2B">
          <v:rect id="_x0000_i1080" style="width:415.3pt;height:1.5pt" o:hralign="center" o:hrstd="t" o:hr="t" fillcolor="#a0a0a0" stroked="f"/>
        </w:pict>
      </w:r>
    </w:p>
    <w:p w14:paraId="5902A5D4" w14:textId="77777777" w:rsidR="0084406A" w:rsidRDefault="0084406A"/>
    <w:p w14:paraId="5902A5D5" w14:textId="77777777" w:rsidR="0084406A" w:rsidRDefault="002B18AF">
      <w:pPr>
        <w:jc w:val="center"/>
      </w:pPr>
      <w:r>
        <w:rPr>
          <w:rFonts w:ascii="Arial" w:eastAsia="宋体" w:hAnsi="Arial" w:cs="Arial"/>
          <w:b/>
          <w:bCs/>
          <w:color w:val="000000"/>
          <w:sz w:val="20"/>
          <w:szCs w:val="20"/>
        </w:rPr>
        <w:t>Advanced Micro Devices, Inc.</w:t>
      </w:r>
    </w:p>
    <w:p w14:paraId="5902A5D6" w14:textId="77777777" w:rsidR="0084406A" w:rsidRDefault="002B18AF">
      <w:pPr>
        <w:spacing w:before="180"/>
        <w:jc w:val="center"/>
      </w:pPr>
      <w:r>
        <w:rPr>
          <w:rFonts w:ascii="Arial" w:eastAsia="宋体" w:hAnsi="Arial" w:cs="Arial"/>
          <w:b/>
          <w:bCs/>
          <w:color w:val="000000"/>
          <w:sz w:val="20"/>
          <w:szCs w:val="20"/>
        </w:rPr>
        <w:t>Notes to Consolidated Financial Statements</w:t>
      </w:r>
    </w:p>
    <w:p w14:paraId="5902A5D7" w14:textId="77777777" w:rsidR="0084406A" w:rsidRDefault="002B18AF">
      <w:pPr>
        <w:spacing w:before="280"/>
      </w:pPr>
      <w:r>
        <w:rPr>
          <w:rFonts w:ascii="Arial" w:eastAsia="宋体" w:hAnsi="Arial" w:cs="Arial"/>
          <w:b/>
          <w:bCs/>
          <w:color w:val="000000"/>
          <w:sz w:val="20"/>
          <w:szCs w:val="20"/>
        </w:rPr>
        <w:t>NOTE 1 – The Company</w:t>
      </w:r>
    </w:p>
    <w:p w14:paraId="5902A5D8" w14:textId="77777777" w:rsidR="0084406A" w:rsidRDefault="002B18AF">
      <w:pPr>
        <w:spacing w:before="180"/>
        <w:jc w:val="both"/>
      </w:pPr>
      <w:r>
        <w:rPr>
          <w:rFonts w:ascii="Arial" w:eastAsia="宋体" w:hAnsi="Arial" w:cs="Arial"/>
          <w:color w:val="000000"/>
          <w:sz w:val="20"/>
          <w:szCs w:val="20"/>
        </w:rPr>
        <w:t>Advanced Micro Devices, Inc. is a global semiconductor company. References herein to AMD or the Company mean Advanced Micro Devices, Inc. and its consolidated subsidiaries. AMD’s products include x86 microprocessors (CPUs), as standalone devices or as inco</w:t>
      </w:r>
      <w:r>
        <w:rPr>
          <w:rFonts w:ascii="Arial" w:eastAsia="宋体" w:hAnsi="Arial" w:cs="Arial"/>
          <w:color w:val="000000"/>
          <w:sz w:val="20"/>
          <w:szCs w:val="20"/>
        </w:rPr>
        <w:t xml:space="preserve">rporated into accelerated processing units (APUs), chipsets, discrete and integrated graphics processing units (GPUs), data center and professional GPUs, server and embedded processors, semi-custom SoC products, microprocessor and SoC development services </w:t>
      </w:r>
      <w:r>
        <w:rPr>
          <w:rFonts w:ascii="Arial" w:eastAsia="宋体" w:hAnsi="Arial" w:cs="Arial"/>
          <w:color w:val="000000"/>
          <w:sz w:val="20"/>
          <w:szCs w:val="20"/>
        </w:rPr>
        <w:t xml:space="preserve">and technology for game consoles. From time to time, the Company may also sell or license portions of its intellectual property (IP) portfolio. </w:t>
      </w:r>
    </w:p>
    <w:p w14:paraId="5902A5D9" w14:textId="77777777" w:rsidR="0084406A" w:rsidRDefault="002B18AF">
      <w:pPr>
        <w:spacing w:before="280"/>
      </w:pPr>
      <w:r>
        <w:rPr>
          <w:rFonts w:ascii="Arial" w:eastAsia="宋体" w:hAnsi="Arial" w:cs="Arial"/>
          <w:b/>
          <w:bCs/>
          <w:color w:val="000000"/>
          <w:sz w:val="20"/>
          <w:szCs w:val="20"/>
        </w:rPr>
        <w:t>NOTE 2 – Summary of Significant Accounting Policies</w:t>
      </w:r>
    </w:p>
    <w:p w14:paraId="5902A5DA" w14:textId="77777777" w:rsidR="0084406A" w:rsidRDefault="002B18AF">
      <w:pPr>
        <w:spacing w:before="180"/>
        <w:jc w:val="both"/>
      </w:pPr>
      <w:r>
        <w:rPr>
          <w:rFonts w:ascii="Arial" w:eastAsia="宋体" w:hAnsi="Arial" w:cs="Arial"/>
          <w:i/>
          <w:iCs/>
          <w:color w:val="000000"/>
          <w:sz w:val="20"/>
          <w:szCs w:val="20"/>
        </w:rPr>
        <w:t>Fiscal Year</w:t>
      </w:r>
      <w:r>
        <w:rPr>
          <w:rFonts w:ascii="Arial" w:eastAsia="宋体" w:hAnsi="Arial" w:cs="Arial"/>
          <w:color w:val="000000"/>
          <w:sz w:val="20"/>
          <w:szCs w:val="20"/>
        </w:rPr>
        <w:t xml:space="preserve">. The Company uses a 52- or 53-week fiscal year </w:t>
      </w:r>
      <w:r>
        <w:rPr>
          <w:rFonts w:ascii="Arial" w:eastAsia="宋体" w:hAnsi="Arial" w:cs="Arial"/>
          <w:color w:val="000000"/>
          <w:sz w:val="20"/>
          <w:szCs w:val="20"/>
        </w:rPr>
        <w:t>ending on the last Saturday in December. Fiscal 2021, 2020 and 2019 ended on December 25, 2021, December 26, 2020 and December 28, 2019, respectively. Fiscal 2021, 2020 and 2019 each consisted of 52 weeks.</w:t>
      </w:r>
    </w:p>
    <w:p w14:paraId="5902A5DB" w14:textId="77777777" w:rsidR="0084406A" w:rsidRDefault="002B18AF">
      <w:pPr>
        <w:spacing w:before="180"/>
        <w:jc w:val="both"/>
      </w:pPr>
      <w:r>
        <w:rPr>
          <w:rFonts w:ascii="Arial" w:eastAsia="宋体" w:hAnsi="Arial" w:cs="Arial"/>
          <w:i/>
          <w:iCs/>
          <w:color w:val="000000"/>
          <w:sz w:val="20"/>
          <w:szCs w:val="20"/>
        </w:rPr>
        <w:t>Principles of Consolidation.</w:t>
      </w:r>
      <w:r>
        <w:rPr>
          <w:rFonts w:ascii="Arial" w:eastAsia="宋体" w:hAnsi="Arial" w:cs="Arial"/>
          <w:color w:val="000000"/>
          <w:sz w:val="20"/>
          <w:szCs w:val="20"/>
        </w:rPr>
        <w:t> The consolidated fina</w:t>
      </w:r>
      <w:r>
        <w:rPr>
          <w:rFonts w:ascii="Arial" w:eastAsia="宋体" w:hAnsi="Arial" w:cs="Arial"/>
          <w:color w:val="000000"/>
          <w:sz w:val="20"/>
          <w:szCs w:val="20"/>
        </w:rPr>
        <w:t>ncial statements include the Company’s accounts and those of its wholly-owned subsidiaries. Upon consolidation, all inter-company accounts and transactions have been eliminated.</w:t>
      </w:r>
    </w:p>
    <w:p w14:paraId="5902A5DC" w14:textId="77777777" w:rsidR="0084406A" w:rsidRDefault="002B18AF">
      <w:pPr>
        <w:spacing w:before="180"/>
        <w:jc w:val="both"/>
      </w:pPr>
      <w:r>
        <w:rPr>
          <w:rFonts w:ascii="Arial" w:eastAsia="宋体" w:hAnsi="Arial" w:cs="Arial"/>
          <w:i/>
          <w:iCs/>
          <w:color w:val="000000"/>
          <w:sz w:val="20"/>
          <w:szCs w:val="20"/>
        </w:rPr>
        <w:t xml:space="preserve">Reclassification. </w:t>
      </w:r>
      <w:r>
        <w:rPr>
          <w:rFonts w:ascii="Arial" w:eastAsia="宋体" w:hAnsi="Arial" w:cs="Arial"/>
          <w:color w:val="000000"/>
          <w:sz w:val="20"/>
          <w:szCs w:val="20"/>
        </w:rPr>
        <w:t>Certain prior period amounts have been reclassified to confo</w:t>
      </w:r>
      <w:r>
        <w:rPr>
          <w:rFonts w:ascii="Arial" w:eastAsia="宋体" w:hAnsi="Arial" w:cs="Arial"/>
          <w:color w:val="000000"/>
          <w:sz w:val="20"/>
          <w:szCs w:val="20"/>
        </w:rPr>
        <w:t>rm to current period presentation.</w:t>
      </w:r>
    </w:p>
    <w:p w14:paraId="5902A5DD" w14:textId="77777777" w:rsidR="0084406A" w:rsidRDefault="002B18AF">
      <w:pPr>
        <w:spacing w:before="180"/>
        <w:jc w:val="both"/>
      </w:pPr>
      <w:r>
        <w:rPr>
          <w:rFonts w:ascii="Arial" w:eastAsia="宋体" w:hAnsi="Arial" w:cs="Arial"/>
          <w:i/>
          <w:iCs/>
          <w:color w:val="000000"/>
          <w:sz w:val="20"/>
          <w:szCs w:val="20"/>
        </w:rPr>
        <w:t>Use of Estimates.</w:t>
      </w:r>
      <w:r>
        <w:rPr>
          <w:rFonts w:ascii="Arial" w:eastAsia="宋体" w:hAnsi="Arial" w:cs="Arial"/>
          <w:color w:val="000000"/>
          <w:sz w:val="20"/>
          <w:szCs w:val="20"/>
        </w:rPr>
        <w:t> The preparation of consolidated financial statements in conformity with U.S. generally accepted accounting principles (U.S. GAAP) requires management to make estimates and assumptions that affect the rep</w:t>
      </w:r>
      <w:r>
        <w:rPr>
          <w:rFonts w:ascii="Arial" w:eastAsia="宋体" w:hAnsi="Arial" w:cs="Arial"/>
          <w:color w:val="000000"/>
          <w:sz w:val="20"/>
          <w:szCs w:val="20"/>
        </w:rPr>
        <w:t>orted amounts of assets and liabilities and disclosure of commitments and contingencies at the date of the financial statements and the reported amounts of revenues and expenses during the reporting periods. Actual results are likely to differ from those e</w:t>
      </w:r>
      <w:r>
        <w:rPr>
          <w:rFonts w:ascii="Arial" w:eastAsia="宋体" w:hAnsi="Arial" w:cs="Arial"/>
          <w:color w:val="000000"/>
          <w:sz w:val="20"/>
          <w:szCs w:val="20"/>
        </w:rPr>
        <w:t>stimates, and such differences may be material to the financial statements. Areas where management uses subjective judgment include, but are not limited to, revenue allowances, inventory valuation, valuation and assessing potential impairment, if any, of g</w:t>
      </w:r>
      <w:r>
        <w:rPr>
          <w:rFonts w:ascii="Arial" w:eastAsia="宋体" w:hAnsi="Arial" w:cs="Arial"/>
          <w:color w:val="000000"/>
          <w:sz w:val="20"/>
          <w:szCs w:val="20"/>
        </w:rPr>
        <w:t>oodwill and deferred income taxes.</w:t>
      </w:r>
    </w:p>
    <w:p w14:paraId="5902A5DE" w14:textId="77777777" w:rsidR="0084406A" w:rsidRDefault="002B18AF">
      <w:pPr>
        <w:spacing w:before="180"/>
        <w:jc w:val="both"/>
      </w:pPr>
      <w:r>
        <w:rPr>
          <w:rFonts w:ascii="Arial" w:eastAsia="宋体" w:hAnsi="Arial" w:cs="Arial"/>
          <w:b/>
          <w:bCs/>
          <w:color w:val="000000"/>
          <w:sz w:val="20"/>
          <w:szCs w:val="20"/>
        </w:rPr>
        <w:t>Revenue Recognition</w:t>
      </w:r>
    </w:p>
    <w:p w14:paraId="5902A5DF" w14:textId="77777777" w:rsidR="0084406A" w:rsidRDefault="002B18AF">
      <w:pPr>
        <w:spacing w:before="180"/>
        <w:jc w:val="both"/>
      </w:pPr>
      <w:r>
        <w:rPr>
          <w:rFonts w:ascii="Arial" w:eastAsia="宋体" w:hAnsi="Arial" w:cs="Arial"/>
          <w:color w:val="000000"/>
          <w:sz w:val="20"/>
          <w:szCs w:val="20"/>
        </w:rPr>
        <w:t>Revenue is recognized when a customer obtains control of promised goods or services and is recognized in an amount that reflects the consideration which the Company expects to receive in exchange for t</w:t>
      </w:r>
      <w:r>
        <w:rPr>
          <w:rFonts w:ascii="Arial" w:eastAsia="宋体" w:hAnsi="Arial" w:cs="Arial"/>
          <w:color w:val="000000"/>
          <w:sz w:val="20"/>
          <w:szCs w:val="20"/>
        </w:rPr>
        <w:t>hose goods or services. Sales, value-added, and other taxes collected concurrently with the provision of goods or services are excluded from revenue. Shipping and handling costs associated with product sales are included in cost of sales. Substantially all</w:t>
      </w:r>
      <w:r>
        <w:rPr>
          <w:rFonts w:ascii="Arial" w:eastAsia="宋体" w:hAnsi="Arial" w:cs="Arial"/>
          <w:color w:val="000000"/>
          <w:sz w:val="20"/>
          <w:szCs w:val="20"/>
        </w:rPr>
        <w:t xml:space="preserve"> the Company’s revenue is derived from product sales, representing a single performance obligation.</w:t>
      </w:r>
    </w:p>
    <w:p w14:paraId="5902A5E0" w14:textId="77777777" w:rsidR="0084406A" w:rsidRDefault="002B18AF">
      <w:pPr>
        <w:spacing w:before="180"/>
        <w:jc w:val="both"/>
      </w:pPr>
      <w:r>
        <w:rPr>
          <w:rFonts w:ascii="Arial" w:eastAsia="宋体" w:hAnsi="Arial" w:cs="Arial"/>
          <w:i/>
          <w:iCs/>
          <w:color w:val="000000"/>
          <w:sz w:val="20"/>
          <w:szCs w:val="20"/>
        </w:rPr>
        <w:t>Non-custom products</w:t>
      </w:r>
    </w:p>
    <w:p w14:paraId="5902A5E1" w14:textId="77777777" w:rsidR="0084406A" w:rsidRDefault="002B18AF">
      <w:pPr>
        <w:spacing w:before="180"/>
        <w:jc w:val="both"/>
      </w:pPr>
      <w:r>
        <w:rPr>
          <w:rFonts w:ascii="Arial" w:eastAsia="宋体" w:hAnsi="Arial" w:cs="Arial"/>
          <w:color w:val="000000"/>
          <w:sz w:val="20"/>
          <w:szCs w:val="20"/>
        </w:rPr>
        <w:t>The Company transfers control and recognizes revenue when non-custom products are shipped to customers, which includes original equipmen</w:t>
      </w:r>
      <w:r>
        <w:rPr>
          <w:rFonts w:ascii="Arial" w:eastAsia="宋体" w:hAnsi="Arial" w:cs="Arial"/>
          <w:color w:val="000000"/>
          <w:sz w:val="20"/>
          <w:szCs w:val="20"/>
        </w:rPr>
        <w:t>t manufacturers (OEM) and distributors, in accordance with the shipping terms of the sale. Non-custom product arrangements generally comprise a single performance obligation. Certain OEMs may be entitled to rights of return and rebates under OEM agreements</w:t>
      </w:r>
      <w:r>
        <w:rPr>
          <w:rFonts w:ascii="Arial" w:eastAsia="宋体" w:hAnsi="Arial" w:cs="Arial"/>
          <w:color w:val="000000"/>
          <w:sz w:val="20"/>
          <w:szCs w:val="20"/>
        </w:rPr>
        <w:t>. The Company also sells to distributors under terms allowing the majority of distributors certain rights of return and price protection on unsold merchandise held by them. The Company estimates the amount of variable consideration under OEM and distributo</w:t>
      </w:r>
      <w:r>
        <w:rPr>
          <w:rFonts w:ascii="Arial" w:eastAsia="宋体" w:hAnsi="Arial" w:cs="Arial"/>
          <w:color w:val="000000"/>
          <w:sz w:val="20"/>
          <w:szCs w:val="20"/>
        </w:rPr>
        <w:t xml:space="preserve">r arrangements and, accordingly, records a provision for product returns, allowances for price protection and rebates based on actual historical experience and any known events. </w:t>
      </w:r>
    </w:p>
    <w:p w14:paraId="5902A5E2" w14:textId="77777777" w:rsidR="0084406A" w:rsidRDefault="002B18AF">
      <w:pPr>
        <w:spacing w:before="180"/>
        <w:jc w:val="both"/>
      </w:pPr>
      <w:r>
        <w:rPr>
          <w:rFonts w:ascii="Arial" w:eastAsia="宋体" w:hAnsi="Arial" w:cs="Arial"/>
          <w:color w:val="000000"/>
          <w:sz w:val="20"/>
          <w:szCs w:val="20"/>
        </w:rPr>
        <w:t>The Company offers incentive programs to certain customers, including coopera</w:t>
      </w:r>
      <w:r>
        <w:rPr>
          <w:rFonts w:ascii="Arial" w:eastAsia="宋体" w:hAnsi="Arial" w:cs="Arial"/>
          <w:color w:val="000000"/>
          <w:sz w:val="20"/>
          <w:szCs w:val="20"/>
        </w:rPr>
        <w:t>tive advertising, marketing promotions, volume-based incentives and special pricing arrangements. Where funds provided for such programs can be estimated, the Company recognizes a reduction to revenue at the time the related revenue is recognized; otherwis</w:t>
      </w:r>
      <w:r>
        <w:rPr>
          <w:rFonts w:ascii="Arial" w:eastAsia="宋体" w:hAnsi="Arial" w:cs="Arial"/>
          <w:color w:val="000000"/>
          <w:sz w:val="20"/>
          <w:szCs w:val="20"/>
        </w:rPr>
        <w:t>e, the Company recognizes such reduction to revenue at the later of when: i) the related revenue transaction occurs; or ii) the program is offered. For transactions where the Company reimburses a customer for a portion of the customer’s cost to perform spe</w:t>
      </w:r>
      <w:r>
        <w:rPr>
          <w:rFonts w:ascii="Arial" w:eastAsia="宋体" w:hAnsi="Arial" w:cs="Arial"/>
          <w:color w:val="000000"/>
          <w:sz w:val="20"/>
          <w:szCs w:val="20"/>
        </w:rPr>
        <w:t>cific product advertising or marketing and promotional activities, such amounts are recognized as a reduction to revenue unless they qualify for expense recognition.</w:t>
      </w:r>
    </w:p>
    <w:p w14:paraId="5902A5E3" w14:textId="77777777" w:rsidR="0084406A" w:rsidRDefault="002B18AF">
      <w:pPr>
        <w:spacing w:before="180" w:after="240"/>
        <w:jc w:val="both"/>
      </w:pPr>
      <w:r>
        <w:rPr>
          <w:rFonts w:ascii="Arial" w:eastAsia="宋体" w:hAnsi="Arial" w:cs="Arial"/>
          <w:color w:val="000000"/>
          <w:sz w:val="20"/>
          <w:szCs w:val="20"/>
        </w:rPr>
        <w:t>Constraints of variable consideration have not been material.</w:t>
      </w:r>
    </w:p>
    <w:p w14:paraId="5902A5E4" w14:textId="77777777" w:rsidR="0084406A" w:rsidRDefault="002B18AF">
      <w:pPr>
        <w:jc w:val="center"/>
      </w:pPr>
      <w:r>
        <w:rPr>
          <w:rFonts w:ascii="Arial" w:eastAsia="宋体" w:hAnsi="Arial" w:cs="Arial"/>
          <w:color w:val="000000"/>
          <w:sz w:val="20"/>
          <w:szCs w:val="20"/>
        </w:rPr>
        <w:t>54</w:t>
      </w:r>
    </w:p>
    <w:p w14:paraId="5902A5E5" w14:textId="77777777" w:rsidR="0084406A" w:rsidRDefault="002B18AF">
      <w:r>
        <w:pict w14:anchorId="5902BB2C">
          <v:rect id="_x0000_i1081" style="width:415.3pt;height:1.5pt" o:hralign="center" o:hrstd="t" o:hr="t" fillcolor="#a0a0a0" stroked="f"/>
        </w:pict>
      </w:r>
    </w:p>
    <w:p w14:paraId="5902A5E6" w14:textId="77777777" w:rsidR="0084406A" w:rsidRDefault="0084406A"/>
    <w:p w14:paraId="5902A5E7" w14:textId="77777777" w:rsidR="0084406A" w:rsidRDefault="002B18AF">
      <w:pPr>
        <w:spacing w:before="180"/>
        <w:jc w:val="both"/>
      </w:pPr>
      <w:r>
        <w:rPr>
          <w:rFonts w:ascii="Arial" w:eastAsia="宋体" w:hAnsi="Arial" w:cs="Arial"/>
          <w:i/>
          <w:iCs/>
          <w:color w:val="000000"/>
          <w:sz w:val="20"/>
          <w:szCs w:val="20"/>
        </w:rPr>
        <w:t>Custom products</w:t>
      </w:r>
    </w:p>
    <w:p w14:paraId="5902A5E8" w14:textId="77777777" w:rsidR="0084406A" w:rsidRDefault="002B18AF">
      <w:pPr>
        <w:spacing w:before="180"/>
        <w:jc w:val="both"/>
      </w:pPr>
      <w:r>
        <w:rPr>
          <w:rFonts w:ascii="Arial" w:eastAsia="宋体" w:hAnsi="Arial" w:cs="Arial"/>
          <w:color w:val="000000"/>
          <w:sz w:val="20"/>
          <w:szCs w:val="20"/>
        </w:rPr>
        <w:t>Custom</w:t>
      </w:r>
      <w:r>
        <w:rPr>
          <w:rFonts w:ascii="Arial" w:eastAsia="宋体" w:hAnsi="Arial" w:cs="Arial"/>
          <w:color w:val="000000"/>
          <w:sz w:val="20"/>
          <w:szCs w:val="20"/>
        </w:rPr>
        <w:t xml:space="preserve"> products which are associated with the Company’s Enterprise, Embedded, and Semi-Custom segment (semi-custom products), sold under non-cancellable purchases orders, for which the Company has an enforceable right to payment, and which have no alternative us</w:t>
      </w:r>
      <w:r>
        <w:rPr>
          <w:rFonts w:ascii="Arial" w:eastAsia="宋体" w:hAnsi="Arial" w:cs="Arial"/>
          <w:color w:val="000000"/>
          <w:sz w:val="20"/>
          <w:szCs w:val="20"/>
        </w:rPr>
        <w:t>e to the Company at contract inception, are recognized as revenue, over the time of production of the products by the Company. The Company utilizes a cost-based input method, calculated as cost incurred plus estimated margin, to determine the amount of rev</w:t>
      </w:r>
      <w:r>
        <w:rPr>
          <w:rFonts w:ascii="Arial" w:eastAsia="宋体" w:hAnsi="Arial" w:cs="Arial"/>
          <w:color w:val="000000"/>
          <w:sz w:val="20"/>
          <w:szCs w:val="20"/>
        </w:rPr>
        <w:t xml:space="preserve">enue to recognize for in-process, but incomplete, customer orders at a reporting date. The Company believes that a cost-based input method is the most appropriate manner to measure how the Company satisfies its performance obligations to customers because </w:t>
      </w:r>
      <w:r>
        <w:rPr>
          <w:rFonts w:ascii="Arial" w:eastAsia="宋体" w:hAnsi="Arial" w:cs="Arial"/>
          <w:color w:val="000000"/>
          <w:sz w:val="20"/>
          <w:szCs w:val="20"/>
        </w:rPr>
        <w:t>the effort and costs incurred best depict the Company’s satisfaction of its performance obligation.</w:t>
      </w:r>
    </w:p>
    <w:p w14:paraId="5902A5E9" w14:textId="77777777" w:rsidR="0084406A" w:rsidRDefault="002B18AF">
      <w:pPr>
        <w:spacing w:before="180"/>
        <w:jc w:val="both"/>
      </w:pPr>
      <w:r>
        <w:rPr>
          <w:rFonts w:ascii="Arial" w:eastAsia="宋体" w:hAnsi="Arial" w:cs="Arial"/>
          <w:color w:val="000000"/>
          <w:sz w:val="20"/>
          <w:szCs w:val="20"/>
        </w:rPr>
        <w:t>Sales of semi-custom products are not subject to a right of return. Custom products arrangements generally involve a single performance obligation. There ar</w:t>
      </w:r>
      <w:r>
        <w:rPr>
          <w:rFonts w:ascii="Arial" w:eastAsia="宋体" w:hAnsi="Arial" w:cs="Arial"/>
          <w:color w:val="000000"/>
          <w:sz w:val="20"/>
          <w:szCs w:val="20"/>
        </w:rPr>
        <w:t>e no variable consideration estimates associated with custom products.</w:t>
      </w:r>
    </w:p>
    <w:p w14:paraId="5902A5EA" w14:textId="77777777" w:rsidR="0084406A" w:rsidRDefault="002B18AF">
      <w:pPr>
        <w:spacing w:before="180"/>
        <w:jc w:val="both"/>
      </w:pPr>
      <w:r>
        <w:rPr>
          <w:rFonts w:ascii="Arial" w:eastAsia="宋体" w:hAnsi="Arial" w:cs="Arial"/>
          <w:i/>
          <w:iCs/>
          <w:color w:val="000000"/>
          <w:sz w:val="20"/>
          <w:szCs w:val="20"/>
        </w:rPr>
        <w:t>Development and intellectual property licensing agreements</w:t>
      </w:r>
    </w:p>
    <w:p w14:paraId="5902A5EB" w14:textId="77777777" w:rsidR="0084406A" w:rsidRDefault="002B18AF">
      <w:pPr>
        <w:spacing w:before="180"/>
        <w:jc w:val="both"/>
      </w:pPr>
      <w:r>
        <w:rPr>
          <w:rFonts w:ascii="Arial" w:eastAsia="宋体" w:hAnsi="Arial" w:cs="Arial"/>
          <w:color w:val="000000"/>
          <w:sz w:val="20"/>
          <w:szCs w:val="20"/>
        </w:rPr>
        <w:t>From time to time, the Company may enter into arrangements with customers that combine the provision of development services a</w:t>
      </w:r>
      <w:r>
        <w:rPr>
          <w:rFonts w:ascii="Arial" w:eastAsia="宋体" w:hAnsi="Arial" w:cs="Arial"/>
          <w:color w:val="000000"/>
          <w:sz w:val="20"/>
          <w:szCs w:val="20"/>
        </w:rPr>
        <w:t>nd a license to the right to use the Company’s IP. These arrangements are deemed to be single or multiple performance obligations based upon the nature of the arrangements. Revenue is recognized upon the transfer of control, over time or at a point in time</w:t>
      </w:r>
      <w:r>
        <w:rPr>
          <w:rFonts w:ascii="Arial" w:eastAsia="宋体" w:hAnsi="Arial" w:cs="Arial"/>
          <w:color w:val="000000"/>
          <w:sz w:val="20"/>
          <w:szCs w:val="20"/>
        </w:rPr>
        <w:t>, depending on the nature of the arrangements. The Company evaluates whether the licensing component is distinct. A licensing component is distinct if it is both (i) capable of being distinct and (ii) distinct in the context of the arrangement. If the lice</w:t>
      </w:r>
      <w:r>
        <w:rPr>
          <w:rFonts w:ascii="Arial" w:eastAsia="宋体" w:hAnsi="Arial" w:cs="Arial"/>
          <w:color w:val="000000"/>
          <w:sz w:val="20"/>
          <w:szCs w:val="20"/>
        </w:rPr>
        <w:t>nse is not distinct, it is combined with the development services as a single performance obligation and recognized over time. If the license is distinct, revenue is recognized at a point in time when the customer has the ability to benefit from the licens</w:t>
      </w:r>
      <w:r>
        <w:rPr>
          <w:rFonts w:ascii="Arial" w:eastAsia="宋体" w:hAnsi="Arial" w:cs="Arial"/>
          <w:color w:val="000000"/>
          <w:sz w:val="20"/>
          <w:szCs w:val="20"/>
        </w:rPr>
        <w:t>e.</w:t>
      </w:r>
    </w:p>
    <w:p w14:paraId="5902A5EC" w14:textId="77777777" w:rsidR="0084406A" w:rsidRDefault="002B18AF">
      <w:pPr>
        <w:spacing w:before="180"/>
        <w:jc w:val="both"/>
      </w:pPr>
      <w:r>
        <w:rPr>
          <w:rFonts w:ascii="Arial" w:eastAsia="宋体" w:hAnsi="Arial" w:cs="Arial"/>
          <w:color w:val="000000"/>
          <w:sz w:val="20"/>
          <w:szCs w:val="20"/>
        </w:rPr>
        <w:t>From time to time, the Company may enter into arrangements with customers that solely involve the sale or licensing of its patents or IP. Generally, there are no performance obligations beyond transferring the designated license to the Company’s patents</w:t>
      </w:r>
      <w:r>
        <w:rPr>
          <w:rFonts w:ascii="Arial" w:eastAsia="宋体" w:hAnsi="Arial" w:cs="Arial"/>
          <w:color w:val="000000"/>
          <w:sz w:val="20"/>
          <w:szCs w:val="20"/>
        </w:rPr>
        <w:t xml:space="preserve"> or IP. Accordingly, revenue is recognized at a point in time when the customer has the ability to benefit from the license.</w:t>
      </w:r>
    </w:p>
    <w:p w14:paraId="5902A5ED" w14:textId="77777777" w:rsidR="0084406A" w:rsidRDefault="002B18AF">
      <w:pPr>
        <w:spacing w:before="180"/>
        <w:jc w:val="both"/>
      </w:pPr>
      <w:r>
        <w:rPr>
          <w:rFonts w:ascii="Arial" w:eastAsia="宋体" w:hAnsi="Arial" w:cs="Arial"/>
          <w:color w:val="000000"/>
          <w:sz w:val="20"/>
          <w:szCs w:val="20"/>
        </w:rPr>
        <w:t>There are no variable consideration estimates associated with either combined development and IP arrangements or for standalone arr</w:t>
      </w:r>
      <w:r>
        <w:rPr>
          <w:rFonts w:ascii="Arial" w:eastAsia="宋体" w:hAnsi="Arial" w:cs="Arial"/>
          <w:color w:val="000000"/>
          <w:sz w:val="20"/>
          <w:szCs w:val="20"/>
        </w:rPr>
        <w:t>angements involving either the sale or licensing of IP.</w:t>
      </w:r>
    </w:p>
    <w:p w14:paraId="5902A5EE" w14:textId="77777777" w:rsidR="0084406A" w:rsidRDefault="002B18AF">
      <w:pPr>
        <w:spacing w:before="180"/>
        <w:jc w:val="both"/>
      </w:pPr>
      <w:r>
        <w:rPr>
          <w:rFonts w:ascii="Arial" w:eastAsia="宋体" w:hAnsi="Arial" w:cs="Arial"/>
          <w:color w:val="000000"/>
          <w:sz w:val="20"/>
          <w:szCs w:val="20"/>
        </w:rPr>
        <w:t>Customers are generally required to pay for products and services within the Company’s standard contractual terms, which are typically net 30 to 60 days. The Company has determined that it does not ha</w:t>
      </w:r>
      <w:r>
        <w:rPr>
          <w:rFonts w:ascii="Arial" w:eastAsia="宋体" w:hAnsi="Arial" w:cs="Arial"/>
          <w:color w:val="000000"/>
          <w:sz w:val="20"/>
          <w:szCs w:val="20"/>
        </w:rPr>
        <w:t>ve significant financing components in its contracts with customers.</w:t>
      </w:r>
    </w:p>
    <w:p w14:paraId="5902A5EF" w14:textId="77777777" w:rsidR="0084406A" w:rsidRDefault="002B18AF">
      <w:pPr>
        <w:spacing w:before="180"/>
        <w:jc w:val="both"/>
      </w:pPr>
      <w:r>
        <w:rPr>
          <w:rFonts w:ascii="Arial" w:eastAsia="宋体" w:hAnsi="Arial" w:cs="Arial"/>
          <w:b/>
          <w:bCs/>
          <w:color w:val="000000"/>
          <w:sz w:val="20"/>
          <w:szCs w:val="20"/>
        </w:rPr>
        <w:t>Inventories</w:t>
      </w:r>
    </w:p>
    <w:p w14:paraId="5902A5F0" w14:textId="77777777" w:rsidR="0084406A" w:rsidRDefault="002B18AF">
      <w:pPr>
        <w:spacing w:before="180"/>
        <w:jc w:val="both"/>
      </w:pPr>
      <w:r>
        <w:rPr>
          <w:rFonts w:ascii="Arial" w:eastAsia="宋体" w:hAnsi="Arial" w:cs="Arial"/>
          <w:color w:val="000000"/>
          <w:sz w:val="20"/>
          <w:szCs w:val="20"/>
        </w:rPr>
        <w:t>The Company values inventory at standard cost, adjusted to approximate the lower of</w:t>
      </w:r>
      <w:r>
        <w:rPr>
          <w:rFonts w:ascii="Arial" w:eastAsia="宋体" w:hAnsi="Arial" w:cs="Arial"/>
          <w:color w:val="FF0000"/>
        </w:rPr>
        <w:t xml:space="preserve"> </w:t>
      </w:r>
      <w:r>
        <w:rPr>
          <w:rFonts w:ascii="Arial" w:eastAsia="宋体" w:hAnsi="Arial" w:cs="Arial"/>
          <w:color w:val="000000"/>
          <w:sz w:val="20"/>
          <w:szCs w:val="20"/>
        </w:rPr>
        <w:t>actual cost or estimated net realizable value using assumptions about future demand and mar</w:t>
      </w:r>
      <w:r>
        <w:rPr>
          <w:rFonts w:ascii="Arial" w:eastAsia="宋体" w:hAnsi="Arial" w:cs="Arial"/>
          <w:color w:val="000000"/>
          <w:sz w:val="20"/>
          <w:szCs w:val="20"/>
        </w:rPr>
        <w:t xml:space="preserve">ket conditions. In determining excess or obsolescence reserves for its products, the Company considers assumptions such as changes in business and economic conditions, other-than-temporary decreases in demand for its products, and changes in technology or </w:t>
      </w:r>
      <w:r>
        <w:rPr>
          <w:rFonts w:ascii="Arial" w:eastAsia="宋体" w:hAnsi="Arial" w:cs="Arial"/>
          <w:color w:val="000000"/>
          <w:sz w:val="20"/>
          <w:szCs w:val="20"/>
        </w:rPr>
        <w:t>customer requirements. In determining the lower of cost or net realizable value reserves, the Company considers assumptions such as recent historical sales activity and selling prices, as well as estimates of future selling prices. The Company fully reserv</w:t>
      </w:r>
      <w:r>
        <w:rPr>
          <w:rFonts w:ascii="Arial" w:eastAsia="宋体" w:hAnsi="Arial" w:cs="Arial"/>
          <w:color w:val="000000"/>
          <w:sz w:val="20"/>
          <w:szCs w:val="20"/>
        </w:rPr>
        <w:t>es for inventories and non-cancellable purchase orders for inventory deemed obsolete. The Company performs periodic reviews of inventory items to identify excess inventories on hand by comparing on-hand balances and non-cancellable purchase orders to antic</w:t>
      </w:r>
      <w:r>
        <w:rPr>
          <w:rFonts w:ascii="Arial" w:eastAsia="宋体" w:hAnsi="Arial" w:cs="Arial"/>
          <w:color w:val="000000"/>
          <w:sz w:val="20"/>
          <w:szCs w:val="20"/>
        </w:rPr>
        <w:t xml:space="preserve">ipated usage using recent historical activity as well as anticipated or forecasted demand. If estimates of customer demand diminish further or market conditions become less favorable than those projected by the Company, additional inventory carrying value </w:t>
      </w:r>
      <w:r>
        <w:rPr>
          <w:rFonts w:ascii="Arial" w:eastAsia="宋体" w:hAnsi="Arial" w:cs="Arial"/>
          <w:color w:val="000000"/>
          <w:sz w:val="20"/>
          <w:szCs w:val="20"/>
        </w:rPr>
        <w:t>adjustments may be required</w:t>
      </w:r>
      <w:r>
        <w:rPr>
          <w:rFonts w:ascii="Arial" w:eastAsia="宋体" w:hAnsi="Arial" w:cs="Arial"/>
          <w:color w:val="000000"/>
          <w:sz w:val="22"/>
          <w:szCs w:val="22"/>
        </w:rPr>
        <w:t>.</w:t>
      </w:r>
    </w:p>
    <w:p w14:paraId="5902A5F1" w14:textId="77777777" w:rsidR="0084406A" w:rsidRDefault="002B18AF">
      <w:pPr>
        <w:spacing w:before="180"/>
        <w:jc w:val="both"/>
      </w:pPr>
      <w:r>
        <w:rPr>
          <w:rFonts w:ascii="Arial" w:eastAsia="宋体" w:hAnsi="Arial" w:cs="Arial"/>
          <w:b/>
          <w:bCs/>
          <w:color w:val="000000"/>
          <w:sz w:val="20"/>
          <w:szCs w:val="20"/>
        </w:rPr>
        <w:t>Goodwill</w:t>
      </w:r>
    </w:p>
    <w:p w14:paraId="5902A5F2" w14:textId="77777777" w:rsidR="0084406A" w:rsidRDefault="002B18AF">
      <w:pPr>
        <w:spacing w:before="180"/>
        <w:jc w:val="both"/>
      </w:pPr>
      <w:r>
        <w:rPr>
          <w:rFonts w:ascii="Arial" w:eastAsia="宋体" w:hAnsi="Arial" w:cs="Arial"/>
          <w:color w:val="000000"/>
          <w:sz w:val="20"/>
          <w:szCs w:val="20"/>
        </w:rPr>
        <w:t xml:space="preserve">The Company performs its goodwill impairment analysis as of the first day of the fourth quarter of each year and, if certain events or circumstances indicate that an impairment loss may have been incurred, on a </w:t>
      </w:r>
      <w:r>
        <w:rPr>
          <w:rFonts w:ascii="Arial" w:eastAsia="宋体" w:hAnsi="Arial" w:cs="Arial"/>
          <w:color w:val="000000"/>
          <w:sz w:val="20"/>
          <w:szCs w:val="20"/>
        </w:rPr>
        <w:t>more frequent basis. The analysis may include both qualitative and quantitative factors to assess the likelihood of an impairment.</w:t>
      </w:r>
    </w:p>
    <w:p w14:paraId="5902A5F3" w14:textId="77777777" w:rsidR="0084406A" w:rsidRDefault="002B18AF">
      <w:pPr>
        <w:jc w:val="center"/>
      </w:pPr>
      <w:r>
        <w:rPr>
          <w:rFonts w:ascii="Arial" w:eastAsia="宋体" w:hAnsi="Arial" w:cs="Arial"/>
          <w:color w:val="000000"/>
          <w:sz w:val="20"/>
          <w:szCs w:val="20"/>
        </w:rPr>
        <w:t>55</w:t>
      </w:r>
    </w:p>
    <w:p w14:paraId="5902A5F4" w14:textId="77777777" w:rsidR="0084406A" w:rsidRDefault="002B18AF">
      <w:r>
        <w:pict w14:anchorId="5902BB2D">
          <v:rect id="_x0000_i1082" style="width:415.3pt;height:1.5pt" o:hralign="center" o:hrstd="t" o:hr="t" fillcolor="#a0a0a0" stroked="f"/>
        </w:pict>
      </w:r>
    </w:p>
    <w:p w14:paraId="5902A5F5" w14:textId="77777777" w:rsidR="0084406A" w:rsidRDefault="0084406A"/>
    <w:p w14:paraId="5902A5F6" w14:textId="77777777" w:rsidR="0084406A" w:rsidRDefault="002B18AF">
      <w:pPr>
        <w:spacing w:before="180"/>
        <w:jc w:val="both"/>
      </w:pPr>
      <w:r>
        <w:rPr>
          <w:rFonts w:ascii="Arial" w:eastAsia="宋体" w:hAnsi="Arial" w:cs="Arial"/>
          <w:color w:val="000000"/>
          <w:sz w:val="20"/>
          <w:szCs w:val="20"/>
        </w:rPr>
        <w:t>The Company first analyzes qualitative factors to determine if it is more likely than not that the fair value of a repo</w:t>
      </w:r>
      <w:r>
        <w:rPr>
          <w:rFonts w:ascii="Arial" w:eastAsia="宋体" w:hAnsi="Arial" w:cs="Arial"/>
          <w:color w:val="000000"/>
          <w:sz w:val="20"/>
          <w:szCs w:val="20"/>
        </w:rPr>
        <w:t>rting unit exceeds its carrying amount. Qualitative factors include industry and market considerations, overall financial performance, share price trends and market capitalization and Company-specific events. If the Company concludes it is more likely than</w:t>
      </w:r>
      <w:r>
        <w:rPr>
          <w:rFonts w:ascii="Arial" w:eastAsia="宋体" w:hAnsi="Arial" w:cs="Arial"/>
          <w:color w:val="000000"/>
          <w:sz w:val="20"/>
          <w:szCs w:val="20"/>
        </w:rPr>
        <w:t xml:space="preserve"> not that the fair value of a reporting unit exceeds its carrying amount, the Company does not proceed to perform a quantitative impairment test. </w:t>
      </w:r>
    </w:p>
    <w:p w14:paraId="5902A5F7" w14:textId="77777777" w:rsidR="0084406A" w:rsidRDefault="002B18AF">
      <w:pPr>
        <w:spacing w:before="180"/>
        <w:jc w:val="both"/>
      </w:pPr>
      <w:r>
        <w:rPr>
          <w:rFonts w:ascii="Arial" w:eastAsia="宋体" w:hAnsi="Arial" w:cs="Arial"/>
          <w:color w:val="000000"/>
          <w:sz w:val="20"/>
          <w:szCs w:val="20"/>
        </w:rPr>
        <w:t xml:space="preserve">If the Company concludes it is more likely than not that the fair value of a reporting unit is less than its </w:t>
      </w:r>
      <w:r>
        <w:rPr>
          <w:rFonts w:ascii="Arial" w:eastAsia="宋体" w:hAnsi="Arial" w:cs="Arial"/>
          <w:color w:val="000000"/>
          <w:sz w:val="20"/>
          <w:szCs w:val="20"/>
        </w:rPr>
        <w:t>carrying value, a quantitative goodwill impairment test will be performed by comparing the fair value of each reporting unit to its carrying value. A quantitative impairment analysis, if necessary, considers the income approach, which requires estimates of</w:t>
      </w:r>
      <w:r>
        <w:rPr>
          <w:rFonts w:ascii="Arial" w:eastAsia="宋体" w:hAnsi="Arial" w:cs="Arial"/>
          <w:color w:val="000000"/>
          <w:sz w:val="20"/>
          <w:szCs w:val="20"/>
        </w:rPr>
        <w:t xml:space="preserve"> the present value of expected future cash flows to determine a reporting unit’s fair value. Significant estimates include revenue growth rates and operating margins used to calculate projected future cash flows, discount rates, and future economic and mar</w:t>
      </w:r>
      <w:r>
        <w:rPr>
          <w:rFonts w:ascii="Arial" w:eastAsia="宋体" w:hAnsi="Arial" w:cs="Arial"/>
          <w:color w:val="000000"/>
          <w:sz w:val="20"/>
          <w:szCs w:val="20"/>
        </w:rPr>
        <w:t xml:space="preserve">ket conditions. </w:t>
      </w:r>
    </w:p>
    <w:p w14:paraId="5902A5F8" w14:textId="77777777" w:rsidR="0084406A" w:rsidRDefault="002B18AF">
      <w:pPr>
        <w:spacing w:before="180"/>
        <w:jc w:val="both"/>
      </w:pPr>
      <w:r>
        <w:rPr>
          <w:rFonts w:ascii="Arial" w:eastAsia="宋体" w:hAnsi="Arial" w:cs="Arial"/>
          <w:color w:val="000000"/>
          <w:sz w:val="20"/>
          <w:szCs w:val="20"/>
        </w:rPr>
        <w:t>A goodwill impairment charge is recognized for the amount by which a reporting unit’s fair value is less than its carrying value, not to exceed the total amount of goodwill allocated to that reporting unit.</w:t>
      </w:r>
    </w:p>
    <w:p w14:paraId="5902A5F9" w14:textId="77777777" w:rsidR="0084406A" w:rsidRDefault="002B18AF">
      <w:pPr>
        <w:spacing w:before="180"/>
        <w:jc w:val="both"/>
      </w:pPr>
      <w:r>
        <w:rPr>
          <w:rFonts w:ascii="Arial" w:eastAsia="宋体" w:hAnsi="Arial" w:cs="Arial"/>
          <w:b/>
          <w:bCs/>
          <w:color w:val="000000"/>
          <w:sz w:val="20"/>
          <w:szCs w:val="20"/>
        </w:rPr>
        <w:t>Contingencies</w:t>
      </w:r>
    </w:p>
    <w:p w14:paraId="5902A5FA" w14:textId="77777777" w:rsidR="0084406A" w:rsidRDefault="002B18AF">
      <w:pPr>
        <w:spacing w:before="180"/>
        <w:jc w:val="both"/>
      </w:pPr>
      <w:r>
        <w:rPr>
          <w:rFonts w:ascii="Arial" w:eastAsia="宋体" w:hAnsi="Arial" w:cs="Arial"/>
          <w:color w:val="000000"/>
          <w:sz w:val="20"/>
          <w:szCs w:val="20"/>
        </w:rPr>
        <w:t xml:space="preserve">From time to time </w:t>
      </w:r>
      <w:r>
        <w:rPr>
          <w:rFonts w:ascii="Arial" w:eastAsia="宋体" w:hAnsi="Arial" w:cs="Arial"/>
          <w:color w:val="000000"/>
          <w:sz w:val="20"/>
          <w:szCs w:val="20"/>
        </w:rPr>
        <w:t>the Company is a defendant or plaintiff in various legal actions that arise in the normal course of business. The Company is also subject to income tax, indirect tax or other tax claims by tax agencies in jurisdictions in which it conducts business. In add</w:t>
      </w:r>
      <w:r>
        <w:rPr>
          <w:rFonts w:ascii="Arial" w:eastAsia="宋体" w:hAnsi="Arial" w:cs="Arial"/>
          <w:color w:val="000000"/>
          <w:sz w:val="20"/>
          <w:szCs w:val="20"/>
        </w:rPr>
        <w:t>ition, the Company is a party to environmental matters including local, regional, state and federal government clean-up activities at or near locations where the Company currently or has in the past conducted business. The Company is required to assess the</w:t>
      </w:r>
      <w:r>
        <w:rPr>
          <w:rFonts w:ascii="Arial" w:eastAsia="宋体" w:hAnsi="Arial" w:cs="Arial"/>
          <w:color w:val="000000"/>
          <w:sz w:val="20"/>
          <w:szCs w:val="20"/>
        </w:rPr>
        <w:t xml:space="preserve"> likelihood of any adverse judgments or outcomes to these matters as well as potential ranges of reasonably possible losses. A determination of the amount of reserves required for these commitments and contingencies that would be charged to earnings, if an</w:t>
      </w:r>
      <w:r>
        <w:rPr>
          <w:rFonts w:ascii="Arial" w:eastAsia="宋体" w:hAnsi="Arial" w:cs="Arial"/>
          <w:color w:val="000000"/>
          <w:sz w:val="20"/>
          <w:szCs w:val="20"/>
        </w:rPr>
        <w:t xml:space="preserve">y, includes assessing the probability of adverse outcomes and estimating the amount of potential losses. The required reserves, if any, may change due to new developments in each matter or changes in circumstances such as a change in settlement strategy. </w:t>
      </w:r>
    </w:p>
    <w:p w14:paraId="5902A5FB" w14:textId="77777777" w:rsidR="0084406A" w:rsidRDefault="002B18AF">
      <w:pPr>
        <w:spacing w:before="180"/>
        <w:jc w:val="both"/>
      </w:pPr>
      <w:r>
        <w:rPr>
          <w:rFonts w:ascii="Arial" w:eastAsia="宋体" w:hAnsi="Arial" w:cs="Arial"/>
          <w:b/>
          <w:bCs/>
          <w:color w:val="000000"/>
          <w:sz w:val="20"/>
          <w:szCs w:val="20"/>
        </w:rPr>
        <w:t>Cash Equivalents and Short-term Investments</w:t>
      </w:r>
    </w:p>
    <w:p w14:paraId="5902A5FC" w14:textId="77777777" w:rsidR="0084406A" w:rsidRDefault="002B18AF">
      <w:pPr>
        <w:spacing w:before="180"/>
        <w:jc w:val="both"/>
      </w:pPr>
      <w:r>
        <w:rPr>
          <w:rFonts w:ascii="Arial" w:eastAsia="宋体" w:hAnsi="Arial" w:cs="Arial"/>
          <w:color w:val="000000"/>
          <w:sz w:val="20"/>
          <w:szCs w:val="20"/>
        </w:rPr>
        <w:t>Cash equivalents consist of financial instruments that are readily convertible into cash and have original maturities of three months or less at the time of purchase. Other investments in time deposits due within</w:t>
      </w:r>
      <w:r>
        <w:rPr>
          <w:rFonts w:ascii="Arial" w:eastAsia="宋体" w:hAnsi="Arial" w:cs="Arial"/>
          <w:color w:val="000000"/>
          <w:sz w:val="20"/>
          <w:szCs w:val="20"/>
        </w:rPr>
        <w:t xml:space="preserve"> 12 months and marketable securities are included in short-term investments. Classification of marketable securities as current is based on the Company’s intent and belief in its ability to sell these securities and use the proceeds from sale in operations</w:t>
      </w:r>
      <w:r>
        <w:rPr>
          <w:rFonts w:ascii="Arial" w:eastAsia="宋体" w:hAnsi="Arial" w:cs="Arial"/>
          <w:color w:val="000000"/>
          <w:sz w:val="20"/>
          <w:szCs w:val="20"/>
        </w:rPr>
        <w:t xml:space="preserve"> within 12 months.</w:t>
      </w:r>
    </w:p>
    <w:p w14:paraId="5902A5FD" w14:textId="77777777" w:rsidR="0084406A" w:rsidRDefault="002B18AF">
      <w:pPr>
        <w:spacing w:before="180"/>
        <w:jc w:val="both"/>
      </w:pPr>
      <w:r>
        <w:rPr>
          <w:rFonts w:ascii="Arial" w:eastAsia="宋体" w:hAnsi="Arial" w:cs="Arial"/>
          <w:b/>
          <w:bCs/>
          <w:color w:val="000000"/>
          <w:sz w:val="20"/>
          <w:szCs w:val="20"/>
        </w:rPr>
        <w:t>Accounts Receivable</w:t>
      </w:r>
    </w:p>
    <w:p w14:paraId="5902A5FE" w14:textId="77777777" w:rsidR="0084406A" w:rsidRDefault="002B18AF">
      <w:pPr>
        <w:spacing w:before="180"/>
        <w:jc w:val="both"/>
      </w:pPr>
      <w:r>
        <w:rPr>
          <w:rFonts w:ascii="Arial" w:eastAsia="宋体" w:hAnsi="Arial" w:cs="Arial"/>
          <w:color w:val="000000"/>
          <w:sz w:val="20"/>
          <w:szCs w:val="20"/>
        </w:rPr>
        <w:t>Accounts receivable are primarily comprised of trade receivables presented net of rebates, price protection and an allowance for credit loss. Accounts receivable also include unbilled receivables, which primarily repr</w:t>
      </w:r>
      <w:r>
        <w:rPr>
          <w:rFonts w:ascii="Arial" w:eastAsia="宋体" w:hAnsi="Arial" w:cs="Arial"/>
          <w:color w:val="000000"/>
          <w:sz w:val="20"/>
          <w:szCs w:val="20"/>
        </w:rPr>
        <w:t>esent work completed on development services recognized as revenue but not yet invoiced to customers and semi-custom products under non-cancellable purchase orders that have no alternative use to the Company at contract inception, for which revenue has bee</w:t>
      </w:r>
      <w:r>
        <w:rPr>
          <w:rFonts w:ascii="Arial" w:eastAsia="宋体" w:hAnsi="Arial" w:cs="Arial"/>
          <w:color w:val="000000"/>
          <w:sz w:val="20"/>
          <w:szCs w:val="20"/>
        </w:rPr>
        <w:t>n recognized but not yet invoiced to customers. All unbilled accounts receivables are expected to be billed and collected within twelve months.</w:t>
      </w:r>
    </w:p>
    <w:p w14:paraId="5902A5FF" w14:textId="77777777" w:rsidR="0084406A" w:rsidRDefault="002B18AF">
      <w:pPr>
        <w:spacing w:before="180"/>
        <w:jc w:val="both"/>
      </w:pPr>
      <w:r>
        <w:rPr>
          <w:rFonts w:ascii="Arial" w:eastAsia="宋体" w:hAnsi="Arial" w:cs="Arial"/>
          <w:color w:val="000000"/>
          <w:sz w:val="20"/>
          <w:szCs w:val="20"/>
        </w:rPr>
        <w:t>The Company manages its exposure to customer credit risk through credit limits, credit lines, ongoing monitoring</w:t>
      </w:r>
      <w:r>
        <w:rPr>
          <w:rFonts w:ascii="Arial" w:eastAsia="宋体" w:hAnsi="Arial" w:cs="Arial"/>
          <w:color w:val="000000"/>
          <w:sz w:val="20"/>
          <w:szCs w:val="20"/>
        </w:rPr>
        <w:t xml:space="preserve"> procedures and credit approvals. Furthermore, the Company performs in-depth credit evaluations of all new customers and, at intervals, for existing customers. From this, the Company may require letters of credit, bank or corporate guarantees or advance pa</w:t>
      </w:r>
      <w:r>
        <w:rPr>
          <w:rFonts w:ascii="Arial" w:eastAsia="宋体" w:hAnsi="Arial" w:cs="Arial"/>
          <w:color w:val="000000"/>
          <w:sz w:val="20"/>
          <w:szCs w:val="20"/>
        </w:rPr>
        <w:t>yments if deemed necessary. The Company maintains an allowance for credit loss, consisting of known specific troubled accounts as well as an amount based on overall estimated potential uncollectible accounts receivable based on historical experience and re</w:t>
      </w:r>
      <w:r>
        <w:rPr>
          <w:rFonts w:ascii="Arial" w:eastAsia="宋体" w:hAnsi="Arial" w:cs="Arial"/>
          <w:color w:val="000000"/>
          <w:sz w:val="20"/>
          <w:szCs w:val="20"/>
        </w:rPr>
        <w:t xml:space="preserve">view of their current credit quality. The Company does not believe the receivable balance from its customers represents a significant credit risk. </w:t>
      </w:r>
    </w:p>
    <w:p w14:paraId="5902A600" w14:textId="77777777" w:rsidR="0084406A" w:rsidRDefault="002B18AF">
      <w:pPr>
        <w:jc w:val="center"/>
      </w:pPr>
      <w:r>
        <w:rPr>
          <w:rFonts w:ascii="Arial" w:eastAsia="宋体" w:hAnsi="Arial" w:cs="Arial"/>
          <w:color w:val="000000"/>
          <w:sz w:val="20"/>
          <w:szCs w:val="20"/>
        </w:rPr>
        <w:t>56</w:t>
      </w:r>
    </w:p>
    <w:p w14:paraId="5902A601" w14:textId="77777777" w:rsidR="0084406A" w:rsidRDefault="002B18AF">
      <w:r>
        <w:pict w14:anchorId="5902BB2E">
          <v:rect id="_x0000_i1083" style="width:415.3pt;height:1.5pt" o:hralign="center" o:hrstd="t" o:hr="t" fillcolor="#a0a0a0" stroked="f"/>
        </w:pict>
      </w:r>
    </w:p>
    <w:p w14:paraId="5902A602" w14:textId="77777777" w:rsidR="0084406A" w:rsidRDefault="0084406A"/>
    <w:p w14:paraId="5902A603" w14:textId="77777777" w:rsidR="0084406A" w:rsidRDefault="002B18AF">
      <w:pPr>
        <w:spacing w:before="180"/>
        <w:jc w:val="both"/>
      </w:pPr>
      <w:r>
        <w:rPr>
          <w:rFonts w:ascii="Arial" w:eastAsia="宋体" w:hAnsi="Arial" w:cs="Arial"/>
          <w:b/>
          <w:bCs/>
          <w:color w:val="000000"/>
          <w:sz w:val="20"/>
          <w:szCs w:val="20"/>
        </w:rPr>
        <w:t>Investments in Available-for-sale Debt Securities</w:t>
      </w:r>
    </w:p>
    <w:p w14:paraId="5902A604" w14:textId="77777777" w:rsidR="0084406A" w:rsidRDefault="002B18AF">
      <w:pPr>
        <w:spacing w:before="180"/>
        <w:jc w:val="both"/>
      </w:pPr>
      <w:r>
        <w:rPr>
          <w:rFonts w:ascii="Arial" w:eastAsia="宋体" w:hAnsi="Arial" w:cs="Arial"/>
          <w:color w:val="000000"/>
          <w:sz w:val="20"/>
          <w:szCs w:val="20"/>
        </w:rPr>
        <w:t>The Company classifies its investments in debt secur</w:t>
      </w:r>
      <w:r>
        <w:rPr>
          <w:rFonts w:ascii="Arial" w:eastAsia="宋体" w:hAnsi="Arial" w:cs="Arial"/>
          <w:color w:val="000000"/>
          <w:sz w:val="20"/>
          <w:szCs w:val="20"/>
        </w:rPr>
        <w:t>ities at the date of acquisition as available-for-sale. Available-for-sale debt securities are reported at fair value with the related unrealized gains and losses included, net of tax, in accumulated other comprehensive income (loss), a component of stockh</w:t>
      </w:r>
      <w:r>
        <w:rPr>
          <w:rFonts w:ascii="Arial" w:eastAsia="宋体" w:hAnsi="Arial" w:cs="Arial"/>
          <w:color w:val="000000"/>
          <w:sz w:val="20"/>
          <w:szCs w:val="20"/>
        </w:rPr>
        <w:t>olders’ equity. If an available-for-sale debt security’s fair value is less than its amortized cost basis, then the Company evaluates whether the decline is the result of a credit loss, in which case an impairment is recorded through an allowance for credi</w:t>
      </w:r>
      <w:r>
        <w:rPr>
          <w:rFonts w:ascii="Arial" w:eastAsia="宋体" w:hAnsi="Arial" w:cs="Arial"/>
          <w:color w:val="000000"/>
          <w:sz w:val="20"/>
          <w:szCs w:val="20"/>
        </w:rPr>
        <w:t>t losses. Unrealized gains and losses not attributable to credit losses are included, net of tax, in accumulated other comprehensive income (loss), a component of stockholders’ equity. The cost of securities sold is determined based on the specific identif</w:t>
      </w:r>
      <w:r>
        <w:rPr>
          <w:rFonts w:ascii="Arial" w:eastAsia="宋体" w:hAnsi="Arial" w:cs="Arial"/>
          <w:color w:val="000000"/>
          <w:sz w:val="20"/>
          <w:szCs w:val="20"/>
        </w:rPr>
        <w:t>ication method.</w:t>
      </w:r>
    </w:p>
    <w:p w14:paraId="5902A605" w14:textId="77777777" w:rsidR="0084406A" w:rsidRDefault="002B18AF">
      <w:pPr>
        <w:spacing w:before="180"/>
        <w:jc w:val="both"/>
      </w:pPr>
      <w:r>
        <w:rPr>
          <w:rFonts w:ascii="Arial" w:eastAsia="宋体" w:hAnsi="Arial" w:cs="Arial"/>
          <w:b/>
          <w:bCs/>
          <w:color w:val="000000"/>
          <w:sz w:val="20"/>
          <w:szCs w:val="20"/>
        </w:rPr>
        <w:t>Property and Equipment</w:t>
      </w:r>
    </w:p>
    <w:p w14:paraId="5902A606" w14:textId="77777777" w:rsidR="0084406A" w:rsidRDefault="002B18AF">
      <w:pPr>
        <w:spacing w:before="180"/>
        <w:jc w:val="both"/>
      </w:pPr>
      <w:r>
        <w:rPr>
          <w:rFonts w:ascii="Arial" w:eastAsia="宋体" w:hAnsi="Arial" w:cs="Arial"/>
          <w:color w:val="000000"/>
          <w:sz w:val="20"/>
          <w:szCs w:val="20"/>
        </w:rPr>
        <w:t>Property and equipment are stated at cost. Depreciation and amortization are provided on a straight-line basis over the estimated useful lives of the assets. Estimated useful lives of equipment is two to six years, an</w:t>
      </w:r>
      <w:r>
        <w:rPr>
          <w:rFonts w:ascii="Arial" w:eastAsia="宋体" w:hAnsi="Arial" w:cs="Arial"/>
          <w:color w:val="000000"/>
          <w:sz w:val="20"/>
          <w:szCs w:val="20"/>
        </w:rPr>
        <w:t>d leasehold improvements are measured by the shorter of the remaining terms of the leases or the estimated useful economic lives of the improvements.</w:t>
      </w:r>
    </w:p>
    <w:p w14:paraId="5902A607" w14:textId="77777777" w:rsidR="0084406A" w:rsidRDefault="002B18AF">
      <w:pPr>
        <w:spacing w:before="180"/>
        <w:jc w:val="both"/>
      </w:pPr>
      <w:r>
        <w:rPr>
          <w:rFonts w:ascii="Arial" w:eastAsia="宋体" w:hAnsi="Arial" w:cs="Arial"/>
          <w:b/>
          <w:bCs/>
          <w:color w:val="000000"/>
          <w:sz w:val="20"/>
          <w:szCs w:val="20"/>
        </w:rPr>
        <w:t>Leases</w:t>
      </w:r>
    </w:p>
    <w:p w14:paraId="5902A608" w14:textId="77777777" w:rsidR="0084406A" w:rsidRDefault="002B18AF">
      <w:pPr>
        <w:spacing w:before="180"/>
        <w:jc w:val="both"/>
      </w:pPr>
      <w:r>
        <w:rPr>
          <w:rFonts w:ascii="Arial" w:eastAsia="宋体" w:hAnsi="Arial" w:cs="Arial"/>
          <w:color w:val="000000"/>
          <w:sz w:val="20"/>
          <w:szCs w:val="20"/>
        </w:rPr>
        <w:t>Operating and finance leases are recorded as right-of-use (ROU) assets and lease liabilities on the</w:t>
      </w:r>
      <w:r>
        <w:rPr>
          <w:rFonts w:ascii="Arial" w:eastAsia="宋体" w:hAnsi="Arial" w:cs="Arial"/>
          <w:color w:val="000000"/>
          <w:sz w:val="20"/>
          <w:szCs w:val="20"/>
        </w:rPr>
        <w:t xml:space="preserve"> Company’s balance sheet. ROU assets represent the Company’s right to use an underlying asset for the lease term and lease liabilities represent the Company’s obligation to make lease payments arising from the lease. Operating and finance lease ROU assets </w:t>
      </w:r>
      <w:r>
        <w:rPr>
          <w:rFonts w:ascii="Arial" w:eastAsia="宋体" w:hAnsi="Arial" w:cs="Arial"/>
          <w:color w:val="000000"/>
          <w:sz w:val="20"/>
          <w:szCs w:val="20"/>
        </w:rPr>
        <w:t>and liabilities are initially recognized based on the present value of lease payments over the lease term. In determining the present value of lease payments, the Company uses the implicit interest rate if readily determinable. When the implicit interest r</w:t>
      </w:r>
      <w:r>
        <w:rPr>
          <w:rFonts w:ascii="Arial" w:eastAsia="宋体" w:hAnsi="Arial" w:cs="Arial"/>
          <w:color w:val="000000"/>
          <w:sz w:val="20"/>
          <w:szCs w:val="20"/>
        </w:rPr>
        <w:t xml:space="preserve">ate is not readily determinable, the Company uses its incremental borrowing rate, which is based on its collateralized borrowing capabilities over a similar term of the lease payments. The Company utilizes the consolidated group incremental borrowing rate </w:t>
      </w:r>
      <w:r>
        <w:rPr>
          <w:rFonts w:ascii="Arial" w:eastAsia="宋体" w:hAnsi="Arial" w:cs="Arial"/>
          <w:color w:val="000000"/>
          <w:sz w:val="20"/>
          <w:szCs w:val="20"/>
        </w:rPr>
        <w:t>for all leases as the Company has centralized treasury operations. Lease expense for operating lease payments is recognized on a straight-line basis over the lease term. The Company has elected the accounting policy to not recognize ROU assets and lease li</w:t>
      </w:r>
      <w:r>
        <w:rPr>
          <w:rFonts w:ascii="Arial" w:eastAsia="宋体" w:hAnsi="Arial" w:cs="Arial"/>
          <w:color w:val="000000"/>
          <w:sz w:val="20"/>
          <w:szCs w:val="20"/>
        </w:rPr>
        <w:t>abilities that arise from short-term (12 months or less) leases for any class of underlying asset. Operating leases are included in operating lease ROU assets, other current liabilities, and long-term operating lease liabilities on the Company’s consolidat</w:t>
      </w:r>
      <w:r>
        <w:rPr>
          <w:rFonts w:ascii="Arial" w:eastAsia="宋体" w:hAnsi="Arial" w:cs="Arial"/>
          <w:color w:val="000000"/>
          <w:sz w:val="20"/>
          <w:szCs w:val="20"/>
        </w:rPr>
        <w:t>ed balance sheets. The Company’s finance leases are immaterial.</w:t>
      </w:r>
    </w:p>
    <w:p w14:paraId="5902A609" w14:textId="77777777" w:rsidR="0084406A" w:rsidRDefault="002B18AF">
      <w:pPr>
        <w:spacing w:before="180"/>
        <w:jc w:val="both"/>
      </w:pPr>
      <w:r>
        <w:rPr>
          <w:rFonts w:ascii="Arial" w:eastAsia="宋体" w:hAnsi="Arial" w:cs="Arial"/>
          <w:b/>
          <w:bCs/>
          <w:color w:val="000000"/>
          <w:sz w:val="20"/>
          <w:szCs w:val="20"/>
        </w:rPr>
        <w:t>Foreign Currency Translation/Transactions</w:t>
      </w:r>
    </w:p>
    <w:p w14:paraId="5902A60A" w14:textId="77777777" w:rsidR="0084406A" w:rsidRDefault="002B18AF">
      <w:pPr>
        <w:spacing w:before="180"/>
        <w:jc w:val="both"/>
      </w:pPr>
      <w:r>
        <w:rPr>
          <w:rFonts w:ascii="Arial" w:eastAsia="宋体" w:hAnsi="Arial" w:cs="Arial"/>
          <w:color w:val="000000"/>
          <w:sz w:val="20"/>
          <w:szCs w:val="20"/>
        </w:rPr>
        <w:t>The functional currency of all of the Company’s foreign subsidiaries is the U.S. dollar. Assets and liabilities denominated in non-U.S. dollars have b</w:t>
      </w:r>
      <w:r>
        <w:rPr>
          <w:rFonts w:ascii="Arial" w:eastAsia="宋体" w:hAnsi="Arial" w:cs="Arial"/>
          <w:color w:val="000000"/>
          <w:sz w:val="20"/>
          <w:szCs w:val="20"/>
        </w:rPr>
        <w:t>een remeasured into U.S. dollars at current exchange rates for monetary assets and liabilities and historical exchange rates for non-monetary assets and liabilities. Non-U.S. dollar denominated transactions have been remeasured at average exchange rates in</w:t>
      </w:r>
      <w:r>
        <w:rPr>
          <w:rFonts w:ascii="Arial" w:eastAsia="宋体" w:hAnsi="Arial" w:cs="Arial"/>
          <w:color w:val="000000"/>
          <w:sz w:val="20"/>
          <w:szCs w:val="20"/>
        </w:rPr>
        <w:t xml:space="preserve"> effect during each period, except for those cost of sales and expense transactions related to non-monetary balance sheet amounts which have been remeasured at historical exchange rates. The gains or losses from foreign currency remeasurement are included </w:t>
      </w:r>
      <w:r>
        <w:rPr>
          <w:rFonts w:ascii="Arial" w:eastAsia="宋体" w:hAnsi="Arial" w:cs="Arial"/>
          <w:color w:val="000000"/>
          <w:sz w:val="20"/>
          <w:szCs w:val="20"/>
        </w:rPr>
        <w:t>in earnings.</w:t>
      </w:r>
    </w:p>
    <w:p w14:paraId="5902A60B" w14:textId="77777777" w:rsidR="0084406A" w:rsidRDefault="002B18AF">
      <w:pPr>
        <w:spacing w:before="180"/>
        <w:jc w:val="both"/>
      </w:pPr>
      <w:r>
        <w:rPr>
          <w:rFonts w:ascii="Arial" w:eastAsia="宋体" w:hAnsi="Arial" w:cs="Arial"/>
          <w:b/>
          <w:bCs/>
          <w:color w:val="000000"/>
          <w:sz w:val="20"/>
          <w:szCs w:val="20"/>
        </w:rPr>
        <w:t>Marketing and Advertising Expenses</w:t>
      </w:r>
    </w:p>
    <w:p w14:paraId="5902A60C" w14:textId="77777777" w:rsidR="0084406A" w:rsidRDefault="002B18AF">
      <w:pPr>
        <w:spacing w:before="180"/>
        <w:jc w:val="both"/>
      </w:pPr>
      <w:r>
        <w:rPr>
          <w:rFonts w:ascii="Arial" w:eastAsia="宋体" w:hAnsi="Arial" w:cs="Arial"/>
          <w:color w:val="000000"/>
          <w:sz w:val="20"/>
          <w:szCs w:val="20"/>
        </w:rPr>
        <w:t>Advertising costs are expensed as incurred. In addition, the Company’s marketing and advertising expenses include certain cooperative advertising funding obligations under customer incentive programs, which c</w:t>
      </w:r>
      <w:r>
        <w:rPr>
          <w:rFonts w:ascii="Arial" w:eastAsia="宋体" w:hAnsi="Arial" w:cs="Arial"/>
          <w:color w:val="000000"/>
          <w:sz w:val="20"/>
          <w:szCs w:val="20"/>
        </w:rPr>
        <w:t>osts are recorded upon agreement with customers and vendor partners. Cooperative advertising expenses are recorded as marketing, general and administrative expense to the extent the cash paid does not exceed the estimated fair value of the advertising bene</w:t>
      </w:r>
      <w:r>
        <w:rPr>
          <w:rFonts w:ascii="Arial" w:eastAsia="宋体" w:hAnsi="Arial" w:cs="Arial"/>
          <w:color w:val="000000"/>
          <w:sz w:val="20"/>
          <w:szCs w:val="20"/>
        </w:rPr>
        <w:t xml:space="preserve">fit received. Any excess of cash paid over the estimated fair value of the advertising benefit received is recorded as a reduction of revenue. Total marketing and advertising expenses for 2021, 2020 and 2019 were approximately </w:t>
      </w:r>
      <w:r>
        <w:rPr>
          <w:rFonts w:ascii="Arial" w:eastAsia="宋体" w:hAnsi="Arial" w:cs="Arial"/>
          <w:color w:val="000000"/>
          <w:sz w:val="20"/>
          <w:szCs w:val="20"/>
          <w:shd w:val="clear" w:color="auto" w:fill="FFFFFF"/>
        </w:rPr>
        <w:t>$578 million</w:t>
      </w:r>
      <w:r>
        <w:rPr>
          <w:rFonts w:ascii="Arial" w:eastAsia="宋体" w:hAnsi="Arial" w:cs="Arial"/>
          <w:color w:val="000000"/>
          <w:sz w:val="20"/>
          <w:szCs w:val="20"/>
        </w:rPr>
        <w:t>, $314 million an</w:t>
      </w:r>
      <w:r>
        <w:rPr>
          <w:rFonts w:ascii="Arial" w:eastAsia="宋体" w:hAnsi="Arial" w:cs="Arial"/>
          <w:color w:val="000000"/>
          <w:sz w:val="20"/>
          <w:szCs w:val="20"/>
        </w:rPr>
        <w:t xml:space="preserve">d $217 million, respectively. </w:t>
      </w:r>
    </w:p>
    <w:p w14:paraId="5902A60D" w14:textId="77777777" w:rsidR="0084406A" w:rsidRDefault="002B18AF">
      <w:pPr>
        <w:jc w:val="center"/>
      </w:pPr>
      <w:r>
        <w:rPr>
          <w:rFonts w:ascii="Arial" w:eastAsia="宋体" w:hAnsi="Arial" w:cs="Arial"/>
          <w:color w:val="000000"/>
          <w:sz w:val="20"/>
          <w:szCs w:val="20"/>
        </w:rPr>
        <w:t>57</w:t>
      </w:r>
    </w:p>
    <w:p w14:paraId="5902A60E" w14:textId="77777777" w:rsidR="0084406A" w:rsidRDefault="002B18AF">
      <w:r>
        <w:pict w14:anchorId="5902BB2F">
          <v:rect id="_x0000_i1084" style="width:415.3pt;height:1.5pt" o:hralign="center" o:hrstd="t" o:hr="t" fillcolor="#a0a0a0" stroked="f"/>
        </w:pict>
      </w:r>
    </w:p>
    <w:p w14:paraId="5902A60F" w14:textId="77777777" w:rsidR="0084406A" w:rsidRDefault="0084406A"/>
    <w:p w14:paraId="5902A610" w14:textId="77777777" w:rsidR="0084406A" w:rsidRDefault="002B18AF">
      <w:pPr>
        <w:spacing w:before="180"/>
        <w:jc w:val="both"/>
      </w:pPr>
      <w:r>
        <w:rPr>
          <w:rFonts w:ascii="Arial" w:eastAsia="宋体" w:hAnsi="Arial" w:cs="Arial"/>
          <w:b/>
          <w:bCs/>
          <w:color w:val="000000"/>
          <w:sz w:val="20"/>
          <w:szCs w:val="20"/>
        </w:rPr>
        <w:t>Stock-Based Compensation</w:t>
      </w:r>
    </w:p>
    <w:p w14:paraId="5902A611" w14:textId="77777777" w:rsidR="0084406A" w:rsidRDefault="002B18AF">
      <w:pPr>
        <w:spacing w:before="180"/>
        <w:jc w:val="both"/>
      </w:pPr>
      <w:r>
        <w:rPr>
          <w:rFonts w:ascii="Arial" w:eastAsia="宋体" w:hAnsi="Arial" w:cs="Arial"/>
          <w:color w:val="000000"/>
          <w:sz w:val="20"/>
          <w:szCs w:val="20"/>
        </w:rPr>
        <w:t xml:space="preserve">The Company estimates stock-based compensation cost for stock options at the grant date based on the option’s fair value as calculated by the Black-Scholes model. For time-based </w:t>
      </w:r>
      <w:r>
        <w:rPr>
          <w:rFonts w:ascii="Arial" w:eastAsia="宋体" w:hAnsi="Arial" w:cs="Arial"/>
          <w:color w:val="000000"/>
          <w:sz w:val="20"/>
          <w:szCs w:val="20"/>
        </w:rPr>
        <w:t>restricted stock units (RSUs), fair value is based on the closing price of the Company’s common stock on the grant date. The Company estimates the grant-date fair value of RSUs that involve a market condition using the Monte Carlo simulation model. The Com</w:t>
      </w:r>
      <w:r>
        <w:rPr>
          <w:rFonts w:ascii="Arial" w:eastAsia="宋体" w:hAnsi="Arial" w:cs="Arial"/>
          <w:color w:val="000000"/>
          <w:sz w:val="20"/>
          <w:szCs w:val="20"/>
        </w:rPr>
        <w:t>pany estimates the grant-date fair value of stock to be issued under the Company’s Employee Stock Purchase plan (ESPP) using the Black-Scholes model. Compensation expense is recognized over the vesting period of the applicable award using the straight-line</w:t>
      </w:r>
      <w:r>
        <w:rPr>
          <w:rFonts w:ascii="Arial" w:eastAsia="宋体" w:hAnsi="Arial" w:cs="Arial"/>
          <w:color w:val="000000"/>
          <w:sz w:val="20"/>
          <w:szCs w:val="20"/>
        </w:rPr>
        <w:t xml:space="preserve"> method, except for the compensation expense related to RSUs with performance or market conditions (PRSUs), which are recognized ratably for each vesting tranche from the service inception date to the end of the requisite service period. Forfeiture rates a</w:t>
      </w:r>
      <w:r>
        <w:rPr>
          <w:rFonts w:ascii="Arial" w:eastAsia="宋体" w:hAnsi="Arial" w:cs="Arial"/>
          <w:color w:val="000000"/>
          <w:sz w:val="20"/>
          <w:szCs w:val="20"/>
        </w:rPr>
        <w:t>re estimated at the time of grant and revised, if necessary, in subsequent periods if actual forfeitures differ from those estimates.</w:t>
      </w:r>
    </w:p>
    <w:p w14:paraId="5902A612" w14:textId="77777777" w:rsidR="0084406A" w:rsidRDefault="002B18AF">
      <w:pPr>
        <w:spacing w:before="180"/>
        <w:jc w:val="both"/>
      </w:pPr>
      <w:r>
        <w:rPr>
          <w:rFonts w:ascii="Arial" w:eastAsia="宋体" w:hAnsi="Arial" w:cs="Arial"/>
          <w:b/>
          <w:bCs/>
          <w:color w:val="000000"/>
          <w:sz w:val="20"/>
          <w:szCs w:val="20"/>
        </w:rPr>
        <w:t>Income Taxes</w:t>
      </w:r>
    </w:p>
    <w:p w14:paraId="5902A613" w14:textId="77777777" w:rsidR="0084406A" w:rsidRDefault="002B18AF">
      <w:pPr>
        <w:spacing w:before="180"/>
        <w:jc w:val="both"/>
      </w:pPr>
      <w:r>
        <w:rPr>
          <w:rFonts w:ascii="Arial" w:eastAsia="宋体" w:hAnsi="Arial" w:cs="Arial"/>
          <w:color w:val="000000"/>
          <w:sz w:val="20"/>
          <w:szCs w:val="20"/>
        </w:rPr>
        <w:t>The Company computes the provision for income taxes using the liability method and recognizes deferred tax as</w:t>
      </w:r>
      <w:r>
        <w:rPr>
          <w:rFonts w:ascii="Arial" w:eastAsia="宋体" w:hAnsi="Arial" w:cs="Arial"/>
          <w:color w:val="000000"/>
          <w:sz w:val="20"/>
          <w:szCs w:val="20"/>
        </w:rPr>
        <w:t xml:space="preserve">sets and liabilities for temporary differences between financial statement and income tax bases of assets and liabilities, as well as for operating loss and tax credit carryforwards. The Company measures deferred tax assets and liabilities using tax rates </w:t>
      </w:r>
      <w:r>
        <w:rPr>
          <w:rFonts w:ascii="Arial" w:eastAsia="宋体" w:hAnsi="Arial" w:cs="Arial"/>
          <w:color w:val="000000"/>
          <w:sz w:val="20"/>
          <w:szCs w:val="20"/>
        </w:rPr>
        <w:t>applicable to taxable income in effect for the years in which those tax assets are expected to be realized or settled and provides a valuation allowance against deferred tax assets when it cannot conclude that it is more likely than not that some or all de</w:t>
      </w:r>
      <w:r>
        <w:rPr>
          <w:rFonts w:ascii="Arial" w:eastAsia="宋体" w:hAnsi="Arial" w:cs="Arial"/>
          <w:color w:val="000000"/>
          <w:sz w:val="20"/>
          <w:szCs w:val="20"/>
        </w:rPr>
        <w:t>ferred tax assets will be realized. The assessment requires significant judgment and is performed in each of the applicable taxing jurisdictions. In addition, the Company recognizes tax benefits from uncertain tax positions only if it is more likely than n</w:t>
      </w:r>
      <w:r>
        <w:rPr>
          <w:rFonts w:ascii="Arial" w:eastAsia="宋体" w:hAnsi="Arial" w:cs="Arial"/>
          <w:color w:val="000000"/>
          <w:sz w:val="20"/>
          <w:szCs w:val="20"/>
        </w:rPr>
        <w:t>ot that they will be sustained, based on the technical merits of the positions, on examination by the jurisdictional tax authority. The Company recognizes any accrued interest and penalties to unrecognized tax benefits as interest expense and income tax ex</w:t>
      </w:r>
      <w:r>
        <w:rPr>
          <w:rFonts w:ascii="Arial" w:eastAsia="宋体" w:hAnsi="Arial" w:cs="Arial"/>
          <w:color w:val="000000"/>
          <w:sz w:val="20"/>
          <w:szCs w:val="20"/>
        </w:rPr>
        <w:t>pense, respectively.</w:t>
      </w:r>
    </w:p>
    <w:p w14:paraId="5902A614" w14:textId="77777777" w:rsidR="0084406A" w:rsidRDefault="002B18AF">
      <w:pPr>
        <w:spacing w:before="180"/>
        <w:jc w:val="both"/>
      </w:pPr>
      <w:r>
        <w:rPr>
          <w:rFonts w:ascii="Arial" w:eastAsia="宋体" w:hAnsi="Arial" w:cs="Arial"/>
          <w:b/>
          <w:bCs/>
          <w:color w:val="000000"/>
          <w:sz w:val="20"/>
          <w:szCs w:val="20"/>
        </w:rPr>
        <w:t>Recently Adopted Accounting Standards</w:t>
      </w:r>
    </w:p>
    <w:p w14:paraId="5902A615" w14:textId="77777777" w:rsidR="0084406A" w:rsidRDefault="002B18AF">
      <w:pPr>
        <w:spacing w:before="180"/>
        <w:jc w:val="both"/>
      </w:pPr>
      <w:r>
        <w:rPr>
          <w:rFonts w:ascii="Arial" w:eastAsia="宋体" w:hAnsi="Arial" w:cs="Arial"/>
          <w:b/>
          <w:bCs/>
          <w:color w:val="000000"/>
          <w:sz w:val="20"/>
          <w:szCs w:val="20"/>
        </w:rPr>
        <w:t>Income Taxes.</w:t>
      </w:r>
      <w:r>
        <w:rPr>
          <w:rFonts w:ascii="Arial" w:eastAsia="宋体" w:hAnsi="Arial" w:cs="Arial"/>
          <w:color w:val="000000"/>
          <w:sz w:val="20"/>
          <w:szCs w:val="20"/>
        </w:rPr>
        <w:t xml:space="preserve"> In December 2019, the Financial Accounting Standards Board (FASB) issued ASU 2019-12, I</w:t>
      </w:r>
      <w:r>
        <w:rPr>
          <w:rFonts w:ascii="Arial" w:eastAsia="宋体" w:hAnsi="Arial" w:cs="Arial"/>
          <w:i/>
          <w:iCs/>
          <w:color w:val="000000"/>
          <w:sz w:val="20"/>
          <w:szCs w:val="20"/>
        </w:rPr>
        <w:t>ncome Taxes (Topic 740): Simplifying the Accounting for Income Taxes</w:t>
      </w:r>
      <w:r>
        <w:rPr>
          <w:rFonts w:ascii="Arial" w:eastAsia="宋体" w:hAnsi="Arial" w:cs="Arial"/>
          <w:color w:val="000000"/>
          <w:sz w:val="20"/>
          <w:szCs w:val="20"/>
        </w:rPr>
        <w:t>, which simplifies various a</w:t>
      </w:r>
      <w:r>
        <w:rPr>
          <w:rFonts w:ascii="Arial" w:eastAsia="宋体" w:hAnsi="Arial" w:cs="Arial"/>
          <w:color w:val="000000"/>
          <w:sz w:val="20"/>
          <w:szCs w:val="20"/>
        </w:rPr>
        <w:t>spects of accounting for income taxes by removing certain exceptions to the general principles in Topic 740 and clarifies and amends existing guidance to improve consistent application. The guidance is effective for fiscal years, and interim periods within</w:t>
      </w:r>
      <w:r>
        <w:rPr>
          <w:rFonts w:ascii="Arial" w:eastAsia="宋体" w:hAnsi="Arial" w:cs="Arial"/>
          <w:color w:val="000000"/>
          <w:sz w:val="20"/>
          <w:szCs w:val="20"/>
        </w:rPr>
        <w:t xml:space="preserve"> those fiscal years, beginning after December 15, 2020. The Company adopted this standard in the first quarter of 2021 using the modified retrospective adoption method through a cumulative-effect adjustment to accumulated deficit as of the beginning of the</w:t>
      </w:r>
      <w:r>
        <w:rPr>
          <w:rFonts w:ascii="Arial" w:eastAsia="宋体" w:hAnsi="Arial" w:cs="Arial"/>
          <w:color w:val="000000"/>
          <w:sz w:val="20"/>
          <w:szCs w:val="20"/>
        </w:rPr>
        <w:t xml:space="preserve"> period. The adoption of this new standard resulted in the recognition of an $8.4 million deferred tax liability associated with book-tax differences in foreign equity method investments.</w:t>
      </w:r>
    </w:p>
    <w:p w14:paraId="5902A616" w14:textId="77777777" w:rsidR="0084406A" w:rsidRDefault="002B18AF">
      <w:pPr>
        <w:spacing w:before="180"/>
        <w:jc w:val="both"/>
      </w:pPr>
      <w:r>
        <w:rPr>
          <w:rFonts w:ascii="Arial" w:eastAsia="宋体" w:hAnsi="Arial" w:cs="Arial"/>
          <w:b/>
          <w:bCs/>
          <w:color w:val="000000"/>
          <w:sz w:val="20"/>
          <w:szCs w:val="20"/>
        </w:rPr>
        <w:t>Recently Issued Accounting Standards</w:t>
      </w:r>
    </w:p>
    <w:p w14:paraId="5902A617" w14:textId="77777777" w:rsidR="0084406A" w:rsidRDefault="002B18AF">
      <w:pPr>
        <w:spacing w:before="180"/>
        <w:jc w:val="both"/>
      </w:pPr>
      <w:r>
        <w:rPr>
          <w:rFonts w:ascii="Arial" w:eastAsia="宋体" w:hAnsi="Arial" w:cs="Arial"/>
          <w:color w:val="000000"/>
          <w:sz w:val="20"/>
          <w:szCs w:val="20"/>
        </w:rPr>
        <w:t>Although there are several othe</w:t>
      </w:r>
      <w:r>
        <w:rPr>
          <w:rFonts w:ascii="Arial" w:eastAsia="宋体" w:hAnsi="Arial" w:cs="Arial"/>
          <w:color w:val="000000"/>
          <w:sz w:val="20"/>
          <w:szCs w:val="20"/>
        </w:rPr>
        <w:t>r new accounting pronouncements issued by the FASB, the Company does not believe any of these accounting pronouncements had or will have a material impact on its consolidated financial statements.</w:t>
      </w:r>
    </w:p>
    <w:p w14:paraId="5902A618" w14:textId="77777777" w:rsidR="0084406A" w:rsidRDefault="002B18AF">
      <w:pPr>
        <w:spacing w:before="280"/>
      </w:pPr>
      <w:r>
        <w:rPr>
          <w:rFonts w:ascii="Arial" w:eastAsia="宋体" w:hAnsi="Arial" w:cs="Arial"/>
          <w:b/>
          <w:bCs/>
          <w:color w:val="000000"/>
          <w:sz w:val="20"/>
          <w:szCs w:val="20"/>
        </w:rPr>
        <w:t>NOTE 3 – Supplemental Financial Statement Information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84406A" w14:paraId="5902A625" w14:textId="77777777">
        <w:tc>
          <w:tcPr>
            <w:tcW w:w="50" w:type="pct"/>
            <w:shd w:val="clear" w:color="auto" w:fill="auto"/>
            <w:vAlign w:val="bottom"/>
          </w:tcPr>
          <w:p w14:paraId="5902A619" w14:textId="77777777" w:rsidR="0084406A" w:rsidRDefault="0084406A">
            <w:pPr>
              <w:rPr>
                <w:rFonts w:ascii="宋体"/>
              </w:rPr>
            </w:pPr>
          </w:p>
        </w:tc>
        <w:tc>
          <w:tcPr>
            <w:tcW w:w="3197" w:type="pct"/>
            <w:shd w:val="clear" w:color="auto" w:fill="auto"/>
            <w:vAlign w:val="bottom"/>
          </w:tcPr>
          <w:p w14:paraId="5902A61A" w14:textId="77777777" w:rsidR="0084406A" w:rsidRDefault="0084406A">
            <w:pPr>
              <w:rPr>
                <w:rFonts w:ascii="宋体"/>
              </w:rPr>
            </w:pPr>
          </w:p>
        </w:tc>
        <w:tc>
          <w:tcPr>
            <w:tcW w:w="5" w:type="pct"/>
            <w:shd w:val="clear" w:color="auto" w:fill="auto"/>
            <w:vAlign w:val="bottom"/>
          </w:tcPr>
          <w:p w14:paraId="5902A61B" w14:textId="77777777" w:rsidR="0084406A" w:rsidRDefault="0084406A">
            <w:pPr>
              <w:rPr>
                <w:rFonts w:ascii="宋体"/>
              </w:rPr>
            </w:pPr>
          </w:p>
        </w:tc>
        <w:tc>
          <w:tcPr>
            <w:tcW w:w="50" w:type="pct"/>
            <w:shd w:val="clear" w:color="auto" w:fill="auto"/>
            <w:vAlign w:val="bottom"/>
          </w:tcPr>
          <w:p w14:paraId="5902A61C" w14:textId="77777777" w:rsidR="0084406A" w:rsidRDefault="0084406A">
            <w:pPr>
              <w:rPr>
                <w:rFonts w:ascii="宋体"/>
              </w:rPr>
            </w:pPr>
          </w:p>
        </w:tc>
        <w:tc>
          <w:tcPr>
            <w:tcW w:w="800" w:type="pct"/>
            <w:shd w:val="clear" w:color="auto" w:fill="auto"/>
            <w:vAlign w:val="bottom"/>
          </w:tcPr>
          <w:p w14:paraId="5902A61D" w14:textId="77777777" w:rsidR="0084406A" w:rsidRDefault="0084406A">
            <w:pPr>
              <w:rPr>
                <w:rFonts w:ascii="宋体"/>
              </w:rPr>
            </w:pPr>
          </w:p>
        </w:tc>
        <w:tc>
          <w:tcPr>
            <w:tcW w:w="5" w:type="pct"/>
            <w:shd w:val="clear" w:color="auto" w:fill="auto"/>
            <w:vAlign w:val="bottom"/>
          </w:tcPr>
          <w:p w14:paraId="5902A61E" w14:textId="77777777" w:rsidR="0084406A" w:rsidRDefault="0084406A">
            <w:pPr>
              <w:rPr>
                <w:rFonts w:ascii="宋体"/>
              </w:rPr>
            </w:pPr>
          </w:p>
        </w:tc>
        <w:tc>
          <w:tcPr>
            <w:tcW w:w="5" w:type="pct"/>
            <w:shd w:val="clear" w:color="auto" w:fill="auto"/>
            <w:vAlign w:val="bottom"/>
          </w:tcPr>
          <w:p w14:paraId="5902A61F" w14:textId="77777777" w:rsidR="0084406A" w:rsidRDefault="0084406A">
            <w:pPr>
              <w:rPr>
                <w:rFonts w:ascii="宋体"/>
              </w:rPr>
            </w:pPr>
          </w:p>
        </w:tc>
        <w:tc>
          <w:tcPr>
            <w:tcW w:w="26" w:type="pct"/>
            <w:shd w:val="clear" w:color="auto" w:fill="auto"/>
            <w:vAlign w:val="bottom"/>
          </w:tcPr>
          <w:p w14:paraId="5902A620" w14:textId="77777777" w:rsidR="0084406A" w:rsidRDefault="0084406A">
            <w:pPr>
              <w:rPr>
                <w:rFonts w:ascii="宋体"/>
              </w:rPr>
            </w:pPr>
          </w:p>
        </w:tc>
        <w:tc>
          <w:tcPr>
            <w:tcW w:w="5" w:type="pct"/>
            <w:shd w:val="clear" w:color="auto" w:fill="auto"/>
            <w:vAlign w:val="bottom"/>
          </w:tcPr>
          <w:p w14:paraId="5902A621" w14:textId="77777777" w:rsidR="0084406A" w:rsidRDefault="0084406A">
            <w:pPr>
              <w:rPr>
                <w:rFonts w:ascii="宋体"/>
              </w:rPr>
            </w:pPr>
          </w:p>
        </w:tc>
        <w:tc>
          <w:tcPr>
            <w:tcW w:w="50" w:type="pct"/>
            <w:shd w:val="clear" w:color="auto" w:fill="auto"/>
            <w:vAlign w:val="bottom"/>
          </w:tcPr>
          <w:p w14:paraId="5902A622" w14:textId="77777777" w:rsidR="0084406A" w:rsidRDefault="0084406A">
            <w:pPr>
              <w:rPr>
                <w:rFonts w:ascii="宋体"/>
              </w:rPr>
            </w:pPr>
          </w:p>
        </w:tc>
        <w:tc>
          <w:tcPr>
            <w:tcW w:w="800" w:type="pct"/>
            <w:shd w:val="clear" w:color="auto" w:fill="auto"/>
            <w:vAlign w:val="bottom"/>
          </w:tcPr>
          <w:p w14:paraId="5902A623" w14:textId="77777777" w:rsidR="0084406A" w:rsidRDefault="0084406A">
            <w:pPr>
              <w:rPr>
                <w:rFonts w:ascii="宋体"/>
              </w:rPr>
            </w:pPr>
          </w:p>
        </w:tc>
        <w:tc>
          <w:tcPr>
            <w:tcW w:w="5" w:type="pct"/>
            <w:shd w:val="clear" w:color="auto" w:fill="auto"/>
            <w:vAlign w:val="bottom"/>
          </w:tcPr>
          <w:p w14:paraId="5902A624" w14:textId="77777777" w:rsidR="0084406A" w:rsidRDefault="0084406A">
            <w:pPr>
              <w:rPr>
                <w:rFonts w:ascii="宋体"/>
              </w:rPr>
            </w:pPr>
          </w:p>
        </w:tc>
      </w:tr>
      <w:tr w:rsidR="0084406A" w14:paraId="5902A62A" w14:textId="77777777">
        <w:tc>
          <w:tcPr>
            <w:tcW w:w="0" w:type="auto"/>
            <w:gridSpan w:val="3"/>
            <w:shd w:val="clear" w:color="auto" w:fill="auto"/>
            <w:tcMar>
              <w:top w:w="40" w:type="dxa"/>
              <w:left w:w="20" w:type="dxa"/>
              <w:bottom w:w="40" w:type="dxa"/>
              <w:right w:w="20" w:type="dxa"/>
            </w:tcMar>
            <w:vAlign w:val="bottom"/>
          </w:tcPr>
          <w:p w14:paraId="5902A626" w14:textId="77777777" w:rsidR="0084406A" w:rsidRDefault="002B18AF">
            <w:pPr>
              <w:spacing w:before="180"/>
              <w:textAlignment w:val="bottom"/>
            </w:pPr>
            <w:r>
              <w:rPr>
                <w:rFonts w:ascii="Arial" w:eastAsia="宋体" w:hAnsi="Arial" w:cs="Arial"/>
                <w:b/>
                <w:bCs/>
                <w:i/>
                <w:iCs/>
                <w:color w:val="000000"/>
                <w:sz w:val="20"/>
                <w:szCs w:val="20"/>
              </w:rPr>
              <w:t>Short-term Investments</w:t>
            </w:r>
          </w:p>
        </w:tc>
        <w:tc>
          <w:tcPr>
            <w:tcW w:w="0" w:type="auto"/>
            <w:gridSpan w:val="3"/>
            <w:shd w:val="clear" w:color="auto" w:fill="auto"/>
            <w:tcMar>
              <w:top w:w="40" w:type="dxa"/>
              <w:left w:w="20" w:type="dxa"/>
              <w:bottom w:w="40" w:type="dxa"/>
              <w:right w:w="20" w:type="dxa"/>
            </w:tcMar>
            <w:vAlign w:val="bottom"/>
          </w:tcPr>
          <w:p w14:paraId="5902A627"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628"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629"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62D" w14:textId="77777777">
        <w:tc>
          <w:tcPr>
            <w:tcW w:w="0" w:type="auto"/>
            <w:gridSpan w:val="3"/>
            <w:shd w:val="clear" w:color="auto" w:fill="auto"/>
            <w:tcMar>
              <w:top w:w="40" w:type="dxa"/>
              <w:left w:w="20" w:type="dxa"/>
              <w:bottom w:w="40" w:type="dxa"/>
              <w:right w:w="20" w:type="dxa"/>
            </w:tcMar>
            <w:vAlign w:val="bottom"/>
          </w:tcPr>
          <w:p w14:paraId="5902A62B"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902A62C"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636" w14:textId="77777777">
        <w:tc>
          <w:tcPr>
            <w:tcW w:w="0" w:type="auto"/>
            <w:gridSpan w:val="3"/>
            <w:shd w:val="clear" w:color="auto" w:fill="CCEEFF"/>
            <w:tcMar>
              <w:top w:w="40" w:type="dxa"/>
              <w:left w:w="20" w:type="dxa"/>
              <w:bottom w:w="40" w:type="dxa"/>
              <w:right w:w="20" w:type="dxa"/>
            </w:tcMar>
            <w:vAlign w:val="bottom"/>
          </w:tcPr>
          <w:p w14:paraId="5902A62E" w14:textId="77777777" w:rsidR="0084406A" w:rsidRDefault="002B18AF">
            <w:pPr>
              <w:textAlignment w:val="bottom"/>
            </w:pPr>
            <w:r>
              <w:rPr>
                <w:rFonts w:ascii="Arial" w:eastAsia="宋体" w:hAnsi="Arial" w:cs="Arial"/>
                <w:color w:val="000000"/>
                <w:sz w:val="20"/>
                <w:szCs w:val="20"/>
              </w:rPr>
              <w:t>Commercial paper</w:t>
            </w:r>
          </w:p>
        </w:tc>
        <w:tc>
          <w:tcPr>
            <w:tcW w:w="0" w:type="auto"/>
            <w:shd w:val="clear" w:color="auto" w:fill="CCEEFF"/>
            <w:tcMar>
              <w:top w:w="40" w:type="dxa"/>
              <w:left w:w="20" w:type="dxa"/>
              <w:bottom w:w="40" w:type="dxa"/>
              <w:right w:w="0" w:type="dxa"/>
            </w:tcMar>
            <w:vAlign w:val="bottom"/>
          </w:tcPr>
          <w:p w14:paraId="5902A62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30" w14:textId="77777777" w:rsidR="0084406A" w:rsidRDefault="002B18AF">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5902A63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32"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63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34" w14:textId="77777777" w:rsidR="0084406A" w:rsidRDefault="002B18AF">
            <w:pPr>
              <w:jc w:val="right"/>
              <w:textAlignment w:val="bottom"/>
            </w:pPr>
            <w:r>
              <w:rPr>
                <w:rFonts w:ascii="Arial" w:eastAsia="宋体" w:hAnsi="Arial" w:cs="Arial"/>
                <w:color w:val="000000"/>
                <w:sz w:val="20"/>
                <w:szCs w:val="20"/>
              </w:rPr>
              <w:t>295 </w:t>
            </w:r>
          </w:p>
        </w:tc>
        <w:tc>
          <w:tcPr>
            <w:tcW w:w="0" w:type="auto"/>
            <w:shd w:val="clear" w:color="auto" w:fill="CCEEFF"/>
            <w:tcMar>
              <w:top w:w="40" w:type="dxa"/>
              <w:left w:w="0" w:type="dxa"/>
              <w:bottom w:w="40" w:type="dxa"/>
              <w:right w:w="20" w:type="dxa"/>
            </w:tcMar>
            <w:vAlign w:val="bottom"/>
          </w:tcPr>
          <w:p w14:paraId="5902A635" w14:textId="77777777" w:rsidR="0084406A" w:rsidRDefault="0084406A">
            <w:pPr>
              <w:jc w:val="right"/>
              <w:rPr>
                <w:rFonts w:ascii="宋体"/>
              </w:rPr>
            </w:pPr>
          </w:p>
        </w:tc>
      </w:tr>
      <w:tr w:rsidR="0084406A" w14:paraId="5902A63D" w14:textId="77777777">
        <w:tc>
          <w:tcPr>
            <w:tcW w:w="0" w:type="auto"/>
            <w:gridSpan w:val="3"/>
            <w:shd w:val="clear" w:color="auto" w:fill="FFFFFF"/>
            <w:tcMar>
              <w:top w:w="40" w:type="dxa"/>
              <w:left w:w="20" w:type="dxa"/>
              <w:bottom w:w="40" w:type="dxa"/>
              <w:right w:w="20" w:type="dxa"/>
            </w:tcMar>
            <w:vAlign w:val="bottom"/>
          </w:tcPr>
          <w:p w14:paraId="5902A637" w14:textId="77777777" w:rsidR="0084406A" w:rsidRDefault="002B18AF">
            <w:pPr>
              <w:textAlignment w:val="bottom"/>
            </w:pPr>
            <w:r>
              <w:rPr>
                <w:rFonts w:ascii="Arial" w:eastAsia="宋体"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5902A638" w14:textId="77777777" w:rsidR="0084406A" w:rsidRDefault="002B18AF">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5902A63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3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63B" w14:textId="77777777" w:rsidR="0084406A" w:rsidRDefault="002B18AF">
            <w:pPr>
              <w:jc w:val="right"/>
              <w:textAlignment w:val="bottom"/>
            </w:pPr>
            <w:r>
              <w:rPr>
                <w:rFonts w:ascii="Arial" w:eastAsia="宋体" w:hAnsi="Arial" w:cs="Arial"/>
                <w:color w:val="000000"/>
                <w:sz w:val="20"/>
                <w:szCs w:val="20"/>
              </w:rPr>
              <w:t>400 </w:t>
            </w:r>
          </w:p>
        </w:tc>
        <w:tc>
          <w:tcPr>
            <w:tcW w:w="0" w:type="auto"/>
            <w:shd w:val="clear" w:color="auto" w:fill="FFFFFF"/>
            <w:tcMar>
              <w:top w:w="40" w:type="dxa"/>
              <w:left w:w="0" w:type="dxa"/>
              <w:bottom w:w="40" w:type="dxa"/>
              <w:right w:w="20" w:type="dxa"/>
            </w:tcMar>
            <w:vAlign w:val="bottom"/>
          </w:tcPr>
          <w:p w14:paraId="5902A63C" w14:textId="77777777" w:rsidR="0084406A" w:rsidRDefault="0084406A">
            <w:pPr>
              <w:jc w:val="right"/>
              <w:rPr>
                <w:rFonts w:ascii="宋体"/>
              </w:rPr>
            </w:pPr>
          </w:p>
        </w:tc>
      </w:tr>
      <w:tr w:rsidR="0084406A" w14:paraId="5902A642" w14:textId="77777777">
        <w:trPr>
          <w:hidden/>
        </w:trPr>
        <w:tc>
          <w:tcPr>
            <w:tcW w:w="0" w:type="auto"/>
            <w:gridSpan w:val="3"/>
            <w:shd w:val="clear" w:color="auto" w:fill="auto"/>
            <w:vAlign w:val="bottom"/>
          </w:tcPr>
          <w:p w14:paraId="5902A63E" w14:textId="77777777" w:rsidR="0084406A" w:rsidRDefault="0084406A">
            <w:pPr>
              <w:rPr>
                <w:rFonts w:ascii="宋体"/>
                <w:vanish/>
              </w:rPr>
            </w:pPr>
          </w:p>
        </w:tc>
        <w:tc>
          <w:tcPr>
            <w:tcW w:w="0" w:type="auto"/>
            <w:gridSpan w:val="3"/>
            <w:shd w:val="clear" w:color="auto" w:fill="auto"/>
            <w:vAlign w:val="bottom"/>
          </w:tcPr>
          <w:p w14:paraId="5902A63F" w14:textId="77777777" w:rsidR="0084406A" w:rsidRDefault="0084406A">
            <w:pPr>
              <w:rPr>
                <w:rFonts w:ascii="宋体"/>
                <w:vanish/>
              </w:rPr>
            </w:pPr>
          </w:p>
        </w:tc>
        <w:tc>
          <w:tcPr>
            <w:tcW w:w="0" w:type="auto"/>
            <w:gridSpan w:val="3"/>
            <w:shd w:val="clear" w:color="auto" w:fill="auto"/>
            <w:vAlign w:val="bottom"/>
          </w:tcPr>
          <w:p w14:paraId="5902A640" w14:textId="77777777" w:rsidR="0084406A" w:rsidRDefault="0084406A">
            <w:pPr>
              <w:rPr>
                <w:rFonts w:ascii="宋体"/>
                <w:vanish/>
              </w:rPr>
            </w:pPr>
          </w:p>
        </w:tc>
        <w:tc>
          <w:tcPr>
            <w:tcW w:w="0" w:type="auto"/>
            <w:gridSpan w:val="3"/>
            <w:shd w:val="clear" w:color="auto" w:fill="auto"/>
            <w:vAlign w:val="bottom"/>
          </w:tcPr>
          <w:p w14:paraId="5902A641" w14:textId="77777777" w:rsidR="0084406A" w:rsidRDefault="0084406A">
            <w:pPr>
              <w:rPr>
                <w:rFonts w:ascii="宋体"/>
                <w:vanish/>
              </w:rPr>
            </w:pPr>
          </w:p>
        </w:tc>
      </w:tr>
      <w:tr w:rsidR="0084406A" w14:paraId="5902A647" w14:textId="77777777">
        <w:trPr>
          <w:hidden/>
        </w:trPr>
        <w:tc>
          <w:tcPr>
            <w:tcW w:w="0" w:type="auto"/>
            <w:gridSpan w:val="3"/>
            <w:shd w:val="clear" w:color="auto" w:fill="auto"/>
            <w:vAlign w:val="bottom"/>
          </w:tcPr>
          <w:p w14:paraId="5902A643" w14:textId="77777777" w:rsidR="0084406A" w:rsidRDefault="0084406A">
            <w:pPr>
              <w:rPr>
                <w:rFonts w:ascii="宋体"/>
                <w:vanish/>
              </w:rPr>
            </w:pPr>
          </w:p>
        </w:tc>
        <w:tc>
          <w:tcPr>
            <w:tcW w:w="0" w:type="auto"/>
            <w:gridSpan w:val="3"/>
            <w:shd w:val="clear" w:color="auto" w:fill="auto"/>
            <w:vAlign w:val="bottom"/>
          </w:tcPr>
          <w:p w14:paraId="5902A644" w14:textId="77777777" w:rsidR="0084406A" w:rsidRDefault="0084406A">
            <w:pPr>
              <w:rPr>
                <w:rFonts w:ascii="宋体"/>
                <w:vanish/>
              </w:rPr>
            </w:pPr>
          </w:p>
        </w:tc>
        <w:tc>
          <w:tcPr>
            <w:tcW w:w="0" w:type="auto"/>
            <w:gridSpan w:val="3"/>
            <w:shd w:val="clear" w:color="auto" w:fill="auto"/>
            <w:vAlign w:val="bottom"/>
          </w:tcPr>
          <w:p w14:paraId="5902A645" w14:textId="77777777" w:rsidR="0084406A" w:rsidRDefault="0084406A">
            <w:pPr>
              <w:rPr>
                <w:rFonts w:ascii="宋体"/>
                <w:vanish/>
              </w:rPr>
            </w:pPr>
          </w:p>
        </w:tc>
        <w:tc>
          <w:tcPr>
            <w:tcW w:w="0" w:type="auto"/>
            <w:gridSpan w:val="3"/>
            <w:shd w:val="clear" w:color="auto" w:fill="auto"/>
            <w:vAlign w:val="bottom"/>
          </w:tcPr>
          <w:p w14:paraId="5902A646" w14:textId="77777777" w:rsidR="0084406A" w:rsidRDefault="0084406A">
            <w:pPr>
              <w:rPr>
                <w:rFonts w:ascii="宋体"/>
                <w:vanish/>
              </w:rPr>
            </w:pPr>
          </w:p>
        </w:tc>
      </w:tr>
      <w:tr w:rsidR="0084406A" w14:paraId="5902A64C" w14:textId="77777777">
        <w:trPr>
          <w:hidden/>
        </w:trPr>
        <w:tc>
          <w:tcPr>
            <w:tcW w:w="0" w:type="auto"/>
            <w:gridSpan w:val="3"/>
            <w:shd w:val="clear" w:color="auto" w:fill="auto"/>
            <w:vAlign w:val="bottom"/>
          </w:tcPr>
          <w:p w14:paraId="5902A648" w14:textId="77777777" w:rsidR="0084406A" w:rsidRDefault="0084406A">
            <w:pPr>
              <w:rPr>
                <w:rFonts w:ascii="宋体"/>
                <w:vanish/>
              </w:rPr>
            </w:pPr>
          </w:p>
        </w:tc>
        <w:tc>
          <w:tcPr>
            <w:tcW w:w="0" w:type="auto"/>
            <w:gridSpan w:val="3"/>
            <w:shd w:val="clear" w:color="auto" w:fill="auto"/>
            <w:vAlign w:val="bottom"/>
          </w:tcPr>
          <w:p w14:paraId="5902A649" w14:textId="77777777" w:rsidR="0084406A" w:rsidRDefault="0084406A">
            <w:pPr>
              <w:rPr>
                <w:rFonts w:ascii="宋体"/>
                <w:vanish/>
              </w:rPr>
            </w:pPr>
          </w:p>
        </w:tc>
        <w:tc>
          <w:tcPr>
            <w:tcW w:w="0" w:type="auto"/>
            <w:gridSpan w:val="3"/>
            <w:shd w:val="clear" w:color="auto" w:fill="auto"/>
            <w:vAlign w:val="bottom"/>
          </w:tcPr>
          <w:p w14:paraId="5902A64A" w14:textId="77777777" w:rsidR="0084406A" w:rsidRDefault="0084406A">
            <w:pPr>
              <w:rPr>
                <w:rFonts w:ascii="宋体"/>
                <w:vanish/>
              </w:rPr>
            </w:pPr>
          </w:p>
        </w:tc>
        <w:tc>
          <w:tcPr>
            <w:tcW w:w="0" w:type="auto"/>
            <w:gridSpan w:val="3"/>
            <w:shd w:val="clear" w:color="auto" w:fill="auto"/>
            <w:vAlign w:val="bottom"/>
          </w:tcPr>
          <w:p w14:paraId="5902A64B" w14:textId="77777777" w:rsidR="0084406A" w:rsidRDefault="0084406A">
            <w:pPr>
              <w:rPr>
                <w:rFonts w:ascii="宋体"/>
                <w:vanish/>
              </w:rPr>
            </w:pPr>
          </w:p>
        </w:tc>
      </w:tr>
      <w:tr w:rsidR="0084406A" w14:paraId="5902A651" w14:textId="77777777">
        <w:trPr>
          <w:hidden/>
        </w:trPr>
        <w:tc>
          <w:tcPr>
            <w:tcW w:w="0" w:type="auto"/>
            <w:gridSpan w:val="3"/>
            <w:shd w:val="clear" w:color="auto" w:fill="auto"/>
            <w:vAlign w:val="bottom"/>
          </w:tcPr>
          <w:p w14:paraId="5902A64D" w14:textId="77777777" w:rsidR="0084406A" w:rsidRDefault="0084406A">
            <w:pPr>
              <w:rPr>
                <w:rFonts w:ascii="宋体"/>
                <w:vanish/>
              </w:rPr>
            </w:pPr>
          </w:p>
        </w:tc>
        <w:tc>
          <w:tcPr>
            <w:tcW w:w="0" w:type="auto"/>
            <w:gridSpan w:val="3"/>
            <w:shd w:val="clear" w:color="auto" w:fill="auto"/>
            <w:vAlign w:val="bottom"/>
          </w:tcPr>
          <w:p w14:paraId="5902A64E" w14:textId="77777777" w:rsidR="0084406A" w:rsidRDefault="0084406A">
            <w:pPr>
              <w:rPr>
                <w:rFonts w:ascii="宋体"/>
                <w:vanish/>
              </w:rPr>
            </w:pPr>
          </w:p>
        </w:tc>
        <w:tc>
          <w:tcPr>
            <w:tcW w:w="0" w:type="auto"/>
            <w:gridSpan w:val="3"/>
            <w:shd w:val="clear" w:color="auto" w:fill="auto"/>
            <w:vAlign w:val="bottom"/>
          </w:tcPr>
          <w:p w14:paraId="5902A64F" w14:textId="77777777" w:rsidR="0084406A" w:rsidRDefault="0084406A">
            <w:pPr>
              <w:rPr>
                <w:rFonts w:ascii="宋体"/>
                <w:vanish/>
              </w:rPr>
            </w:pPr>
          </w:p>
        </w:tc>
        <w:tc>
          <w:tcPr>
            <w:tcW w:w="0" w:type="auto"/>
            <w:gridSpan w:val="3"/>
            <w:shd w:val="clear" w:color="auto" w:fill="auto"/>
            <w:vAlign w:val="bottom"/>
          </w:tcPr>
          <w:p w14:paraId="5902A650" w14:textId="77777777" w:rsidR="0084406A" w:rsidRDefault="0084406A">
            <w:pPr>
              <w:rPr>
                <w:rFonts w:ascii="宋体"/>
                <w:vanish/>
              </w:rPr>
            </w:pPr>
          </w:p>
        </w:tc>
      </w:tr>
      <w:tr w:rsidR="0084406A" w14:paraId="5902A656" w14:textId="77777777">
        <w:trPr>
          <w:hidden/>
        </w:trPr>
        <w:tc>
          <w:tcPr>
            <w:tcW w:w="0" w:type="auto"/>
            <w:gridSpan w:val="3"/>
            <w:shd w:val="clear" w:color="auto" w:fill="auto"/>
            <w:vAlign w:val="bottom"/>
          </w:tcPr>
          <w:p w14:paraId="5902A652" w14:textId="77777777" w:rsidR="0084406A" w:rsidRDefault="0084406A">
            <w:pPr>
              <w:rPr>
                <w:rFonts w:ascii="宋体"/>
                <w:vanish/>
              </w:rPr>
            </w:pPr>
          </w:p>
        </w:tc>
        <w:tc>
          <w:tcPr>
            <w:tcW w:w="0" w:type="auto"/>
            <w:gridSpan w:val="3"/>
            <w:shd w:val="clear" w:color="auto" w:fill="auto"/>
            <w:vAlign w:val="bottom"/>
          </w:tcPr>
          <w:p w14:paraId="5902A653" w14:textId="77777777" w:rsidR="0084406A" w:rsidRDefault="0084406A">
            <w:pPr>
              <w:rPr>
                <w:rFonts w:ascii="宋体"/>
                <w:vanish/>
              </w:rPr>
            </w:pPr>
          </w:p>
        </w:tc>
        <w:tc>
          <w:tcPr>
            <w:tcW w:w="0" w:type="auto"/>
            <w:gridSpan w:val="3"/>
            <w:shd w:val="clear" w:color="auto" w:fill="auto"/>
            <w:vAlign w:val="bottom"/>
          </w:tcPr>
          <w:p w14:paraId="5902A654" w14:textId="77777777" w:rsidR="0084406A" w:rsidRDefault="0084406A">
            <w:pPr>
              <w:rPr>
                <w:rFonts w:ascii="宋体"/>
                <w:vanish/>
              </w:rPr>
            </w:pPr>
          </w:p>
        </w:tc>
        <w:tc>
          <w:tcPr>
            <w:tcW w:w="0" w:type="auto"/>
            <w:gridSpan w:val="3"/>
            <w:shd w:val="clear" w:color="auto" w:fill="auto"/>
            <w:vAlign w:val="bottom"/>
          </w:tcPr>
          <w:p w14:paraId="5902A655" w14:textId="77777777" w:rsidR="0084406A" w:rsidRDefault="0084406A">
            <w:pPr>
              <w:rPr>
                <w:rFonts w:ascii="宋体"/>
                <w:vanish/>
              </w:rPr>
            </w:pPr>
          </w:p>
        </w:tc>
      </w:tr>
      <w:tr w:rsidR="0084406A" w14:paraId="5902A65B" w14:textId="77777777">
        <w:trPr>
          <w:hidden/>
        </w:trPr>
        <w:tc>
          <w:tcPr>
            <w:tcW w:w="0" w:type="auto"/>
            <w:gridSpan w:val="3"/>
            <w:shd w:val="clear" w:color="auto" w:fill="auto"/>
            <w:vAlign w:val="bottom"/>
          </w:tcPr>
          <w:p w14:paraId="5902A657" w14:textId="77777777" w:rsidR="0084406A" w:rsidRDefault="0084406A">
            <w:pPr>
              <w:rPr>
                <w:rFonts w:ascii="宋体"/>
                <w:vanish/>
              </w:rPr>
            </w:pPr>
          </w:p>
        </w:tc>
        <w:tc>
          <w:tcPr>
            <w:tcW w:w="0" w:type="auto"/>
            <w:gridSpan w:val="3"/>
            <w:shd w:val="clear" w:color="auto" w:fill="auto"/>
            <w:vAlign w:val="bottom"/>
          </w:tcPr>
          <w:p w14:paraId="5902A658" w14:textId="77777777" w:rsidR="0084406A" w:rsidRDefault="0084406A">
            <w:pPr>
              <w:rPr>
                <w:rFonts w:ascii="宋体"/>
                <w:vanish/>
              </w:rPr>
            </w:pPr>
          </w:p>
        </w:tc>
        <w:tc>
          <w:tcPr>
            <w:tcW w:w="0" w:type="auto"/>
            <w:gridSpan w:val="3"/>
            <w:shd w:val="clear" w:color="auto" w:fill="auto"/>
            <w:vAlign w:val="bottom"/>
          </w:tcPr>
          <w:p w14:paraId="5902A659" w14:textId="77777777" w:rsidR="0084406A" w:rsidRDefault="0084406A">
            <w:pPr>
              <w:rPr>
                <w:rFonts w:ascii="宋体"/>
                <w:vanish/>
              </w:rPr>
            </w:pPr>
          </w:p>
        </w:tc>
        <w:tc>
          <w:tcPr>
            <w:tcW w:w="0" w:type="auto"/>
            <w:gridSpan w:val="3"/>
            <w:shd w:val="clear" w:color="auto" w:fill="auto"/>
            <w:vAlign w:val="bottom"/>
          </w:tcPr>
          <w:p w14:paraId="5902A65A" w14:textId="77777777" w:rsidR="0084406A" w:rsidRDefault="0084406A">
            <w:pPr>
              <w:rPr>
                <w:rFonts w:ascii="宋体"/>
                <w:vanish/>
              </w:rPr>
            </w:pPr>
          </w:p>
        </w:tc>
      </w:tr>
      <w:tr w:rsidR="0084406A" w14:paraId="5902A660" w14:textId="77777777">
        <w:trPr>
          <w:hidden/>
        </w:trPr>
        <w:tc>
          <w:tcPr>
            <w:tcW w:w="0" w:type="auto"/>
            <w:gridSpan w:val="3"/>
            <w:shd w:val="clear" w:color="auto" w:fill="auto"/>
            <w:vAlign w:val="bottom"/>
          </w:tcPr>
          <w:p w14:paraId="5902A65C" w14:textId="77777777" w:rsidR="0084406A" w:rsidRDefault="0084406A">
            <w:pPr>
              <w:rPr>
                <w:rFonts w:ascii="宋体"/>
                <w:vanish/>
              </w:rPr>
            </w:pPr>
          </w:p>
        </w:tc>
        <w:tc>
          <w:tcPr>
            <w:tcW w:w="0" w:type="auto"/>
            <w:gridSpan w:val="3"/>
            <w:shd w:val="clear" w:color="auto" w:fill="auto"/>
            <w:vAlign w:val="bottom"/>
          </w:tcPr>
          <w:p w14:paraId="5902A65D" w14:textId="77777777" w:rsidR="0084406A" w:rsidRDefault="0084406A">
            <w:pPr>
              <w:rPr>
                <w:rFonts w:ascii="宋体"/>
                <w:vanish/>
              </w:rPr>
            </w:pPr>
          </w:p>
        </w:tc>
        <w:tc>
          <w:tcPr>
            <w:tcW w:w="0" w:type="auto"/>
            <w:gridSpan w:val="3"/>
            <w:shd w:val="clear" w:color="auto" w:fill="auto"/>
            <w:vAlign w:val="bottom"/>
          </w:tcPr>
          <w:p w14:paraId="5902A65E" w14:textId="77777777" w:rsidR="0084406A" w:rsidRDefault="0084406A">
            <w:pPr>
              <w:rPr>
                <w:rFonts w:ascii="宋体"/>
                <w:vanish/>
              </w:rPr>
            </w:pPr>
          </w:p>
        </w:tc>
        <w:tc>
          <w:tcPr>
            <w:tcW w:w="0" w:type="auto"/>
            <w:gridSpan w:val="3"/>
            <w:shd w:val="clear" w:color="auto" w:fill="auto"/>
            <w:vAlign w:val="bottom"/>
          </w:tcPr>
          <w:p w14:paraId="5902A65F" w14:textId="77777777" w:rsidR="0084406A" w:rsidRDefault="0084406A">
            <w:pPr>
              <w:rPr>
                <w:rFonts w:ascii="宋体"/>
                <w:vanish/>
              </w:rPr>
            </w:pPr>
          </w:p>
        </w:tc>
      </w:tr>
      <w:tr w:rsidR="0084406A" w14:paraId="5902A669" w14:textId="77777777">
        <w:tc>
          <w:tcPr>
            <w:tcW w:w="0" w:type="auto"/>
            <w:gridSpan w:val="3"/>
            <w:shd w:val="clear" w:color="auto" w:fill="CCEEFF"/>
            <w:tcMar>
              <w:top w:w="40" w:type="dxa"/>
              <w:left w:w="20" w:type="dxa"/>
              <w:bottom w:w="40" w:type="dxa"/>
              <w:right w:w="20" w:type="dxa"/>
            </w:tcMar>
            <w:vAlign w:val="bottom"/>
          </w:tcPr>
          <w:p w14:paraId="5902A661" w14:textId="77777777" w:rsidR="0084406A" w:rsidRDefault="002B18AF">
            <w:pPr>
              <w:textAlignment w:val="bottom"/>
            </w:pPr>
            <w:r>
              <w:rPr>
                <w:rFonts w:ascii="Arial" w:eastAsia="宋体" w:hAnsi="Arial" w:cs="Arial"/>
                <w:color w:val="000000"/>
                <w:sz w:val="20"/>
                <w:szCs w:val="20"/>
              </w:rPr>
              <w:t>Total short-term investments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66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663" w14:textId="77777777" w:rsidR="0084406A" w:rsidRDefault="002B18AF">
            <w:pPr>
              <w:jc w:val="right"/>
              <w:textAlignment w:val="bottom"/>
            </w:pPr>
            <w:r>
              <w:rPr>
                <w:rFonts w:ascii="Arial" w:eastAsia="宋体" w:hAnsi="Arial" w:cs="Arial"/>
                <w:color w:val="000000"/>
                <w:sz w:val="20"/>
                <w:szCs w:val="20"/>
              </w:rPr>
              <w:t>1,073 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66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65"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666"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667" w14:textId="77777777" w:rsidR="0084406A" w:rsidRDefault="002B18AF">
            <w:pPr>
              <w:jc w:val="right"/>
              <w:textAlignment w:val="bottom"/>
            </w:pPr>
            <w:r>
              <w:rPr>
                <w:rFonts w:ascii="Arial" w:eastAsia="宋体" w:hAnsi="Arial" w:cs="Arial"/>
                <w:color w:val="000000"/>
                <w:sz w:val="20"/>
                <w:szCs w:val="20"/>
              </w:rPr>
              <w:t>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668" w14:textId="77777777" w:rsidR="0084406A" w:rsidRDefault="0084406A">
            <w:pPr>
              <w:jc w:val="right"/>
              <w:rPr>
                <w:rFonts w:ascii="宋体"/>
              </w:rPr>
            </w:pPr>
          </w:p>
        </w:tc>
      </w:tr>
    </w:tbl>
    <w:p w14:paraId="5902A66A" w14:textId="77777777" w:rsidR="0084406A" w:rsidRDefault="002B18AF">
      <w:pPr>
        <w:spacing w:before="180"/>
      </w:pPr>
      <w:r>
        <w:rPr>
          <w:rFonts w:ascii="Arial" w:eastAsia="宋体" w:hAnsi="Arial" w:cs="Arial"/>
          <w:b/>
          <w:bCs/>
          <w:i/>
          <w:iCs/>
          <w:color w:val="000000"/>
          <w:sz w:val="20"/>
          <w:szCs w:val="20"/>
        </w:rPr>
        <w:t xml:space="preserve">Accounts </w:t>
      </w:r>
      <w:r>
        <w:rPr>
          <w:rFonts w:ascii="Arial" w:eastAsia="宋体" w:hAnsi="Arial" w:cs="Arial"/>
          <w:b/>
          <w:bCs/>
          <w:i/>
          <w:iCs/>
          <w:color w:val="000000"/>
          <w:sz w:val="20"/>
          <w:szCs w:val="20"/>
        </w:rPr>
        <w:t>Receivable, net</w:t>
      </w:r>
    </w:p>
    <w:p w14:paraId="5902A66B" w14:textId="77777777" w:rsidR="0084406A" w:rsidRDefault="002B18AF">
      <w:pPr>
        <w:spacing w:before="180"/>
        <w:jc w:val="both"/>
      </w:pPr>
      <w:r>
        <w:rPr>
          <w:rFonts w:ascii="Arial" w:eastAsia="宋体" w:hAnsi="Arial" w:cs="Arial"/>
          <w:color w:val="000000"/>
          <w:sz w:val="20"/>
          <w:szCs w:val="20"/>
        </w:rPr>
        <w:t xml:space="preserve">As of December 25, 2021 and December 26, 2020, Accounts receivable, net included unbilled accounts receivable of $329 million and $123 million, respectively. Unbilled accounts receivables primarily represent work completed for </w:t>
      </w:r>
      <w:r>
        <w:rPr>
          <w:rFonts w:ascii="Arial" w:eastAsia="宋体" w:hAnsi="Arial" w:cs="Arial"/>
          <w:color w:val="000000"/>
          <w:sz w:val="20"/>
          <w:szCs w:val="20"/>
        </w:rPr>
        <w:t>development services and on custom products for which revenue has been recognized but not yet invoiced. All unbilled accounts receivable are expected to be billed and collected within 12 months.</w:t>
      </w:r>
    </w:p>
    <w:p w14:paraId="5902A66C" w14:textId="77777777" w:rsidR="0084406A" w:rsidRDefault="002B18AF">
      <w:pPr>
        <w:jc w:val="center"/>
      </w:pPr>
      <w:r>
        <w:rPr>
          <w:rFonts w:ascii="Arial" w:eastAsia="宋体" w:hAnsi="Arial" w:cs="Arial"/>
          <w:color w:val="000000"/>
          <w:sz w:val="20"/>
          <w:szCs w:val="20"/>
        </w:rPr>
        <w:t>58</w:t>
      </w:r>
    </w:p>
    <w:p w14:paraId="5902A66D" w14:textId="77777777" w:rsidR="0084406A" w:rsidRDefault="002B18AF">
      <w:r>
        <w:pict w14:anchorId="5902BB30">
          <v:rect id="_x0000_i1085" style="width:415.3pt;height:1.5pt" o:hralign="center" o:hrstd="t" o:hr="t" fillcolor="#a0a0a0" stroked="f"/>
        </w:pict>
      </w:r>
    </w:p>
    <w:p w14:paraId="5902A66E" w14:textId="77777777" w:rsidR="0084406A" w:rsidRDefault="0084406A"/>
    <w:tbl>
      <w:tblPr>
        <w:tblW w:w="5000" w:type="pct"/>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84406A" w14:paraId="5902A67B" w14:textId="77777777">
        <w:tc>
          <w:tcPr>
            <w:tcW w:w="50" w:type="pct"/>
            <w:shd w:val="clear" w:color="auto" w:fill="auto"/>
            <w:vAlign w:val="bottom"/>
          </w:tcPr>
          <w:p w14:paraId="5902A66F" w14:textId="77777777" w:rsidR="0084406A" w:rsidRDefault="0084406A">
            <w:pPr>
              <w:rPr>
                <w:rFonts w:ascii="宋体"/>
              </w:rPr>
            </w:pPr>
          </w:p>
        </w:tc>
        <w:tc>
          <w:tcPr>
            <w:tcW w:w="3197" w:type="pct"/>
            <w:shd w:val="clear" w:color="auto" w:fill="auto"/>
            <w:vAlign w:val="bottom"/>
          </w:tcPr>
          <w:p w14:paraId="5902A670" w14:textId="77777777" w:rsidR="0084406A" w:rsidRDefault="0084406A">
            <w:pPr>
              <w:rPr>
                <w:rFonts w:ascii="宋体"/>
              </w:rPr>
            </w:pPr>
          </w:p>
        </w:tc>
        <w:tc>
          <w:tcPr>
            <w:tcW w:w="5" w:type="pct"/>
            <w:shd w:val="clear" w:color="auto" w:fill="auto"/>
            <w:vAlign w:val="bottom"/>
          </w:tcPr>
          <w:p w14:paraId="5902A671" w14:textId="77777777" w:rsidR="0084406A" w:rsidRDefault="0084406A">
            <w:pPr>
              <w:rPr>
                <w:rFonts w:ascii="宋体"/>
              </w:rPr>
            </w:pPr>
          </w:p>
        </w:tc>
        <w:tc>
          <w:tcPr>
            <w:tcW w:w="50" w:type="pct"/>
            <w:shd w:val="clear" w:color="auto" w:fill="auto"/>
            <w:vAlign w:val="bottom"/>
          </w:tcPr>
          <w:p w14:paraId="5902A672" w14:textId="77777777" w:rsidR="0084406A" w:rsidRDefault="0084406A">
            <w:pPr>
              <w:rPr>
                <w:rFonts w:ascii="宋体"/>
              </w:rPr>
            </w:pPr>
          </w:p>
        </w:tc>
        <w:tc>
          <w:tcPr>
            <w:tcW w:w="800" w:type="pct"/>
            <w:shd w:val="clear" w:color="auto" w:fill="auto"/>
            <w:vAlign w:val="bottom"/>
          </w:tcPr>
          <w:p w14:paraId="5902A673" w14:textId="77777777" w:rsidR="0084406A" w:rsidRDefault="0084406A">
            <w:pPr>
              <w:rPr>
                <w:rFonts w:ascii="宋体"/>
              </w:rPr>
            </w:pPr>
          </w:p>
        </w:tc>
        <w:tc>
          <w:tcPr>
            <w:tcW w:w="5" w:type="pct"/>
            <w:shd w:val="clear" w:color="auto" w:fill="auto"/>
            <w:vAlign w:val="bottom"/>
          </w:tcPr>
          <w:p w14:paraId="5902A674" w14:textId="77777777" w:rsidR="0084406A" w:rsidRDefault="0084406A">
            <w:pPr>
              <w:rPr>
                <w:rFonts w:ascii="宋体"/>
              </w:rPr>
            </w:pPr>
          </w:p>
        </w:tc>
        <w:tc>
          <w:tcPr>
            <w:tcW w:w="5" w:type="pct"/>
            <w:shd w:val="clear" w:color="auto" w:fill="auto"/>
            <w:vAlign w:val="bottom"/>
          </w:tcPr>
          <w:p w14:paraId="5902A675" w14:textId="77777777" w:rsidR="0084406A" w:rsidRDefault="0084406A">
            <w:pPr>
              <w:rPr>
                <w:rFonts w:ascii="宋体"/>
              </w:rPr>
            </w:pPr>
          </w:p>
        </w:tc>
        <w:tc>
          <w:tcPr>
            <w:tcW w:w="26" w:type="pct"/>
            <w:shd w:val="clear" w:color="auto" w:fill="auto"/>
            <w:vAlign w:val="bottom"/>
          </w:tcPr>
          <w:p w14:paraId="5902A676" w14:textId="77777777" w:rsidR="0084406A" w:rsidRDefault="0084406A">
            <w:pPr>
              <w:rPr>
                <w:rFonts w:ascii="宋体"/>
              </w:rPr>
            </w:pPr>
          </w:p>
        </w:tc>
        <w:tc>
          <w:tcPr>
            <w:tcW w:w="5" w:type="pct"/>
            <w:shd w:val="clear" w:color="auto" w:fill="auto"/>
            <w:vAlign w:val="bottom"/>
          </w:tcPr>
          <w:p w14:paraId="5902A677" w14:textId="77777777" w:rsidR="0084406A" w:rsidRDefault="0084406A">
            <w:pPr>
              <w:rPr>
                <w:rFonts w:ascii="宋体"/>
              </w:rPr>
            </w:pPr>
          </w:p>
        </w:tc>
        <w:tc>
          <w:tcPr>
            <w:tcW w:w="50" w:type="pct"/>
            <w:shd w:val="clear" w:color="auto" w:fill="auto"/>
            <w:vAlign w:val="bottom"/>
          </w:tcPr>
          <w:p w14:paraId="5902A678" w14:textId="77777777" w:rsidR="0084406A" w:rsidRDefault="0084406A">
            <w:pPr>
              <w:rPr>
                <w:rFonts w:ascii="宋体"/>
              </w:rPr>
            </w:pPr>
          </w:p>
        </w:tc>
        <w:tc>
          <w:tcPr>
            <w:tcW w:w="800" w:type="pct"/>
            <w:shd w:val="clear" w:color="auto" w:fill="auto"/>
            <w:vAlign w:val="bottom"/>
          </w:tcPr>
          <w:p w14:paraId="5902A679" w14:textId="77777777" w:rsidR="0084406A" w:rsidRDefault="0084406A">
            <w:pPr>
              <w:rPr>
                <w:rFonts w:ascii="宋体"/>
              </w:rPr>
            </w:pPr>
          </w:p>
        </w:tc>
        <w:tc>
          <w:tcPr>
            <w:tcW w:w="5" w:type="pct"/>
            <w:shd w:val="clear" w:color="auto" w:fill="auto"/>
            <w:vAlign w:val="bottom"/>
          </w:tcPr>
          <w:p w14:paraId="5902A67A" w14:textId="77777777" w:rsidR="0084406A" w:rsidRDefault="0084406A">
            <w:pPr>
              <w:rPr>
                <w:rFonts w:ascii="宋体"/>
              </w:rPr>
            </w:pPr>
          </w:p>
        </w:tc>
      </w:tr>
      <w:tr w:rsidR="0084406A" w14:paraId="5902A680" w14:textId="77777777">
        <w:tc>
          <w:tcPr>
            <w:tcW w:w="0" w:type="auto"/>
            <w:gridSpan w:val="3"/>
            <w:shd w:val="clear" w:color="auto" w:fill="auto"/>
            <w:tcMar>
              <w:top w:w="40" w:type="dxa"/>
              <w:left w:w="20" w:type="dxa"/>
              <w:bottom w:w="40" w:type="dxa"/>
              <w:right w:w="20" w:type="dxa"/>
            </w:tcMar>
            <w:vAlign w:val="bottom"/>
          </w:tcPr>
          <w:p w14:paraId="5902A67C" w14:textId="77777777" w:rsidR="0084406A" w:rsidRDefault="002B18AF">
            <w:pPr>
              <w:spacing w:before="180"/>
              <w:textAlignment w:val="bottom"/>
            </w:pPr>
            <w:r>
              <w:rPr>
                <w:rFonts w:ascii="Arial" w:eastAsia="宋体" w:hAnsi="Arial" w:cs="Arial"/>
                <w:b/>
                <w:bCs/>
                <w:i/>
                <w:iCs/>
                <w:color w:val="000000"/>
                <w:sz w:val="20"/>
                <w:szCs w:val="20"/>
              </w:rPr>
              <w:t>Inventories</w:t>
            </w:r>
          </w:p>
        </w:tc>
        <w:tc>
          <w:tcPr>
            <w:tcW w:w="0" w:type="auto"/>
            <w:gridSpan w:val="3"/>
            <w:shd w:val="clear" w:color="auto" w:fill="auto"/>
            <w:tcMar>
              <w:top w:w="40" w:type="dxa"/>
              <w:left w:w="20" w:type="dxa"/>
              <w:bottom w:w="40" w:type="dxa"/>
              <w:right w:w="20" w:type="dxa"/>
            </w:tcMar>
            <w:vAlign w:val="bottom"/>
          </w:tcPr>
          <w:p w14:paraId="5902A67D"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67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67F"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683" w14:textId="77777777">
        <w:tc>
          <w:tcPr>
            <w:tcW w:w="0" w:type="auto"/>
            <w:gridSpan w:val="3"/>
            <w:shd w:val="clear" w:color="auto" w:fill="auto"/>
            <w:tcMar>
              <w:top w:w="40" w:type="dxa"/>
              <w:left w:w="20" w:type="dxa"/>
              <w:bottom w:w="40" w:type="dxa"/>
              <w:right w:w="20" w:type="dxa"/>
            </w:tcMar>
            <w:vAlign w:val="bottom"/>
          </w:tcPr>
          <w:p w14:paraId="5902A681"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5902A682"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68C" w14:textId="77777777">
        <w:tc>
          <w:tcPr>
            <w:tcW w:w="0" w:type="auto"/>
            <w:gridSpan w:val="3"/>
            <w:shd w:val="clear" w:color="auto" w:fill="CCEEFF"/>
            <w:tcMar>
              <w:top w:w="40" w:type="dxa"/>
              <w:left w:w="20" w:type="dxa"/>
              <w:bottom w:w="40" w:type="dxa"/>
              <w:right w:w="20" w:type="dxa"/>
            </w:tcMar>
            <w:vAlign w:val="bottom"/>
          </w:tcPr>
          <w:p w14:paraId="5902A684" w14:textId="77777777" w:rsidR="0084406A" w:rsidRDefault="002B18AF">
            <w:pPr>
              <w:textAlignment w:val="bottom"/>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bottom"/>
          </w:tcPr>
          <w:p w14:paraId="5902A68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86" w14:textId="77777777" w:rsidR="0084406A" w:rsidRDefault="002B18AF">
            <w:pPr>
              <w:jc w:val="right"/>
              <w:textAlignment w:val="bottom"/>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bottom"/>
          </w:tcPr>
          <w:p w14:paraId="5902A68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88"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68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8A" w14:textId="77777777" w:rsidR="0084406A" w:rsidRDefault="002B18AF">
            <w:pPr>
              <w:jc w:val="right"/>
              <w:textAlignment w:val="bottom"/>
            </w:pPr>
            <w:r>
              <w:rPr>
                <w:rFonts w:ascii="Arial" w:eastAsia="宋体" w:hAnsi="Arial" w:cs="Arial"/>
                <w:color w:val="000000"/>
                <w:sz w:val="20"/>
                <w:szCs w:val="20"/>
              </w:rPr>
              <w:t>93 </w:t>
            </w:r>
          </w:p>
        </w:tc>
        <w:tc>
          <w:tcPr>
            <w:tcW w:w="0" w:type="auto"/>
            <w:shd w:val="clear" w:color="auto" w:fill="CCEEFF"/>
            <w:tcMar>
              <w:top w:w="40" w:type="dxa"/>
              <w:left w:w="0" w:type="dxa"/>
              <w:bottom w:w="40" w:type="dxa"/>
              <w:right w:w="20" w:type="dxa"/>
            </w:tcMar>
            <w:vAlign w:val="bottom"/>
          </w:tcPr>
          <w:p w14:paraId="5902A68B" w14:textId="77777777" w:rsidR="0084406A" w:rsidRDefault="0084406A">
            <w:pPr>
              <w:jc w:val="right"/>
              <w:rPr>
                <w:rFonts w:ascii="宋体"/>
              </w:rPr>
            </w:pPr>
          </w:p>
        </w:tc>
      </w:tr>
      <w:tr w:rsidR="0084406A" w14:paraId="5902A693" w14:textId="77777777">
        <w:tc>
          <w:tcPr>
            <w:tcW w:w="0" w:type="auto"/>
            <w:gridSpan w:val="3"/>
            <w:shd w:val="clear" w:color="auto" w:fill="FFFFFF"/>
            <w:tcMar>
              <w:top w:w="40" w:type="dxa"/>
              <w:left w:w="20" w:type="dxa"/>
              <w:bottom w:w="40" w:type="dxa"/>
              <w:right w:w="20" w:type="dxa"/>
            </w:tcMar>
            <w:vAlign w:val="bottom"/>
          </w:tcPr>
          <w:p w14:paraId="5902A68D" w14:textId="77777777" w:rsidR="0084406A" w:rsidRDefault="002B18AF">
            <w:pPr>
              <w:textAlignment w:val="bottom"/>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bottom"/>
          </w:tcPr>
          <w:p w14:paraId="5902A68E" w14:textId="77777777" w:rsidR="0084406A" w:rsidRDefault="002B18AF">
            <w:pPr>
              <w:jc w:val="right"/>
              <w:textAlignment w:val="bottom"/>
            </w:pPr>
            <w:r>
              <w:rPr>
                <w:rFonts w:ascii="Arial" w:eastAsia="宋体" w:hAnsi="Arial" w:cs="Arial"/>
                <w:color w:val="000000"/>
                <w:sz w:val="20"/>
                <w:szCs w:val="20"/>
              </w:rPr>
              <w:t>1,676 </w:t>
            </w:r>
          </w:p>
        </w:tc>
        <w:tc>
          <w:tcPr>
            <w:tcW w:w="0" w:type="auto"/>
            <w:shd w:val="clear" w:color="auto" w:fill="FFFFFF"/>
            <w:tcMar>
              <w:top w:w="40" w:type="dxa"/>
              <w:left w:w="0" w:type="dxa"/>
              <w:bottom w:w="40" w:type="dxa"/>
              <w:right w:w="20" w:type="dxa"/>
            </w:tcMar>
            <w:vAlign w:val="bottom"/>
          </w:tcPr>
          <w:p w14:paraId="5902A68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9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691" w14:textId="77777777" w:rsidR="0084406A" w:rsidRDefault="002B18AF">
            <w:pPr>
              <w:jc w:val="right"/>
              <w:textAlignment w:val="bottom"/>
            </w:pPr>
            <w:r>
              <w:rPr>
                <w:rFonts w:ascii="Arial" w:eastAsia="宋体" w:hAnsi="Arial" w:cs="Arial"/>
                <w:color w:val="000000"/>
                <w:sz w:val="20"/>
                <w:szCs w:val="20"/>
              </w:rPr>
              <w:t>1,139 </w:t>
            </w:r>
          </w:p>
        </w:tc>
        <w:tc>
          <w:tcPr>
            <w:tcW w:w="0" w:type="auto"/>
            <w:shd w:val="clear" w:color="auto" w:fill="FFFFFF"/>
            <w:tcMar>
              <w:top w:w="40" w:type="dxa"/>
              <w:left w:w="0" w:type="dxa"/>
              <w:bottom w:w="40" w:type="dxa"/>
              <w:right w:w="20" w:type="dxa"/>
            </w:tcMar>
            <w:vAlign w:val="bottom"/>
          </w:tcPr>
          <w:p w14:paraId="5902A692" w14:textId="77777777" w:rsidR="0084406A" w:rsidRDefault="0084406A">
            <w:pPr>
              <w:jc w:val="right"/>
              <w:rPr>
                <w:rFonts w:ascii="宋体"/>
              </w:rPr>
            </w:pPr>
          </w:p>
        </w:tc>
      </w:tr>
      <w:tr w:rsidR="0084406A" w14:paraId="5902A69A" w14:textId="77777777">
        <w:tc>
          <w:tcPr>
            <w:tcW w:w="0" w:type="auto"/>
            <w:gridSpan w:val="3"/>
            <w:shd w:val="clear" w:color="auto" w:fill="CCEEFF"/>
            <w:tcMar>
              <w:top w:w="40" w:type="dxa"/>
              <w:left w:w="20" w:type="dxa"/>
              <w:bottom w:w="40" w:type="dxa"/>
              <w:right w:w="20" w:type="dxa"/>
            </w:tcMar>
            <w:vAlign w:val="bottom"/>
          </w:tcPr>
          <w:p w14:paraId="5902A694" w14:textId="77777777" w:rsidR="0084406A" w:rsidRDefault="002B18AF">
            <w:pPr>
              <w:textAlignment w:val="bottom"/>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5902A695" w14:textId="77777777" w:rsidR="0084406A" w:rsidRDefault="002B18AF">
            <w:pPr>
              <w:jc w:val="right"/>
              <w:textAlignment w:val="bottom"/>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bottom"/>
          </w:tcPr>
          <w:p w14:paraId="5902A69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9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698" w14:textId="77777777" w:rsidR="0084406A" w:rsidRDefault="002B18AF">
            <w:pPr>
              <w:jc w:val="right"/>
              <w:textAlignment w:val="bottom"/>
            </w:pPr>
            <w:r>
              <w:rPr>
                <w:rFonts w:ascii="Arial" w:eastAsia="宋体" w:hAnsi="Arial" w:cs="Arial"/>
                <w:color w:val="000000"/>
                <w:sz w:val="20"/>
                <w:szCs w:val="20"/>
              </w:rPr>
              <w:t>167 </w:t>
            </w:r>
          </w:p>
        </w:tc>
        <w:tc>
          <w:tcPr>
            <w:tcW w:w="0" w:type="auto"/>
            <w:shd w:val="clear" w:color="auto" w:fill="CCEEFF"/>
            <w:tcMar>
              <w:top w:w="40" w:type="dxa"/>
              <w:left w:w="0" w:type="dxa"/>
              <w:bottom w:w="40" w:type="dxa"/>
              <w:right w:w="20" w:type="dxa"/>
            </w:tcMar>
            <w:vAlign w:val="bottom"/>
          </w:tcPr>
          <w:p w14:paraId="5902A699" w14:textId="77777777" w:rsidR="0084406A" w:rsidRDefault="0084406A">
            <w:pPr>
              <w:jc w:val="right"/>
              <w:rPr>
                <w:rFonts w:ascii="宋体"/>
              </w:rPr>
            </w:pPr>
          </w:p>
        </w:tc>
      </w:tr>
      <w:tr w:rsidR="0084406A" w14:paraId="5902A6A3" w14:textId="77777777">
        <w:tc>
          <w:tcPr>
            <w:tcW w:w="0" w:type="auto"/>
            <w:gridSpan w:val="3"/>
            <w:shd w:val="clear" w:color="auto" w:fill="FFFFFF"/>
            <w:tcMar>
              <w:top w:w="40" w:type="dxa"/>
              <w:left w:w="20" w:type="dxa"/>
              <w:bottom w:w="40" w:type="dxa"/>
              <w:right w:w="20" w:type="dxa"/>
            </w:tcMar>
            <w:vAlign w:val="bottom"/>
          </w:tcPr>
          <w:p w14:paraId="5902A69B" w14:textId="77777777" w:rsidR="0084406A" w:rsidRDefault="002B18AF">
            <w:pPr>
              <w:textAlignment w:val="bottom"/>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69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69D" w14:textId="77777777" w:rsidR="0084406A" w:rsidRDefault="002B18AF">
            <w:pPr>
              <w:jc w:val="right"/>
              <w:textAlignment w:val="bottom"/>
            </w:pPr>
            <w:r>
              <w:rPr>
                <w:rFonts w:ascii="Arial" w:eastAsia="宋体" w:hAnsi="Arial" w:cs="Arial"/>
                <w:color w:val="000000"/>
                <w:sz w:val="20"/>
                <w:szCs w:val="20"/>
              </w:rPr>
              <w:t>1,955 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69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9F"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6A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6A1" w14:textId="77777777" w:rsidR="0084406A" w:rsidRDefault="002B18AF">
            <w:pPr>
              <w:jc w:val="right"/>
              <w:textAlignment w:val="bottom"/>
            </w:pPr>
            <w:r>
              <w:rPr>
                <w:rFonts w:ascii="Arial" w:eastAsia="宋体" w:hAnsi="Arial" w:cs="Arial"/>
                <w:color w:val="000000"/>
                <w:sz w:val="20"/>
                <w:szCs w:val="20"/>
              </w:rPr>
              <w:t>1,399 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6A2" w14:textId="77777777" w:rsidR="0084406A" w:rsidRDefault="0084406A">
            <w:pPr>
              <w:jc w:val="right"/>
              <w:rPr>
                <w:rFonts w:ascii="宋体"/>
              </w:rPr>
            </w:pPr>
          </w:p>
        </w:tc>
      </w:tr>
    </w:tbl>
    <w:p w14:paraId="5902A6A4" w14:textId="77777777" w:rsidR="0084406A" w:rsidRDefault="0084406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84406A" w14:paraId="5902A6B1" w14:textId="77777777">
        <w:tc>
          <w:tcPr>
            <w:tcW w:w="50" w:type="pct"/>
            <w:shd w:val="clear" w:color="auto" w:fill="auto"/>
            <w:vAlign w:val="bottom"/>
          </w:tcPr>
          <w:p w14:paraId="5902A6A5" w14:textId="77777777" w:rsidR="0084406A" w:rsidRDefault="0084406A">
            <w:pPr>
              <w:rPr>
                <w:rFonts w:ascii="宋体"/>
              </w:rPr>
            </w:pPr>
          </w:p>
        </w:tc>
        <w:tc>
          <w:tcPr>
            <w:tcW w:w="3197" w:type="pct"/>
            <w:shd w:val="clear" w:color="auto" w:fill="auto"/>
            <w:vAlign w:val="bottom"/>
          </w:tcPr>
          <w:p w14:paraId="5902A6A6" w14:textId="77777777" w:rsidR="0084406A" w:rsidRDefault="0084406A">
            <w:pPr>
              <w:rPr>
                <w:rFonts w:ascii="宋体"/>
              </w:rPr>
            </w:pPr>
          </w:p>
        </w:tc>
        <w:tc>
          <w:tcPr>
            <w:tcW w:w="5" w:type="pct"/>
            <w:shd w:val="clear" w:color="auto" w:fill="auto"/>
            <w:vAlign w:val="bottom"/>
          </w:tcPr>
          <w:p w14:paraId="5902A6A7" w14:textId="77777777" w:rsidR="0084406A" w:rsidRDefault="0084406A">
            <w:pPr>
              <w:rPr>
                <w:rFonts w:ascii="宋体"/>
              </w:rPr>
            </w:pPr>
          </w:p>
        </w:tc>
        <w:tc>
          <w:tcPr>
            <w:tcW w:w="50" w:type="pct"/>
            <w:shd w:val="clear" w:color="auto" w:fill="auto"/>
            <w:vAlign w:val="bottom"/>
          </w:tcPr>
          <w:p w14:paraId="5902A6A8" w14:textId="77777777" w:rsidR="0084406A" w:rsidRDefault="0084406A">
            <w:pPr>
              <w:rPr>
                <w:rFonts w:ascii="宋体"/>
              </w:rPr>
            </w:pPr>
          </w:p>
        </w:tc>
        <w:tc>
          <w:tcPr>
            <w:tcW w:w="800" w:type="pct"/>
            <w:shd w:val="clear" w:color="auto" w:fill="auto"/>
            <w:vAlign w:val="bottom"/>
          </w:tcPr>
          <w:p w14:paraId="5902A6A9" w14:textId="77777777" w:rsidR="0084406A" w:rsidRDefault="0084406A">
            <w:pPr>
              <w:rPr>
                <w:rFonts w:ascii="宋体"/>
              </w:rPr>
            </w:pPr>
          </w:p>
        </w:tc>
        <w:tc>
          <w:tcPr>
            <w:tcW w:w="5" w:type="pct"/>
            <w:shd w:val="clear" w:color="auto" w:fill="auto"/>
            <w:vAlign w:val="bottom"/>
          </w:tcPr>
          <w:p w14:paraId="5902A6AA" w14:textId="77777777" w:rsidR="0084406A" w:rsidRDefault="0084406A">
            <w:pPr>
              <w:rPr>
                <w:rFonts w:ascii="宋体"/>
              </w:rPr>
            </w:pPr>
          </w:p>
        </w:tc>
        <w:tc>
          <w:tcPr>
            <w:tcW w:w="5" w:type="pct"/>
            <w:shd w:val="clear" w:color="auto" w:fill="auto"/>
            <w:vAlign w:val="bottom"/>
          </w:tcPr>
          <w:p w14:paraId="5902A6AB" w14:textId="77777777" w:rsidR="0084406A" w:rsidRDefault="0084406A">
            <w:pPr>
              <w:rPr>
                <w:rFonts w:ascii="宋体"/>
              </w:rPr>
            </w:pPr>
          </w:p>
        </w:tc>
        <w:tc>
          <w:tcPr>
            <w:tcW w:w="26" w:type="pct"/>
            <w:shd w:val="clear" w:color="auto" w:fill="auto"/>
            <w:vAlign w:val="bottom"/>
          </w:tcPr>
          <w:p w14:paraId="5902A6AC" w14:textId="77777777" w:rsidR="0084406A" w:rsidRDefault="0084406A">
            <w:pPr>
              <w:rPr>
                <w:rFonts w:ascii="宋体"/>
              </w:rPr>
            </w:pPr>
          </w:p>
        </w:tc>
        <w:tc>
          <w:tcPr>
            <w:tcW w:w="5" w:type="pct"/>
            <w:shd w:val="clear" w:color="auto" w:fill="auto"/>
            <w:vAlign w:val="bottom"/>
          </w:tcPr>
          <w:p w14:paraId="5902A6AD" w14:textId="77777777" w:rsidR="0084406A" w:rsidRDefault="0084406A">
            <w:pPr>
              <w:rPr>
                <w:rFonts w:ascii="宋体"/>
              </w:rPr>
            </w:pPr>
          </w:p>
        </w:tc>
        <w:tc>
          <w:tcPr>
            <w:tcW w:w="50" w:type="pct"/>
            <w:shd w:val="clear" w:color="auto" w:fill="auto"/>
            <w:vAlign w:val="bottom"/>
          </w:tcPr>
          <w:p w14:paraId="5902A6AE" w14:textId="77777777" w:rsidR="0084406A" w:rsidRDefault="0084406A">
            <w:pPr>
              <w:rPr>
                <w:rFonts w:ascii="宋体"/>
              </w:rPr>
            </w:pPr>
          </w:p>
        </w:tc>
        <w:tc>
          <w:tcPr>
            <w:tcW w:w="800" w:type="pct"/>
            <w:shd w:val="clear" w:color="auto" w:fill="auto"/>
            <w:vAlign w:val="bottom"/>
          </w:tcPr>
          <w:p w14:paraId="5902A6AF" w14:textId="77777777" w:rsidR="0084406A" w:rsidRDefault="0084406A">
            <w:pPr>
              <w:rPr>
                <w:rFonts w:ascii="宋体"/>
              </w:rPr>
            </w:pPr>
          </w:p>
        </w:tc>
        <w:tc>
          <w:tcPr>
            <w:tcW w:w="5" w:type="pct"/>
            <w:shd w:val="clear" w:color="auto" w:fill="auto"/>
            <w:vAlign w:val="bottom"/>
          </w:tcPr>
          <w:p w14:paraId="5902A6B0" w14:textId="77777777" w:rsidR="0084406A" w:rsidRDefault="0084406A">
            <w:pPr>
              <w:rPr>
                <w:rFonts w:ascii="宋体"/>
              </w:rPr>
            </w:pPr>
          </w:p>
        </w:tc>
      </w:tr>
      <w:tr w:rsidR="0084406A" w14:paraId="5902A6B6" w14:textId="77777777">
        <w:tc>
          <w:tcPr>
            <w:tcW w:w="0" w:type="auto"/>
            <w:gridSpan w:val="3"/>
            <w:shd w:val="clear" w:color="auto" w:fill="auto"/>
            <w:tcMar>
              <w:top w:w="40" w:type="dxa"/>
              <w:left w:w="20" w:type="dxa"/>
              <w:bottom w:w="40" w:type="dxa"/>
              <w:right w:w="20" w:type="dxa"/>
            </w:tcMar>
            <w:vAlign w:val="bottom"/>
          </w:tcPr>
          <w:p w14:paraId="5902A6B2" w14:textId="77777777" w:rsidR="0084406A" w:rsidRDefault="002B18AF">
            <w:pPr>
              <w:spacing w:before="180"/>
              <w:textAlignment w:val="bottom"/>
            </w:pPr>
            <w:r>
              <w:rPr>
                <w:rFonts w:ascii="Arial" w:eastAsia="宋体" w:hAnsi="Arial" w:cs="Arial"/>
                <w:b/>
                <w:bCs/>
                <w:i/>
                <w:iCs/>
                <w:color w:val="000000"/>
                <w:sz w:val="20"/>
                <w:szCs w:val="20"/>
              </w:rPr>
              <w:t>Property and Equipment, net</w:t>
            </w:r>
          </w:p>
        </w:tc>
        <w:tc>
          <w:tcPr>
            <w:tcW w:w="0" w:type="auto"/>
            <w:gridSpan w:val="3"/>
            <w:shd w:val="clear" w:color="auto" w:fill="auto"/>
            <w:tcMar>
              <w:top w:w="40" w:type="dxa"/>
              <w:left w:w="20" w:type="dxa"/>
              <w:bottom w:w="40" w:type="dxa"/>
              <w:right w:w="20" w:type="dxa"/>
            </w:tcMar>
            <w:vAlign w:val="bottom"/>
          </w:tcPr>
          <w:p w14:paraId="5902A6B3"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6B4"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6B5"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6B9" w14:textId="77777777">
        <w:tc>
          <w:tcPr>
            <w:tcW w:w="0" w:type="auto"/>
            <w:gridSpan w:val="3"/>
            <w:shd w:val="clear" w:color="auto" w:fill="auto"/>
            <w:tcMar>
              <w:top w:w="40" w:type="dxa"/>
              <w:left w:w="20" w:type="dxa"/>
              <w:bottom w:w="40" w:type="dxa"/>
              <w:right w:w="20" w:type="dxa"/>
            </w:tcMar>
            <w:vAlign w:val="bottom"/>
          </w:tcPr>
          <w:p w14:paraId="5902A6B7"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6B8"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6BE" w14:textId="77777777">
        <w:trPr>
          <w:hidden/>
        </w:trPr>
        <w:tc>
          <w:tcPr>
            <w:tcW w:w="0" w:type="auto"/>
            <w:gridSpan w:val="3"/>
            <w:shd w:val="clear" w:color="auto" w:fill="auto"/>
            <w:vAlign w:val="bottom"/>
          </w:tcPr>
          <w:p w14:paraId="5902A6BA" w14:textId="77777777" w:rsidR="0084406A" w:rsidRDefault="0084406A">
            <w:pPr>
              <w:rPr>
                <w:rFonts w:ascii="宋体"/>
                <w:vanish/>
              </w:rPr>
            </w:pPr>
          </w:p>
        </w:tc>
        <w:tc>
          <w:tcPr>
            <w:tcW w:w="0" w:type="auto"/>
            <w:gridSpan w:val="3"/>
            <w:shd w:val="clear" w:color="auto" w:fill="auto"/>
            <w:vAlign w:val="bottom"/>
          </w:tcPr>
          <w:p w14:paraId="5902A6BB" w14:textId="77777777" w:rsidR="0084406A" w:rsidRDefault="0084406A">
            <w:pPr>
              <w:rPr>
                <w:rFonts w:ascii="宋体"/>
                <w:vanish/>
              </w:rPr>
            </w:pPr>
          </w:p>
        </w:tc>
        <w:tc>
          <w:tcPr>
            <w:tcW w:w="0" w:type="auto"/>
            <w:gridSpan w:val="3"/>
            <w:shd w:val="clear" w:color="auto" w:fill="auto"/>
            <w:vAlign w:val="bottom"/>
          </w:tcPr>
          <w:p w14:paraId="5902A6BC" w14:textId="77777777" w:rsidR="0084406A" w:rsidRDefault="0084406A">
            <w:pPr>
              <w:rPr>
                <w:rFonts w:ascii="宋体"/>
                <w:vanish/>
              </w:rPr>
            </w:pPr>
          </w:p>
        </w:tc>
        <w:tc>
          <w:tcPr>
            <w:tcW w:w="0" w:type="auto"/>
            <w:gridSpan w:val="3"/>
            <w:shd w:val="clear" w:color="auto" w:fill="auto"/>
            <w:vAlign w:val="bottom"/>
          </w:tcPr>
          <w:p w14:paraId="5902A6BD" w14:textId="77777777" w:rsidR="0084406A" w:rsidRDefault="0084406A">
            <w:pPr>
              <w:rPr>
                <w:rFonts w:ascii="宋体"/>
                <w:vanish/>
              </w:rPr>
            </w:pPr>
          </w:p>
        </w:tc>
      </w:tr>
      <w:tr w:rsidR="0084406A" w14:paraId="5902A6C3" w14:textId="77777777">
        <w:trPr>
          <w:hidden/>
        </w:trPr>
        <w:tc>
          <w:tcPr>
            <w:tcW w:w="0" w:type="auto"/>
            <w:gridSpan w:val="3"/>
            <w:shd w:val="clear" w:color="auto" w:fill="auto"/>
            <w:vAlign w:val="bottom"/>
          </w:tcPr>
          <w:p w14:paraId="5902A6BF" w14:textId="77777777" w:rsidR="0084406A" w:rsidRDefault="0084406A">
            <w:pPr>
              <w:rPr>
                <w:rFonts w:ascii="宋体"/>
                <w:vanish/>
              </w:rPr>
            </w:pPr>
          </w:p>
        </w:tc>
        <w:tc>
          <w:tcPr>
            <w:tcW w:w="0" w:type="auto"/>
            <w:gridSpan w:val="3"/>
            <w:shd w:val="clear" w:color="auto" w:fill="auto"/>
            <w:vAlign w:val="bottom"/>
          </w:tcPr>
          <w:p w14:paraId="5902A6C0" w14:textId="77777777" w:rsidR="0084406A" w:rsidRDefault="0084406A">
            <w:pPr>
              <w:rPr>
                <w:rFonts w:ascii="宋体"/>
                <w:vanish/>
              </w:rPr>
            </w:pPr>
          </w:p>
        </w:tc>
        <w:tc>
          <w:tcPr>
            <w:tcW w:w="0" w:type="auto"/>
            <w:gridSpan w:val="3"/>
            <w:shd w:val="clear" w:color="auto" w:fill="auto"/>
            <w:vAlign w:val="bottom"/>
          </w:tcPr>
          <w:p w14:paraId="5902A6C1" w14:textId="77777777" w:rsidR="0084406A" w:rsidRDefault="0084406A">
            <w:pPr>
              <w:rPr>
                <w:rFonts w:ascii="宋体"/>
                <w:vanish/>
              </w:rPr>
            </w:pPr>
          </w:p>
        </w:tc>
        <w:tc>
          <w:tcPr>
            <w:tcW w:w="0" w:type="auto"/>
            <w:gridSpan w:val="3"/>
            <w:shd w:val="clear" w:color="auto" w:fill="auto"/>
            <w:vAlign w:val="bottom"/>
          </w:tcPr>
          <w:p w14:paraId="5902A6C2" w14:textId="77777777" w:rsidR="0084406A" w:rsidRDefault="0084406A">
            <w:pPr>
              <w:rPr>
                <w:rFonts w:ascii="宋体"/>
                <w:vanish/>
              </w:rPr>
            </w:pPr>
          </w:p>
        </w:tc>
      </w:tr>
      <w:tr w:rsidR="0084406A" w14:paraId="5902A6CC" w14:textId="77777777">
        <w:tc>
          <w:tcPr>
            <w:tcW w:w="0" w:type="auto"/>
            <w:gridSpan w:val="3"/>
            <w:shd w:val="clear" w:color="auto" w:fill="CCEEFF"/>
            <w:tcMar>
              <w:top w:w="40" w:type="dxa"/>
              <w:left w:w="20" w:type="dxa"/>
              <w:bottom w:w="40" w:type="dxa"/>
              <w:right w:w="20" w:type="dxa"/>
            </w:tcMar>
            <w:vAlign w:val="bottom"/>
          </w:tcPr>
          <w:p w14:paraId="5902A6C4" w14:textId="77777777" w:rsidR="0084406A" w:rsidRDefault="002B18AF">
            <w:pPr>
              <w:textAlignment w:val="bottom"/>
            </w:pPr>
            <w:r>
              <w:rPr>
                <w:rFonts w:ascii="Arial" w:eastAsia="宋体" w:hAnsi="Arial" w:cs="Arial"/>
                <w:color w:val="000000"/>
                <w:sz w:val="20"/>
                <w:szCs w:val="20"/>
              </w:rPr>
              <w:t>Leasehold improvements</w:t>
            </w:r>
          </w:p>
        </w:tc>
        <w:tc>
          <w:tcPr>
            <w:tcW w:w="0" w:type="auto"/>
            <w:shd w:val="clear" w:color="auto" w:fill="CCEEFF"/>
            <w:tcMar>
              <w:top w:w="40" w:type="dxa"/>
              <w:left w:w="20" w:type="dxa"/>
              <w:bottom w:w="40" w:type="dxa"/>
              <w:right w:w="0" w:type="dxa"/>
            </w:tcMar>
            <w:vAlign w:val="bottom"/>
          </w:tcPr>
          <w:p w14:paraId="5902A6C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C6" w14:textId="77777777" w:rsidR="0084406A" w:rsidRDefault="002B18AF">
            <w:pPr>
              <w:jc w:val="right"/>
              <w:textAlignment w:val="bottom"/>
            </w:pPr>
            <w:r>
              <w:rPr>
                <w:rFonts w:ascii="Arial" w:eastAsia="宋体" w:hAnsi="Arial" w:cs="Arial"/>
                <w:color w:val="000000"/>
                <w:sz w:val="20"/>
                <w:szCs w:val="20"/>
              </w:rPr>
              <w:t>206 </w:t>
            </w:r>
          </w:p>
        </w:tc>
        <w:tc>
          <w:tcPr>
            <w:tcW w:w="0" w:type="auto"/>
            <w:shd w:val="clear" w:color="auto" w:fill="CCEEFF"/>
            <w:tcMar>
              <w:top w:w="40" w:type="dxa"/>
              <w:left w:w="0" w:type="dxa"/>
              <w:bottom w:w="40" w:type="dxa"/>
              <w:right w:w="20" w:type="dxa"/>
            </w:tcMar>
            <w:vAlign w:val="bottom"/>
          </w:tcPr>
          <w:p w14:paraId="5902A6C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C8"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6C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6CA" w14:textId="77777777" w:rsidR="0084406A" w:rsidRDefault="002B18AF">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5902A6CB" w14:textId="77777777" w:rsidR="0084406A" w:rsidRDefault="0084406A">
            <w:pPr>
              <w:jc w:val="right"/>
              <w:rPr>
                <w:rFonts w:ascii="宋体"/>
              </w:rPr>
            </w:pPr>
          </w:p>
        </w:tc>
      </w:tr>
      <w:tr w:rsidR="0084406A" w14:paraId="5902A6D3" w14:textId="77777777">
        <w:tc>
          <w:tcPr>
            <w:tcW w:w="0" w:type="auto"/>
            <w:gridSpan w:val="3"/>
            <w:shd w:val="clear" w:color="auto" w:fill="FFFFFF"/>
            <w:tcMar>
              <w:top w:w="40" w:type="dxa"/>
              <w:left w:w="20" w:type="dxa"/>
              <w:bottom w:w="40" w:type="dxa"/>
              <w:right w:w="20" w:type="dxa"/>
            </w:tcMar>
            <w:vAlign w:val="bottom"/>
          </w:tcPr>
          <w:p w14:paraId="5902A6CD" w14:textId="77777777" w:rsidR="0084406A" w:rsidRDefault="002B18AF">
            <w:pPr>
              <w:textAlignment w:val="bottom"/>
            </w:pPr>
            <w:r>
              <w:rPr>
                <w:rFonts w:ascii="Arial" w:eastAsia="宋体"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5902A6CE" w14:textId="77777777" w:rsidR="0084406A" w:rsidRDefault="002B18AF">
            <w:pPr>
              <w:jc w:val="right"/>
              <w:textAlignment w:val="bottom"/>
            </w:pPr>
            <w:r>
              <w:rPr>
                <w:rFonts w:ascii="Arial" w:eastAsia="宋体" w:hAnsi="Arial" w:cs="Arial"/>
                <w:color w:val="000000"/>
                <w:sz w:val="20"/>
                <w:szCs w:val="20"/>
              </w:rPr>
              <w:t>1,534 </w:t>
            </w:r>
          </w:p>
        </w:tc>
        <w:tc>
          <w:tcPr>
            <w:tcW w:w="0" w:type="auto"/>
            <w:shd w:val="clear" w:color="auto" w:fill="FFFFFF"/>
            <w:tcMar>
              <w:top w:w="40" w:type="dxa"/>
              <w:left w:w="0" w:type="dxa"/>
              <w:bottom w:w="40" w:type="dxa"/>
              <w:right w:w="20" w:type="dxa"/>
            </w:tcMar>
            <w:vAlign w:val="bottom"/>
          </w:tcPr>
          <w:p w14:paraId="5902A6C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D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6D1" w14:textId="77777777" w:rsidR="0084406A" w:rsidRDefault="002B18AF">
            <w:pPr>
              <w:jc w:val="right"/>
              <w:textAlignment w:val="bottom"/>
            </w:pPr>
            <w:r>
              <w:rPr>
                <w:rFonts w:ascii="Arial" w:eastAsia="宋体" w:hAnsi="Arial" w:cs="Arial"/>
                <w:color w:val="000000"/>
                <w:sz w:val="20"/>
                <w:szCs w:val="20"/>
              </w:rPr>
              <w:t>1,209 </w:t>
            </w:r>
          </w:p>
        </w:tc>
        <w:tc>
          <w:tcPr>
            <w:tcW w:w="0" w:type="auto"/>
            <w:shd w:val="clear" w:color="auto" w:fill="FFFFFF"/>
            <w:tcMar>
              <w:top w:w="40" w:type="dxa"/>
              <w:left w:w="0" w:type="dxa"/>
              <w:bottom w:w="40" w:type="dxa"/>
              <w:right w:w="20" w:type="dxa"/>
            </w:tcMar>
            <w:vAlign w:val="bottom"/>
          </w:tcPr>
          <w:p w14:paraId="5902A6D2" w14:textId="77777777" w:rsidR="0084406A" w:rsidRDefault="0084406A">
            <w:pPr>
              <w:jc w:val="right"/>
              <w:rPr>
                <w:rFonts w:ascii="宋体"/>
              </w:rPr>
            </w:pPr>
          </w:p>
        </w:tc>
      </w:tr>
      <w:tr w:rsidR="0084406A" w14:paraId="5902A6DA" w14:textId="77777777">
        <w:tc>
          <w:tcPr>
            <w:tcW w:w="0" w:type="auto"/>
            <w:gridSpan w:val="3"/>
            <w:shd w:val="clear" w:color="auto" w:fill="CCEEFF"/>
            <w:tcMar>
              <w:top w:w="40" w:type="dxa"/>
              <w:left w:w="20" w:type="dxa"/>
              <w:bottom w:w="40" w:type="dxa"/>
              <w:right w:w="20" w:type="dxa"/>
            </w:tcMar>
            <w:vAlign w:val="bottom"/>
          </w:tcPr>
          <w:p w14:paraId="5902A6D4" w14:textId="77777777" w:rsidR="0084406A" w:rsidRDefault="002B18AF">
            <w:pPr>
              <w:textAlignment w:val="bottom"/>
            </w:pPr>
            <w:r>
              <w:rPr>
                <w:rFonts w:ascii="Arial" w:eastAsia="宋体"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5902A6D5" w14:textId="77777777" w:rsidR="0084406A" w:rsidRDefault="002B18AF">
            <w:pPr>
              <w:jc w:val="right"/>
              <w:textAlignment w:val="bottom"/>
            </w:pPr>
            <w:r>
              <w:rPr>
                <w:rFonts w:ascii="Arial" w:eastAsia="宋体" w:hAnsi="Arial" w:cs="Arial"/>
                <w:color w:val="000000"/>
                <w:sz w:val="20"/>
                <w:szCs w:val="20"/>
              </w:rPr>
              <w:t>96 </w:t>
            </w:r>
          </w:p>
        </w:tc>
        <w:tc>
          <w:tcPr>
            <w:tcW w:w="0" w:type="auto"/>
            <w:shd w:val="clear" w:color="auto" w:fill="CCEEFF"/>
            <w:tcMar>
              <w:top w:w="40" w:type="dxa"/>
              <w:left w:w="0" w:type="dxa"/>
              <w:bottom w:w="40" w:type="dxa"/>
              <w:right w:w="20" w:type="dxa"/>
            </w:tcMar>
            <w:vAlign w:val="bottom"/>
          </w:tcPr>
          <w:p w14:paraId="5902A6D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D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6D8" w14:textId="77777777" w:rsidR="0084406A" w:rsidRDefault="002B18AF">
            <w:pPr>
              <w:jc w:val="right"/>
              <w:textAlignment w:val="bottom"/>
            </w:pPr>
            <w:r>
              <w:rPr>
                <w:rFonts w:ascii="Arial" w:eastAsia="宋体" w:hAnsi="Arial" w:cs="Arial"/>
                <w:color w:val="000000"/>
                <w:sz w:val="20"/>
                <w:szCs w:val="20"/>
              </w:rPr>
              <w:t>136 </w:t>
            </w:r>
          </w:p>
        </w:tc>
        <w:tc>
          <w:tcPr>
            <w:tcW w:w="0" w:type="auto"/>
            <w:shd w:val="clear" w:color="auto" w:fill="CCEEFF"/>
            <w:tcMar>
              <w:top w:w="40" w:type="dxa"/>
              <w:left w:w="0" w:type="dxa"/>
              <w:bottom w:w="40" w:type="dxa"/>
              <w:right w:w="20" w:type="dxa"/>
            </w:tcMar>
            <w:vAlign w:val="bottom"/>
          </w:tcPr>
          <w:p w14:paraId="5902A6D9" w14:textId="77777777" w:rsidR="0084406A" w:rsidRDefault="0084406A">
            <w:pPr>
              <w:jc w:val="right"/>
              <w:rPr>
                <w:rFonts w:ascii="宋体"/>
              </w:rPr>
            </w:pPr>
          </w:p>
        </w:tc>
      </w:tr>
      <w:tr w:rsidR="0084406A" w14:paraId="5902A6E1" w14:textId="77777777">
        <w:tc>
          <w:tcPr>
            <w:tcW w:w="0" w:type="auto"/>
            <w:gridSpan w:val="3"/>
            <w:shd w:val="clear" w:color="auto" w:fill="FFFFFF"/>
            <w:tcMar>
              <w:top w:w="40" w:type="dxa"/>
              <w:left w:w="20" w:type="dxa"/>
              <w:bottom w:w="40" w:type="dxa"/>
              <w:right w:w="20" w:type="dxa"/>
            </w:tcMar>
            <w:vAlign w:val="bottom"/>
          </w:tcPr>
          <w:p w14:paraId="5902A6DB" w14:textId="77777777" w:rsidR="0084406A" w:rsidRDefault="002B18AF">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6DC" w14:textId="77777777" w:rsidR="0084406A" w:rsidRDefault="002B18AF">
            <w:pPr>
              <w:jc w:val="right"/>
              <w:textAlignment w:val="bottom"/>
            </w:pPr>
            <w:r>
              <w:rPr>
                <w:rFonts w:ascii="Arial" w:eastAsia="宋体" w:hAnsi="Arial" w:cs="Arial"/>
                <w:color w:val="000000"/>
                <w:sz w:val="20"/>
                <w:szCs w:val="20"/>
              </w:rPr>
              <w:t>1,836 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6D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DE"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6DF" w14:textId="77777777" w:rsidR="0084406A" w:rsidRDefault="002B18AF">
            <w:pPr>
              <w:jc w:val="right"/>
              <w:textAlignment w:val="bottom"/>
            </w:pPr>
            <w:r>
              <w:rPr>
                <w:rFonts w:ascii="Arial" w:eastAsia="宋体" w:hAnsi="Arial" w:cs="Arial"/>
                <w:color w:val="000000"/>
                <w:sz w:val="20"/>
                <w:szCs w:val="20"/>
              </w:rPr>
              <w:t>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6E0" w14:textId="77777777" w:rsidR="0084406A" w:rsidRDefault="0084406A">
            <w:pPr>
              <w:jc w:val="right"/>
              <w:rPr>
                <w:rFonts w:ascii="宋体"/>
              </w:rPr>
            </w:pPr>
          </w:p>
        </w:tc>
      </w:tr>
      <w:tr w:rsidR="0084406A" w14:paraId="5902A6E8" w14:textId="77777777">
        <w:tc>
          <w:tcPr>
            <w:tcW w:w="0" w:type="auto"/>
            <w:gridSpan w:val="3"/>
            <w:shd w:val="clear" w:color="auto" w:fill="CCEEFF"/>
            <w:tcMar>
              <w:top w:w="40" w:type="dxa"/>
              <w:left w:w="20" w:type="dxa"/>
              <w:bottom w:w="40" w:type="dxa"/>
              <w:right w:w="20" w:type="dxa"/>
            </w:tcMar>
            <w:vAlign w:val="bottom"/>
          </w:tcPr>
          <w:p w14:paraId="5902A6E2" w14:textId="77777777" w:rsidR="0084406A" w:rsidRDefault="002B18AF">
            <w:pPr>
              <w:textAlignment w:val="bottom"/>
            </w:pPr>
            <w:r>
              <w:rPr>
                <w:rFonts w:ascii="Arial" w:eastAsia="宋体"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5902A6E3" w14:textId="77777777" w:rsidR="0084406A" w:rsidRDefault="002B18AF">
            <w:pPr>
              <w:jc w:val="right"/>
              <w:textAlignment w:val="bottom"/>
            </w:pPr>
            <w:r>
              <w:rPr>
                <w:rFonts w:ascii="Arial" w:eastAsia="宋体" w:hAnsi="Arial" w:cs="Arial"/>
                <w:color w:val="000000"/>
                <w:sz w:val="20"/>
                <w:szCs w:val="20"/>
              </w:rPr>
              <w:t>(1,134)</w:t>
            </w:r>
          </w:p>
        </w:tc>
        <w:tc>
          <w:tcPr>
            <w:tcW w:w="0" w:type="auto"/>
            <w:shd w:val="clear" w:color="auto" w:fill="CCEEFF"/>
            <w:tcMar>
              <w:top w:w="40" w:type="dxa"/>
              <w:left w:w="0" w:type="dxa"/>
              <w:bottom w:w="40" w:type="dxa"/>
              <w:right w:w="20" w:type="dxa"/>
            </w:tcMar>
            <w:vAlign w:val="bottom"/>
          </w:tcPr>
          <w:p w14:paraId="5902A6E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6E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6E6" w14:textId="77777777" w:rsidR="0084406A" w:rsidRDefault="002B18AF">
            <w:pPr>
              <w:jc w:val="right"/>
              <w:textAlignment w:val="bottom"/>
            </w:pPr>
            <w:r>
              <w:rPr>
                <w:rFonts w:ascii="Arial" w:eastAsia="宋体" w:hAnsi="Arial" w:cs="Arial"/>
                <w:color w:val="000000"/>
                <w:sz w:val="20"/>
                <w:szCs w:val="20"/>
              </w:rPr>
              <w:t>(912)</w:t>
            </w:r>
          </w:p>
        </w:tc>
        <w:tc>
          <w:tcPr>
            <w:tcW w:w="0" w:type="auto"/>
            <w:shd w:val="clear" w:color="auto" w:fill="CCEEFF"/>
            <w:tcMar>
              <w:top w:w="40" w:type="dxa"/>
              <w:left w:w="0" w:type="dxa"/>
              <w:bottom w:w="40" w:type="dxa"/>
              <w:right w:w="20" w:type="dxa"/>
            </w:tcMar>
            <w:vAlign w:val="bottom"/>
          </w:tcPr>
          <w:p w14:paraId="5902A6E7" w14:textId="77777777" w:rsidR="0084406A" w:rsidRDefault="0084406A">
            <w:pPr>
              <w:jc w:val="right"/>
              <w:rPr>
                <w:rFonts w:ascii="宋体"/>
              </w:rPr>
            </w:pPr>
          </w:p>
        </w:tc>
      </w:tr>
      <w:tr w:rsidR="0084406A" w14:paraId="5902A6F1" w14:textId="77777777">
        <w:tc>
          <w:tcPr>
            <w:tcW w:w="0" w:type="auto"/>
            <w:gridSpan w:val="3"/>
            <w:shd w:val="clear" w:color="auto" w:fill="FFFFFF"/>
            <w:tcMar>
              <w:top w:w="40" w:type="dxa"/>
              <w:left w:w="20" w:type="dxa"/>
              <w:bottom w:w="40" w:type="dxa"/>
              <w:right w:w="20" w:type="dxa"/>
            </w:tcMar>
            <w:vAlign w:val="bottom"/>
          </w:tcPr>
          <w:p w14:paraId="5902A6E9" w14:textId="77777777" w:rsidR="0084406A" w:rsidRDefault="002B18AF">
            <w:pPr>
              <w:textAlignment w:val="bottom"/>
            </w:pPr>
            <w:r>
              <w:rPr>
                <w:rFonts w:ascii="Arial" w:eastAsia="宋体" w:hAnsi="Arial" w:cs="Arial"/>
                <w:color w:val="000000"/>
                <w:sz w:val="20"/>
                <w:szCs w:val="20"/>
              </w:rPr>
              <w:t xml:space="preserve">Total property and </w:t>
            </w:r>
            <w:r>
              <w:rPr>
                <w:rFonts w:ascii="Arial" w:eastAsia="宋体" w:hAnsi="Arial" w:cs="Arial"/>
                <w:color w:val="000000"/>
                <w:sz w:val="20"/>
                <w:szCs w:val="20"/>
              </w:rPr>
              <w:t>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6E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6EB" w14:textId="77777777" w:rsidR="0084406A" w:rsidRDefault="002B18AF">
            <w:pPr>
              <w:jc w:val="right"/>
              <w:textAlignment w:val="bottom"/>
            </w:pPr>
            <w:r>
              <w:rPr>
                <w:rFonts w:ascii="Arial" w:eastAsia="宋体" w:hAnsi="Arial" w:cs="Arial"/>
                <w:color w:val="000000"/>
                <w:sz w:val="20"/>
                <w:szCs w:val="20"/>
              </w:rPr>
              <w:t>702 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6E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6ED"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6E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6EF" w14:textId="77777777" w:rsidR="0084406A" w:rsidRDefault="002B18AF">
            <w:pPr>
              <w:jc w:val="right"/>
              <w:textAlignment w:val="bottom"/>
            </w:pPr>
            <w:r>
              <w:rPr>
                <w:rFonts w:ascii="Arial" w:eastAsia="宋体"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6F0" w14:textId="77777777" w:rsidR="0084406A" w:rsidRDefault="0084406A">
            <w:pPr>
              <w:jc w:val="right"/>
              <w:rPr>
                <w:rFonts w:ascii="宋体"/>
              </w:rPr>
            </w:pPr>
          </w:p>
        </w:tc>
      </w:tr>
    </w:tbl>
    <w:p w14:paraId="5902A6F2" w14:textId="77777777" w:rsidR="0084406A" w:rsidRDefault="002B18AF">
      <w:pPr>
        <w:spacing w:before="180"/>
        <w:jc w:val="both"/>
      </w:pPr>
      <w:r>
        <w:rPr>
          <w:rFonts w:ascii="Arial" w:eastAsia="宋体" w:hAnsi="Arial" w:cs="Arial"/>
          <w:color w:val="000000"/>
          <w:sz w:val="20"/>
          <w:szCs w:val="20"/>
        </w:rPr>
        <w:t xml:space="preserve">Depreciation expense for 2021, 2020 and 2019 was </w:t>
      </w:r>
      <w:r>
        <w:rPr>
          <w:rFonts w:ascii="Arial" w:eastAsia="宋体" w:hAnsi="Arial" w:cs="Arial"/>
          <w:color w:val="000000"/>
          <w:sz w:val="20"/>
          <w:szCs w:val="20"/>
          <w:shd w:val="clear" w:color="auto" w:fill="FFFFFF"/>
        </w:rPr>
        <w:t>$296 million</w:t>
      </w:r>
      <w:r>
        <w:rPr>
          <w:rFonts w:ascii="Arial" w:eastAsia="宋体" w:hAnsi="Arial" w:cs="Arial"/>
          <w:color w:val="000000"/>
          <w:sz w:val="20"/>
          <w:szCs w:val="20"/>
        </w:rPr>
        <w:t>, $217 million and $142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283"/>
        <w:gridCol w:w="36"/>
        <w:gridCol w:w="133"/>
        <w:gridCol w:w="1287"/>
        <w:gridCol w:w="36"/>
        <w:gridCol w:w="36"/>
        <w:gridCol w:w="36"/>
        <w:gridCol w:w="36"/>
        <w:gridCol w:w="133"/>
        <w:gridCol w:w="1247"/>
        <w:gridCol w:w="36"/>
      </w:tblGrid>
      <w:tr w:rsidR="0084406A" w14:paraId="5902A6FF" w14:textId="77777777">
        <w:tc>
          <w:tcPr>
            <w:tcW w:w="50" w:type="pct"/>
            <w:shd w:val="clear" w:color="auto" w:fill="auto"/>
            <w:vAlign w:val="bottom"/>
          </w:tcPr>
          <w:p w14:paraId="5902A6F3" w14:textId="77777777" w:rsidR="0084406A" w:rsidRDefault="0084406A">
            <w:pPr>
              <w:rPr>
                <w:rFonts w:ascii="宋体"/>
              </w:rPr>
            </w:pPr>
          </w:p>
        </w:tc>
        <w:tc>
          <w:tcPr>
            <w:tcW w:w="3197" w:type="pct"/>
            <w:shd w:val="clear" w:color="auto" w:fill="auto"/>
            <w:vAlign w:val="bottom"/>
          </w:tcPr>
          <w:p w14:paraId="5902A6F4" w14:textId="77777777" w:rsidR="0084406A" w:rsidRDefault="0084406A">
            <w:pPr>
              <w:rPr>
                <w:rFonts w:ascii="宋体"/>
              </w:rPr>
            </w:pPr>
          </w:p>
        </w:tc>
        <w:tc>
          <w:tcPr>
            <w:tcW w:w="5" w:type="pct"/>
            <w:shd w:val="clear" w:color="auto" w:fill="auto"/>
            <w:vAlign w:val="bottom"/>
          </w:tcPr>
          <w:p w14:paraId="5902A6F5" w14:textId="77777777" w:rsidR="0084406A" w:rsidRDefault="0084406A">
            <w:pPr>
              <w:rPr>
                <w:rFonts w:ascii="宋体"/>
              </w:rPr>
            </w:pPr>
          </w:p>
        </w:tc>
        <w:tc>
          <w:tcPr>
            <w:tcW w:w="50" w:type="pct"/>
            <w:shd w:val="clear" w:color="auto" w:fill="auto"/>
            <w:vAlign w:val="bottom"/>
          </w:tcPr>
          <w:p w14:paraId="5902A6F6" w14:textId="77777777" w:rsidR="0084406A" w:rsidRDefault="0084406A">
            <w:pPr>
              <w:rPr>
                <w:rFonts w:ascii="宋体"/>
              </w:rPr>
            </w:pPr>
          </w:p>
        </w:tc>
        <w:tc>
          <w:tcPr>
            <w:tcW w:w="800" w:type="pct"/>
            <w:shd w:val="clear" w:color="auto" w:fill="auto"/>
            <w:vAlign w:val="bottom"/>
          </w:tcPr>
          <w:p w14:paraId="5902A6F7" w14:textId="77777777" w:rsidR="0084406A" w:rsidRDefault="0084406A">
            <w:pPr>
              <w:rPr>
                <w:rFonts w:ascii="宋体"/>
              </w:rPr>
            </w:pPr>
          </w:p>
        </w:tc>
        <w:tc>
          <w:tcPr>
            <w:tcW w:w="5" w:type="pct"/>
            <w:shd w:val="clear" w:color="auto" w:fill="auto"/>
            <w:vAlign w:val="bottom"/>
          </w:tcPr>
          <w:p w14:paraId="5902A6F8" w14:textId="77777777" w:rsidR="0084406A" w:rsidRDefault="0084406A">
            <w:pPr>
              <w:rPr>
                <w:rFonts w:ascii="宋体"/>
              </w:rPr>
            </w:pPr>
          </w:p>
        </w:tc>
        <w:tc>
          <w:tcPr>
            <w:tcW w:w="5" w:type="pct"/>
            <w:shd w:val="clear" w:color="auto" w:fill="auto"/>
            <w:vAlign w:val="bottom"/>
          </w:tcPr>
          <w:p w14:paraId="5902A6F9" w14:textId="77777777" w:rsidR="0084406A" w:rsidRDefault="0084406A">
            <w:pPr>
              <w:rPr>
                <w:rFonts w:ascii="宋体"/>
              </w:rPr>
            </w:pPr>
          </w:p>
        </w:tc>
        <w:tc>
          <w:tcPr>
            <w:tcW w:w="26" w:type="pct"/>
            <w:shd w:val="clear" w:color="auto" w:fill="auto"/>
            <w:vAlign w:val="bottom"/>
          </w:tcPr>
          <w:p w14:paraId="5902A6FA" w14:textId="77777777" w:rsidR="0084406A" w:rsidRDefault="0084406A">
            <w:pPr>
              <w:rPr>
                <w:rFonts w:ascii="宋体"/>
              </w:rPr>
            </w:pPr>
          </w:p>
        </w:tc>
        <w:tc>
          <w:tcPr>
            <w:tcW w:w="5" w:type="pct"/>
            <w:shd w:val="clear" w:color="auto" w:fill="auto"/>
            <w:vAlign w:val="bottom"/>
          </w:tcPr>
          <w:p w14:paraId="5902A6FB" w14:textId="77777777" w:rsidR="0084406A" w:rsidRDefault="0084406A">
            <w:pPr>
              <w:rPr>
                <w:rFonts w:ascii="宋体"/>
              </w:rPr>
            </w:pPr>
          </w:p>
        </w:tc>
        <w:tc>
          <w:tcPr>
            <w:tcW w:w="50" w:type="pct"/>
            <w:shd w:val="clear" w:color="auto" w:fill="auto"/>
            <w:vAlign w:val="bottom"/>
          </w:tcPr>
          <w:p w14:paraId="5902A6FC" w14:textId="77777777" w:rsidR="0084406A" w:rsidRDefault="0084406A">
            <w:pPr>
              <w:rPr>
                <w:rFonts w:ascii="宋体"/>
              </w:rPr>
            </w:pPr>
          </w:p>
        </w:tc>
        <w:tc>
          <w:tcPr>
            <w:tcW w:w="800" w:type="pct"/>
            <w:shd w:val="clear" w:color="auto" w:fill="auto"/>
            <w:vAlign w:val="bottom"/>
          </w:tcPr>
          <w:p w14:paraId="5902A6FD" w14:textId="77777777" w:rsidR="0084406A" w:rsidRDefault="0084406A">
            <w:pPr>
              <w:rPr>
                <w:rFonts w:ascii="宋体"/>
              </w:rPr>
            </w:pPr>
          </w:p>
        </w:tc>
        <w:tc>
          <w:tcPr>
            <w:tcW w:w="5" w:type="pct"/>
            <w:shd w:val="clear" w:color="auto" w:fill="auto"/>
            <w:vAlign w:val="bottom"/>
          </w:tcPr>
          <w:p w14:paraId="5902A6FE" w14:textId="77777777" w:rsidR="0084406A" w:rsidRDefault="0084406A">
            <w:pPr>
              <w:rPr>
                <w:rFonts w:ascii="宋体"/>
              </w:rPr>
            </w:pPr>
          </w:p>
        </w:tc>
      </w:tr>
      <w:tr w:rsidR="0084406A" w14:paraId="5902A704" w14:textId="77777777">
        <w:tc>
          <w:tcPr>
            <w:tcW w:w="0" w:type="auto"/>
            <w:gridSpan w:val="3"/>
            <w:shd w:val="clear" w:color="auto" w:fill="auto"/>
            <w:tcMar>
              <w:top w:w="40" w:type="dxa"/>
              <w:left w:w="20" w:type="dxa"/>
              <w:bottom w:w="40" w:type="dxa"/>
              <w:right w:w="20" w:type="dxa"/>
            </w:tcMar>
            <w:vAlign w:val="bottom"/>
          </w:tcPr>
          <w:p w14:paraId="5902A700" w14:textId="77777777" w:rsidR="0084406A" w:rsidRDefault="002B18AF">
            <w:pPr>
              <w:spacing w:before="180"/>
              <w:textAlignment w:val="bottom"/>
            </w:pPr>
            <w:r>
              <w:rPr>
                <w:rFonts w:ascii="Arial" w:eastAsia="宋体" w:hAnsi="Arial" w:cs="Arial"/>
                <w:b/>
                <w:bCs/>
                <w:i/>
                <w:iCs/>
                <w:color w:val="000000"/>
                <w:sz w:val="20"/>
                <w:szCs w:val="20"/>
              </w:rPr>
              <w:t>Other Non-current Assets</w:t>
            </w:r>
          </w:p>
        </w:tc>
        <w:tc>
          <w:tcPr>
            <w:tcW w:w="0" w:type="auto"/>
            <w:gridSpan w:val="3"/>
            <w:shd w:val="clear" w:color="auto" w:fill="auto"/>
            <w:tcMar>
              <w:top w:w="40" w:type="dxa"/>
              <w:left w:w="20" w:type="dxa"/>
              <w:bottom w:w="40" w:type="dxa"/>
              <w:right w:w="20" w:type="dxa"/>
            </w:tcMar>
            <w:vAlign w:val="bottom"/>
          </w:tcPr>
          <w:p w14:paraId="5902A701"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702"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703"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707" w14:textId="77777777">
        <w:tc>
          <w:tcPr>
            <w:tcW w:w="0" w:type="auto"/>
            <w:gridSpan w:val="3"/>
            <w:shd w:val="clear" w:color="auto" w:fill="auto"/>
            <w:tcMar>
              <w:top w:w="40" w:type="dxa"/>
              <w:left w:w="20" w:type="dxa"/>
              <w:bottom w:w="40" w:type="dxa"/>
              <w:right w:w="20" w:type="dxa"/>
            </w:tcMar>
            <w:vAlign w:val="bottom"/>
          </w:tcPr>
          <w:p w14:paraId="5902A705"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706"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710" w14:textId="77777777">
        <w:tc>
          <w:tcPr>
            <w:tcW w:w="0" w:type="auto"/>
            <w:gridSpan w:val="3"/>
            <w:shd w:val="clear" w:color="auto" w:fill="CCEEFF"/>
            <w:tcMar>
              <w:top w:w="40" w:type="dxa"/>
              <w:left w:w="20" w:type="dxa"/>
              <w:bottom w:w="40" w:type="dxa"/>
              <w:right w:w="20" w:type="dxa"/>
            </w:tcMar>
            <w:vAlign w:val="bottom"/>
          </w:tcPr>
          <w:p w14:paraId="5902A708" w14:textId="77777777" w:rsidR="0084406A" w:rsidRDefault="002B18AF">
            <w:pPr>
              <w:textAlignment w:val="bottom"/>
            </w:pPr>
            <w:r>
              <w:rPr>
                <w:rFonts w:ascii="Arial" w:eastAsia="宋体" w:hAnsi="Arial" w:cs="Arial"/>
                <w:color w:val="000000"/>
                <w:sz w:val="20"/>
                <w:szCs w:val="20"/>
              </w:rPr>
              <w:t xml:space="preserve">Prepaid </w:t>
            </w:r>
            <w:r>
              <w:rPr>
                <w:rFonts w:ascii="Arial" w:eastAsia="宋体" w:hAnsi="Arial" w:cs="Arial"/>
                <w:color w:val="000000"/>
                <w:sz w:val="20"/>
                <w:szCs w:val="20"/>
              </w:rPr>
              <w:t>long-term supply agreements</w:t>
            </w:r>
          </w:p>
        </w:tc>
        <w:tc>
          <w:tcPr>
            <w:tcW w:w="0" w:type="auto"/>
            <w:shd w:val="clear" w:color="auto" w:fill="CCEEFF"/>
            <w:tcMar>
              <w:top w:w="40" w:type="dxa"/>
              <w:left w:w="20" w:type="dxa"/>
              <w:bottom w:w="40" w:type="dxa"/>
              <w:right w:w="0" w:type="dxa"/>
            </w:tcMar>
            <w:vAlign w:val="bottom"/>
          </w:tcPr>
          <w:p w14:paraId="5902A70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0A" w14:textId="77777777" w:rsidR="0084406A" w:rsidRDefault="002B18AF">
            <w:pPr>
              <w:jc w:val="right"/>
              <w:textAlignment w:val="bottom"/>
            </w:pPr>
            <w:r>
              <w:rPr>
                <w:rFonts w:ascii="Arial" w:eastAsia="宋体" w:hAnsi="Arial" w:cs="Arial"/>
                <w:color w:val="000000"/>
                <w:sz w:val="20"/>
                <w:szCs w:val="20"/>
              </w:rPr>
              <w:t>916 </w:t>
            </w:r>
          </w:p>
        </w:tc>
        <w:tc>
          <w:tcPr>
            <w:tcW w:w="0" w:type="auto"/>
            <w:shd w:val="clear" w:color="auto" w:fill="CCEEFF"/>
            <w:tcMar>
              <w:top w:w="40" w:type="dxa"/>
              <w:left w:w="0" w:type="dxa"/>
              <w:bottom w:w="40" w:type="dxa"/>
              <w:right w:w="20" w:type="dxa"/>
            </w:tcMar>
            <w:vAlign w:val="bottom"/>
          </w:tcPr>
          <w:p w14:paraId="5902A70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0C"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70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0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70F" w14:textId="77777777" w:rsidR="0084406A" w:rsidRDefault="0084406A">
            <w:pPr>
              <w:jc w:val="right"/>
              <w:rPr>
                <w:rFonts w:ascii="宋体"/>
              </w:rPr>
            </w:pPr>
          </w:p>
        </w:tc>
      </w:tr>
      <w:tr w:rsidR="0084406A" w14:paraId="5902A717" w14:textId="77777777">
        <w:tc>
          <w:tcPr>
            <w:tcW w:w="0" w:type="auto"/>
            <w:gridSpan w:val="3"/>
            <w:shd w:val="clear" w:color="auto" w:fill="FFFFFF"/>
            <w:tcMar>
              <w:top w:w="40" w:type="dxa"/>
              <w:left w:w="20" w:type="dxa"/>
              <w:bottom w:w="40" w:type="dxa"/>
              <w:right w:w="20" w:type="dxa"/>
            </w:tcMar>
            <w:vAlign w:val="bottom"/>
          </w:tcPr>
          <w:p w14:paraId="5902A711" w14:textId="77777777" w:rsidR="0084406A" w:rsidRDefault="002B18AF">
            <w:pPr>
              <w:textAlignment w:val="bottom"/>
            </w:pPr>
            <w:r>
              <w:rPr>
                <w:rFonts w:ascii="Arial" w:eastAsia="宋体" w:hAnsi="Arial" w:cs="Arial"/>
                <w:color w:val="000000"/>
                <w:sz w:val="20"/>
                <w:szCs w:val="20"/>
              </w:rPr>
              <w:t>Software and technology licenses, net</w:t>
            </w:r>
          </w:p>
        </w:tc>
        <w:tc>
          <w:tcPr>
            <w:tcW w:w="0" w:type="auto"/>
            <w:gridSpan w:val="2"/>
            <w:shd w:val="clear" w:color="auto" w:fill="FFFFFF"/>
            <w:tcMar>
              <w:top w:w="40" w:type="dxa"/>
              <w:left w:w="20" w:type="dxa"/>
              <w:bottom w:w="40" w:type="dxa"/>
              <w:right w:w="0" w:type="dxa"/>
            </w:tcMar>
            <w:vAlign w:val="bottom"/>
          </w:tcPr>
          <w:p w14:paraId="5902A712" w14:textId="77777777" w:rsidR="0084406A" w:rsidRDefault="002B18AF">
            <w:pPr>
              <w:jc w:val="right"/>
              <w:textAlignment w:val="bottom"/>
            </w:pPr>
            <w:r>
              <w:rPr>
                <w:rFonts w:ascii="Arial" w:eastAsia="宋体" w:hAnsi="Arial" w:cs="Arial"/>
                <w:color w:val="000000"/>
                <w:sz w:val="20"/>
                <w:szCs w:val="20"/>
              </w:rPr>
              <w:t>328 </w:t>
            </w:r>
          </w:p>
        </w:tc>
        <w:tc>
          <w:tcPr>
            <w:tcW w:w="0" w:type="auto"/>
            <w:shd w:val="clear" w:color="auto" w:fill="FFFFFF"/>
            <w:tcMar>
              <w:top w:w="40" w:type="dxa"/>
              <w:left w:w="0" w:type="dxa"/>
              <w:bottom w:w="40" w:type="dxa"/>
              <w:right w:w="20" w:type="dxa"/>
            </w:tcMar>
            <w:vAlign w:val="bottom"/>
          </w:tcPr>
          <w:p w14:paraId="5902A71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1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715" w14:textId="77777777" w:rsidR="0084406A" w:rsidRDefault="002B18AF">
            <w:pPr>
              <w:jc w:val="right"/>
              <w:textAlignment w:val="bottom"/>
            </w:pPr>
            <w:r>
              <w:rPr>
                <w:rFonts w:ascii="Arial" w:eastAsia="宋体" w:hAnsi="Arial" w:cs="Arial"/>
                <w:color w:val="000000"/>
                <w:sz w:val="20"/>
                <w:szCs w:val="20"/>
              </w:rPr>
              <w:t>229 </w:t>
            </w:r>
          </w:p>
        </w:tc>
        <w:tc>
          <w:tcPr>
            <w:tcW w:w="0" w:type="auto"/>
            <w:shd w:val="clear" w:color="auto" w:fill="FFFFFF"/>
            <w:tcMar>
              <w:top w:w="40" w:type="dxa"/>
              <w:left w:w="0" w:type="dxa"/>
              <w:bottom w:w="40" w:type="dxa"/>
              <w:right w:w="20" w:type="dxa"/>
            </w:tcMar>
            <w:vAlign w:val="bottom"/>
          </w:tcPr>
          <w:p w14:paraId="5902A716" w14:textId="77777777" w:rsidR="0084406A" w:rsidRDefault="0084406A">
            <w:pPr>
              <w:jc w:val="right"/>
              <w:rPr>
                <w:rFonts w:ascii="宋体"/>
              </w:rPr>
            </w:pPr>
          </w:p>
        </w:tc>
      </w:tr>
      <w:tr w:rsidR="0084406A" w14:paraId="5902A71E" w14:textId="77777777">
        <w:tc>
          <w:tcPr>
            <w:tcW w:w="0" w:type="auto"/>
            <w:gridSpan w:val="3"/>
            <w:shd w:val="clear" w:color="auto" w:fill="CCEEFF"/>
            <w:tcMar>
              <w:top w:w="40" w:type="dxa"/>
              <w:left w:w="20" w:type="dxa"/>
              <w:bottom w:w="40" w:type="dxa"/>
              <w:right w:w="20" w:type="dxa"/>
            </w:tcMar>
            <w:vAlign w:val="bottom"/>
          </w:tcPr>
          <w:p w14:paraId="5902A718" w14:textId="77777777" w:rsidR="0084406A" w:rsidRDefault="002B18AF">
            <w:pPr>
              <w:textAlignment w:val="bottom"/>
            </w:pPr>
            <w:r>
              <w:rPr>
                <w:rFonts w:ascii="Arial" w:eastAsia="宋体" w:hAnsi="Arial" w:cs="Arial"/>
                <w:color w:val="000000"/>
                <w:sz w:val="20"/>
                <w:szCs w:val="20"/>
              </w:rPr>
              <w:t xml:space="preserve">Other </w:t>
            </w:r>
          </w:p>
        </w:tc>
        <w:tc>
          <w:tcPr>
            <w:tcW w:w="0" w:type="auto"/>
            <w:gridSpan w:val="2"/>
            <w:shd w:val="clear" w:color="auto" w:fill="CCEEFF"/>
            <w:tcMar>
              <w:top w:w="40" w:type="dxa"/>
              <w:left w:w="20" w:type="dxa"/>
              <w:bottom w:w="40" w:type="dxa"/>
              <w:right w:w="0" w:type="dxa"/>
            </w:tcMar>
            <w:vAlign w:val="bottom"/>
          </w:tcPr>
          <w:p w14:paraId="5902A719" w14:textId="77777777" w:rsidR="0084406A" w:rsidRDefault="002B18AF">
            <w:pPr>
              <w:jc w:val="right"/>
              <w:textAlignment w:val="bottom"/>
            </w:pPr>
            <w:r>
              <w:rPr>
                <w:rFonts w:ascii="Arial" w:eastAsia="宋体" w:hAnsi="Arial" w:cs="Arial"/>
                <w:color w:val="000000"/>
                <w:sz w:val="20"/>
                <w:szCs w:val="20"/>
              </w:rPr>
              <w:t>234 </w:t>
            </w:r>
          </w:p>
        </w:tc>
        <w:tc>
          <w:tcPr>
            <w:tcW w:w="0" w:type="auto"/>
            <w:shd w:val="clear" w:color="auto" w:fill="CCEEFF"/>
            <w:tcMar>
              <w:top w:w="40" w:type="dxa"/>
              <w:left w:w="0" w:type="dxa"/>
              <w:bottom w:w="40" w:type="dxa"/>
              <w:right w:w="20" w:type="dxa"/>
            </w:tcMar>
            <w:vAlign w:val="bottom"/>
          </w:tcPr>
          <w:p w14:paraId="5902A71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1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71C" w14:textId="77777777" w:rsidR="0084406A" w:rsidRDefault="002B18AF">
            <w:pPr>
              <w:jc w:val="right"/>
              <w:textAlignment w:val="bottom"/>
            </w:pPr>
            <w:r>
              <w:rPr>
                <w:rFonts w:ascii="Arial" w:eastAsia="宋体" w:hAnsi="Arial" w:cs="Arial"/>
                <w:color w:val="000000"/>
                <w:sz w:val="20"/>
                <w:szCs w:val="20"/>
              </w:rPr>
              <w:t>144 </w:t>
            </w:r>
          </w:p>
        </w:tc>
        <w:tc>
          <w:tcPr>
            <w:tcW w:w="0" w:type="auto"/>
            <w:shd w:val="clear" w:color="auto" w:fill="CCEEFF"/>
            <w:tcMar>
              <w:top w:w="40" w:type="dxa"/>
              <w:left w:w="0" w:type="dxa"/>
              <w:bottom w:w="40" w:type="dxa"/>
              <w:right w:w="20" w:type="dxa"/>
            </w:tcMar>
            <w:vAlign w:val="bottom"/>
          </w:tcPr>
          <w:p w14:paraId="5902A71D" w14:textId="77777777" w:rsidR="0084406A" w:rsidRDefault="0084406A">
            <w:pPr>
              <w:jc w:val="right"/>
              <w:rPr>
                <w:rFonts w:ascii="宋体"/>
              </w:rPr>
            </w:pPr>
          </w:p>
        </w:tc>
      </w:tr>
      <w:tr w:rsidR="0084406A" w14:paraId="5902A727" w14:textId="77777777">
        <w:tc>
          <w:tcPr>
            <w:tcW w:w="0" w:type="auto"/>
            <w:gridSpan w:val="3"/>
            <w:shd w:val="clear" w:color="auto" w:fill="FFFFFF"/>
            <w:tcMar>
              <w:top w:w="40" w:type="dxa"/>
              <w:left w:w="20" w:type="dxa"/>
              <w:bottom w:w="40" w:type="dxa"/>
              <w:right w:w="20" w:type="dxa"/>
            </w:tcMar>
            <w:vAlign w:val="bottom"/>
          </w:tcPr>
          <w:p w14:paraId="5902A71F" w14:textId="77777777" w:rsidR="0084406A" w:rsidRDefault="002B18AF">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72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721" w14:textId="77777777" w:rsidR="0084406A" w:rsidRDefault="002B18AF">
            <w:pPr>
              <w:jc w:val="right"/>
              <w:textAlignment w:val="bottom"/>
            </w:pPr>
            <w:r>
              <w:rPr>
                <w:rFonts w:ascii="Arial" w:eastAsia="宋体" w:hAnsi="Arial" w:cs="Arial"/>
                <w:color w:val="000000"/>
                <w:sz w:val="20"/>
                <w:szCs w:val="20"/>
              </w:rPr>
              <w:t>1,478 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72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23"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724"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725" w14:textId="77777777" w:rsidR="0084406A" w:rsidRDefault="002B18AF">
            <w:pPr>
              <w:jc w:val="right"/>
              <w:textAlignment w:val="bottom"/>
            </w:pPr>
            <w:r>
              <w:rPr>
                <w:rFonts w:ascii="Arial" w:eastAsia="宋体" w:hAnsi="Arial" w:cs="Arial"/>
                <w:color w:val="000000"/>
                <w:sz w:val="20"/>
                <w:szCs w:val="20"/>
              </w:rPr>
              <w:t>373 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726" w14:textId="77777777" w:rsidR="0084406A" w:rsidRDefault="0084406A">
            <w:pPr>
              <w:jc w:val="right"/>
              <w:rPr>
                <w:rFonts w:ascii="宋体"/>
              </w:rPr>
            </w:pPr>
          </w:p>
        </w:tc>
      </w:tr>
    </w:tbl>
    <w:p w14:paraId="5902A728" w14:textId="77777777" w:rsidR="0084406A" w:rsidRDefault="002B18AF">
      <w:pPr>
        <w:spacing w:before="180"/>
        <w:jc w:val="both"/>
      </w:pPr>
      <w:r>
        <w:rPr>
          <w:rFonts w:ascii="Arial" w:eastAsia="宋体" w:hAnsi="Arial" w:cs="Arial"/>
          <w:color w:val="000000"/>
          <w:sz w:val="20"/>
          <w:szCs w:val="20"/>
        </w:rPr>
        <w:t xml:space="preserve">Prepaid long-term supply agreements relate to payments made to vendors to secure </w:t>
      </w:r>
      <w:r>
        <w:rPr>
          <w:rFonts w:ascii="Arial" w:eastAsia="宋体" w:hAnsi="Arial" w:cs="Arial"/>
          <w:color w:val="000000"/>
          <w:sz w:val="20"/>
          <w:szCs w:val="20"/>
        </w:rPr>
        <w:t>long-term supply capacity.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84406A" w14:paraId="5902A735" w14:textId="77777777">
        <w:trPr>
          <w:jc w:val="center"/>
        </w:trPr>
        <w:tc>
          <w:tcPr>
            <w:tcW w:w="50" w:type="pct"/>
            <w:shd w:val="clear" w:color="auto" w:fill="auto"/>
            <w:vAlign w:val="bottom"/>
          </w:tcPr>
          <w:p w14:paraId="5902A729" w14:textId="77777777" w:rsidR="0084406A" w:rsidRDefault="0084406A">
            <w:pPr>
              <w:rPr>
                <w:rFonts w:ascii="宋体"/>
              </w:rPr>
            </w:pPr>
          </w:p>
        </w:tc>
        <w:tc>
          <w:tcPr>
            <w:tcW w:w="3197" w:type="pct"/>
            <w:shd w:val="clear" w:color="auto" w:fill="auto"/>
            <w:vAlign w:val="bottom"/>
          </w:tcPr>
          <w:p w14:paraId="5902A72A" w14:textId="77777777" w:rsidR="0084406A" w:rsidRDefault="0084406A">
            <w:pPr>
              <w:rPr>
                <w:rFonts w:ascii="宋体"/>
              </w:rPr>
            </w:pPr>
          </w:p>
        </w:tc>
        <w:tc>
          <w:tcPr>
            <w:tcW w:w="5" w:type="pct"/>
            <w:shd w:val="clear" w:color="auto" w:fill="auto"/>
            <w:vAlign w:val="bottom"/>
          </w:tcPr>
          <w:p w14:paraId="5902A72B" w14:textId="77777777" w:rsidR="0084406A" w:rsidRDefault="0084406A">
            <w:pPr>
              <w:rPr>
                <w:rFonts w:ascii="宋体"/>
              </w:rPr>
            </w:pPr>
          </w:p>
        </w:tc>
        <w:tc>
          <w:tcPr>
            <w:tcW w:w="50" w:type="pct"/>
            <w:shd w:val="clear" w:color="auto" w:fill="auto"/>
            <w:vAlign w:val="bottom"/>
          </w:tcPr>
          <w:p w14:paraId="5902A72C" w14:textId="77777777" w:rsidR="0084406A" w:rsidRDefault="0084406A">
            <w:pPr>
              <w:rPr>
                <w:rFonts w:ascii="宋体"/>
              </w:rPr>
            </w:pPr>
          </w:p>
        </w:tc>
        <w:tc>
          <w:tcPr>
            <w:tcW w:w="800" w:type="pct"/>
            <w:shd w:val="clear" w:color="auto" w:fill="auto"/>
            <w:vAlign w:val="bottom"/>
          </w:tcPr>
          <w:p w14:paraId="5902A72D" w14:textId="77777777" w:rsidR="0084406A" w:rsidRDefault="0084406A">
            <w:pPr>
              <w:rPr>
                <w:rFonts w:ascii="宋体"/>
              </w:rPr>
            </w:pPr>
          </w:p>
        </w:tc>
        <w:tc>
          <w:tcPr>
            <w:tcW w:w="5" w:type="pct"/>
            <w:shd w:val="clear" w:color="auto" w:fill="auto"/>
            <w:vAlign w:val="bottom"/>
          </w:tcPr>
          <w:p w14:paraId="5902A72E" w14:textId="77777777" w:rsidR="0084406A" w:rsidRDefault="0084406A">
            <w:pPr>
              <w:rPr>
                <w:rFonts w:ascii="宋体"/>
              </w:rPr>
            </w:pPr>
          </w:p>
        </w:tc>
        <w:tc>
          <w:tcPr>
            <w:tcW w:w="5" w:type="pct"/>
            <w:shd w:val="clear" w:color="auto" w:fill="auto"/>
            <w:vAlign w:val="bottom"/>
          </w:tcPr>
          <w:p w14:paraId="5902A72F" w14:textId="77777777" w:rsidR="0084406A" w:rsidRDefault="0084406A">
            <w:pPr>
              <w:rPr>
                <w:rFonts w:ascii="宋体"/>
              </w:rPr>
            </w:pPr>
          </w:p>
        </w:tc>
        <w:tc>
          <w:tcPr>
            <w:tcW w:w="26" w:type="pct"/>
            <w:shd w:val="clear" w:color="auto" w:fill="auto"/>
            <w:vAlign w:val="bottom"/>
          </w:tcPr>
          <w:p w14:paraId="5902A730" w14:textId="77777777" w:rsidR="0084406A" w:rsidRDefault="0084406A">
            <w:pPr>
              <w:rPr>
                <w:rFonts w:ascii="宋体"/>
              </w:rPr>
            </w:pPr>
          </w:p>
        </w:tc>
        <w:tc>
          <w:tcPr>
            <w:tcW w:w="5" w:type="pct"/>
            <w:shd w:val="clear" w:color="auto" w:fill="auto"/>
            <w:vAlign w:val="bottom"/>
          </w:tcPr>
          <w:p w14:paraId="5902A731" w14:textId="77777777" w:rsidR="0084406A" w:rsidRDefault="0084406A">
            <w:pPr>
              <w:rPr>
                <w:rFonts w:ascii="宋体"/>
              </w:rPr>
            </w:pPr>
          </w:p>
        </w:tc>
        <w:tc>
          <w:tcPr>
            <w:tcW w:w="50" w:type="pct"/>
            <w:shd w:val="clear" w:color="auto" w:fill="auto"/>
            <w:vAlign w:val="bottom"/>
          </w:tcPr>
          <w:p w14:paraId="5902A732" w14:textId="77777777" w:rsidR="0084406A" w:rsidRDefault="0084406A">
            <w:pPr>
              <w:rPr>
                <w:rFonts w:ascii="宋体"/>
              </w:rPr>
            </w:pPr>
          </w:p>
        </w:tc>
        <w:tc>
          <w:tcPr>
            <w:tcW w:w="800" w:type="pct"/>
            <w:shd w:val="clear" w:color="auto" w:fill="auto"/>
            <w:vAlign w:val="bottom"/>
          </w:tcPr>
          <w:p w14:paraId="5902A733" w14:textId="77777777" w:rsidR="0084406A" w:rsidRDefault="0084406A">
            <w:pPr>
              <w:rPr>
                <w:rFonts w:ascii="宋体"/>
              </w:rPr>
            </w:pPr>
          </w:p>
        </w:tc>
        <w:tc>
          <w:tcPr>
            <w:tcW w:w="5" w:type="pct"/>
            <w:shd w:val="clear" w:color="auto" w:fill="auto"/>
            <w:vAlign w:val="bottom"/>
          </w:tcPr>
          <w:p w14:paraId="5902A734" w14:textId="77777777" w:rsidR="0084406A" w:rsidRDefault="0084406A">
            <w:pPr>
              <w:rPr>
                <w:rFonts w:ascii="宋体"/>
              </w:rPr>
            </w:pPr>
          </w:p>
        </w:tc>
      </w:tr>
      <w:tr w:rsidR="0084406A" w14:paraId="5902A73A" w14:textId="77777777">
        <w:trPr>
          <w:jc w:val="center"/>
        </w:trPr>
        <w:tc>
          <w:tcPr>
            <w:tcW w:w="0" w:type="auto"/>
            <w:gridSpan w:val="3"/>
            <w:shd w:val="clear" w:color="auto" w:fill="auto"/>
            <w:tcMar>
              <w:top w:w="40" w:type="dxa"/>
              <w:left w:w="20" w:type="dxa"/>
              <w:bottom w:w="40" w:type="dxa"/>
              <w:right w:w="20" w:type="dxa"/>
            </w:tcMar>
            <w:vAlign w:val="bottom"/>
          </w:tcPr>
          <w:p w14:paraId="5902A736" w14:textId="77777777" w:rsidR="0084406A" w:rsidRDefault="002B18AF">
            <w:pPr>
              <w:spacing w:before="180"/>
              <w:textAlignment w:val="bottom"/>
            </w:pPr>
            <w:r>
              <w:rPr>
                <w:rFonts w:ascii="Arial" w:eastAsia="宋体" w:hAnsi="Arial" w:cs="Arial"/>
                <w:b/>
                <w:bCs/>
                <w:i/>
                <w:iCs/>
                <w:color w:val="000000"/>
                <w:sz w:val="20"/>
                <w:szCs w:val="20"/>
              </w:rPr>
              <w:t>Accrued Liabilities</w:t>
            </w:r>
          </w:p>
        </w:tc>
        <w:tc>
          <w:tcPr>
            <w:tcW w:w="0" w:type="auto"/>
            <w:gridSpan w:val="3"/>
            <w:shd w:val="clear" w:color="auto" w:fill="auto"/>
            <w:tcMar>
              <w:top w:w="40" w:type="dxa"/>
              <w:left w:w="20" w:type="dxa"/>
              <w:bottom w:w="40" w:type="dxa"/>
              <w:right w:w="20" w:type="dxa"/>
            </w:tcMar>
            <w:vAlign w:val="bottom"/>
          </w:tcPr>
          <w:p w14:paraId="5902A737"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738"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739"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73D" w14:textId="77777777">
        <w:trPr>
          <w:jc w:val="center"/>
        </w:trPr>
        <w:tc>
          <w:tcPr>
            <w:tcW w:w="0" w:type="auto"/>
            <w:gridSpan w:val="3"/>
            <w:shd w:val="clear" w:color="auto" w:fill="auto"/>
            <w:tcMar>
              <w:top w:w="40" w:type="dxa"/>
              <w:left w:w="20" w:type="dxa"/>
              <w:bottom w:w="40" w:type="dxa"/>
              <w:right w:w="20" w:type="dxa"/>
            </w:tcMar>
            <w:vAlign w:val="bottom"/>
          </w:tcPr>
          <w:p w14:paraId="5902A73B"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73C"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746" w14:textId="77777777">
        <w:trPr>
          <w:jc w:val="center"/>
        </w:trPr>
        <w:tc>
          <w:tcPr>
            <w:tcW w:w="0" w:type="auto"/>
            <w:gridSpan w:val="3"/>
            <w:shd w:val="clear" w:color="auto" w:fill="CCEEFF"/>
            <w:tcMar>
              <w:top w:w="40" w:type="dxa"/>
              <w:left w:w="20" w:type="dxa"/>
              <w:bottom w:w="40" w:type="dxa"/>
              <w:right w:w="20" w:type="dxa"/>
            </w:tcMar>
            <w:vAlign w:val="bottom"/>
          </w:tcPr>
          <w:p w14:paraId="5902A73E" w14:textId="77777777" w:rsidR="0084406A" w:rsidRDefault="002B18AF">
            <w:pPr>
              <w:textAlignment w:val="bottom"/>
            </w:pPr>
            <w:r>
              <w:rPr>
                <w:rFonts w:ascii="Arial" w:eastAsia="宋体" w:hAnsi="Arial" w:cs="Arial"/>
                <w:color w:val="000000"/>
                <w:sz w:val="20"/>
                <w:szCs w:val="20"/>
              </w:rPr>
              <w:t>Accrued marketing programs</w:t>
            </w:r>
          </w:p>
        </w:tc>
        <w:tc>
          <w:tcPr>
            <w:tcW w:w="0" w:type="auto"/>
            <w:shd w:val="clear" w:color="auto" w:fill="CCEEFF"/>
            <w:tcMar>
              <w:top w:w="40" w:type="dxa"/>
              <w:left w:w="20" w:type="dxa"/>
              <w:bottom w:w="40" w:type="dxa"/>
              <w:right w:w="0" w:type="dxa"/>
            </w:tcMar>
            <w:vAlign w:val="bottom"/>
          </w:tcPr>
          <w:p w14:paraId="5902A73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40" w14:textId="77777777" w:rsidR="0084406A" w:rsidRDefault="002B18AF">
            <w:pPr>
              <w:jc w:val="right"/>
              <w:textAlignment w:val="bottom"/>
            </w:pPr>
            <w:r>
              <w:rPr>
                <w:rFonts w:ascii="Arial" w:eastAsia="宋体" w:hAnsi="Arial" w:cs="Arial"/>
                <w:color w:val="000000"/>
                <w:sz w:val="20"/>
                <w:szCs w:val="20"/>
              </w:rPr>
              <w:t>933 </w:t>
            </w:r>
          </w:p>
        </w:tc>
        <w:tc>
          <w:tcPr>
            <w:tcW w:w="0" w:type="auto"/>
            <w:shd w:val="clear" w:color="auto" w:fill="CCEEFF"/>
            <w:tcMar>
              <w:top w:w="40" w:type="dxa"/>
              <w:left w:w="0" w:type="dxa"/>
              <w:bottom w:w="40" w:type="dxa"/>
              <w:right w:w="20" w:type="dxa"/>
            </w:tcMar>
            <w:vAlign w:val="bottom"/>
          </w:tcPr>
          <w:p w14:paraId="5902A74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42"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74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44" w14:textId="77777777" w:rsidR="0084406A" w:rsidRDefault="002B18AF">
            <w:pPr>
              <w:jc w:val="right"/>
              <w:textAlignment w:val="bottom"/>
            </w:pPr>
            <w:r>
              <w:rPr>
                <w:rFonts w:ascii="Arial" w:eastAsia="宋体" w:hAnsi="Arial" w:cs="Arial"/>
                <w:color w:val="000000"/>
                <w:sz w:val="20"/>
                <w:szCs w:val="20"/>
              </w:rPr>
              <w:t>839 </w:t>
            </w:r>
          </w:p>
        </w:tc>
        <w:tc>
          <w:tcPr>
            <w:tcW w:w="0" w:type="auto"/>
            <w:shd w:val="clear" w:color="auto" w:fill="CCEEFF"/>
            <w:tcMar>
              <w:top w:w="40" w:type="dxa"/>
              <w:left w:w="0" w:type="dxa"/>
              <w:bottom w:w="40" w:type="dxa"/>
              <w:right w:w="20" w:type="dxa"/>
            </w:tcMar>
            <w:vAlign w:val="bottom"/>
          </w:tcPr>
          <w:p w14:paraId="5902A745" w14:textId="77777777" w:rsidR="0084406A" w:rsidRDefault="0084406A">
            <w:pPr>
              <w:jc w:val="right"/>
              <w:rPr>
                <w:rFonts w:ascii="宋体"/>
              </w:rPr>
            </w:pPr>
          </w:p>
        </w:tc>
      </w:tr>
      <w:tr w:rsidR="0084406A" w14:paraId="5902A74D" w14:textId="77777777">
        <w:trPr>
          <w:jc w:val="center"/>
        </w:trPr>
        <w:tc>
          <w:tcPr>
            <w:tcW w:w="0" w:type="auto"/>
            <w:gridSpan w:val="3"/>
            <w:shd w:val="clear" w:color="auto" w:fill="FFFFFF"/>
            <w:tcMar>
              <w:top w:w="40" w:type="dxa"/>
              <w:left w:w="20" w:type="dxa"/>
              <w:bottom w:w="40" w:type="dxa"/>
              <w:right w:w="20" w:type="dxa"/>
            </w:tcMar>
            <w:vAlign w:val="bottom"/>
          </w:tcPr>
          <w:p w14:paraId="5902A747" w14:textId="77777777" w:rsidR="0084406A" w:rsidRDefault="002B18AF">
            <w:pPr>
              <w:textAlignment w:val="bottom"/>
            </w:pPr>
            <w:r>
              <w:rPr>
                <w:rFonts w:ascii="Arial" w:eastAsia="宋体" w:hAnsi="Arial" w:cs="Arial"/>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5902A748" w14:textId="77777777" w:rsidR="0084406A" w:rsidRDefault="002B18AF">
            <w:pPr>
              <w:jc w:val="right"/>
              <w:textAlignment w:val="bottom"/>
            </w:pPr>
            <w:r>
              <w:rPr>
                <w:rFonts w:ascii="Arial" w:eastAsia="宋体" w:hAnsi="Arial" w:cs="Arial"/>
                <w:color w:val="000000"/>
                <w:sz w:val="20"/>
                <w:szCs w:val="20"/>
              </w:rPr>
              <w:t>705 </w:t>
            </w:r>
          </w:p>
        </w:tc>
        <w:tc>
          <w:tcPr>
            <w:tcW w:w="0" w:type="auto"/>
            <w:shd w:val="clear" w:color="auto" w:fill="FFFFFF"/>
            <w:tcMar>
              <w:top w:w="40" w:type="dxa"/>
              <w:left w:w="0" w:type="dxa"/>
              <w:bottom w:w="40" w:type="dxa"/>
              <w:right w:w="20" w:type="dxa"/>
            </w:tcMar>
            <w:vAlign w:val="bottom"/>
          </w:tcPr>
          <w:p w14:paraId="5902A74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4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74B" w14:textId="77777777" w:rsidR="0084406A" w:rsidRDefault="002B18AF">
            <w:pPr>
              <w:jc w:val="right"/>
              <w:textAlignment w:val="bottom"/>
            </w:pPr>
            <w:r>
              <w:rPr>
                <w:rFonts w:ascii="Arial" w:eastAsia="宋体"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5902A74C" w14:textId="77777777" w:rsidR="0084406A" w:rsidRDefault="0084406A">
            <w:pPr>
              <w:jc w:val="right"/>
              <w:rPr>
                <w:rFonts w:ascii="宋体"/>
              </w:rPr>
            </w:pPr>
          </w:p>
        </w:tc>
      </w:tr>
      <w:tr w:rsidR="0084406A" w14:paraId="5902A754" w14:textId="77777777">
        <w:trPr>
          <w:jc w:val="center"/>
        </w:trPr>
        <w:tc>
          <w:tcPr>
            <w:tcW w:w="0" w:type="auto"/>
            <w:gridSpan w:val="3"/>
            <w:shd w:val="clear" w:color="auto" w:fill="CCEEFF"/>
            <w:tcMar>
              <w:top w:w="40" w:type="dxa"/>
              <w:left w:w="20" w:type="dxa"/>
              <w:bottom w:w="40" w:type="dxa"/>
              <w:right w:w="20" w:type="dxa"/>
            </w:tcMar>
            <w:vAlign w:val="bottom"/>
          </w:tcPr>
          <w:p w14:paraId="5902A74E" w14:textId="77777777" w:rsidR="0084406A" w:rsidRDefault="002B18AF">
            <w:pPr>
              <w:textAlignment w:val="bottom"/>
            </w:pPr>
            <w:r>
              <w:rPr>
                <w:rFonts w:ascii="Arial" w:eastAsia="宋体" w:hAnsi="Arial" w:cs="Arial"/>
                <w:color w:val="000000"/>
                <w:sz w:val="20"/>
                <w:szCs w:val="20"/>
              </w:rPr>
              <w:t>Other accrued and current liabilities</w:t>
            </w:r>
          </w:p>
        </w:tc>
        <w:tc>
          <w:tcPr>
            <w:tcW w:w="0" w:type="auto"/>
            <w:gridSpan w:val="2"/>
            <w:shd w:val="clear" w:color="auto" w:fill="CCEEFF"/>
            <w:tcMar>
              <w:top w:w="40" w:type="dxa"/>
              <w:left w:w="20" w:type="dxa"/>
              <w:bottom w:w="40" w:type="dxa"/>
              <w:right w:w="0" w:type="dxa"/>
            </w:tcMar>
            <w:vAlign w:val="bottom"/>
          </w:tcPr>
          <w:p w14:paraId="5902A74F" w14:textId="77777777" w:rsidR="0084406A" w:rsidRDefault="002B18AF">
            <w:pPr>
              <w:jc w:val="right"/>
              <w:textAlignment w:val="bottom"/>
            </w:pPr>
            <w:r>
              <w:rPr>
                <w:rFonts w:ascii="Arial" w:eastAsia="宋体" w:hAnsi="Arial" w:cs="Arial"/>
                <w:color w:val="000000"/>
                <w:sz w:val="20"/>
                <w:szCs w:val="20"/>
              </w:rPr>
              <w:t>786 </w:t>
            </w:r>
          </w:p>
        </w:tc>
        <w:tc>
          <w:tcPr>
            <w:tcW w:w="0" w:type="auto"/>
            <w:shd w:val="clear" w:color="auto" w:fill="CCEEFF"/>
            <w:tcMar>
              <w:top w:w="40" w:type="dxa"/>
              <w:left w:w="0" w:type="dxa"/>
              <w:bottom w:w="40" w:type="dxa"/>
              <w:right w:w="20" w:type="dxa"/>
            </w:tcMar>
            <w:vAlign w:val="bottom"/>
          </w:tcPr>
          <w:p w14:paraId="5902A75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5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752" w14:textId="77777777" w:rsidR="0084406A" w:rsidRDefault="002B18AF">
            <w:pPr>
              <w:jc w:val="right"/>
              <w:textAlignment w:val="bottom"/>
            </w:pPr>
            <w:r>
              <w:rPr>
                <w:rFonts w:ascii="Arial" w:eastAsia="宋体" w:hAnsi="Arial" w:cs="Arial"/>
                <w:color w:val="000000"/>
                <w:sz w:val="20"/>
                <w:szCs w:val="20"/>
              </w:rPr>
              <w:t>444 </w:t>
            </w:r>
          </w:p>
        </w:tc>
        <w:tc>
          <w:tcPr>
            <w:tcW w:w="0" w:type="auto"/>
            <w:shd w:val="clear" w:color="auto" w:fill="CCEEFF"/>
            <w:tcMar>
              <w:top w:w="40" w:type="dxa"/>
              <w:left w:w="0" w:type="dxa"/>
              <w:bottom w:w="40" w:type="dxa"/>
              <w:right w:w="20" w:type="dxa"/>
            </w:tcMar>
            <w:vAlign w:val="bottom"/>
          </w:tcPr>
          <w:p w14:paraId="5902A753" w14:textId="77777777" w:rsidR="0084406A" w:rsidRDefault="0084406A">
            <w:pPr>
              <w:jc w:val="right"/>
              <w:rPr>
                <w:rFonts w:ascii="宋体"/>
              </w:rPr>
            </w:pPr>
          </w:p>
        </w:tc>
      </w:tr>
      <w:tr w:rsidR="0084406A" w14:paraId="5902A75D" w14:textId="77777777">
        <w:trPr>
          <w:jc w:val="center"/>
        </w:trPr>
        <w:tc>
          <w:tcPr>
            <w:tcW w:w="0" w:type="auto"/>
            <w:gridSpan w:val="3"/>
            <w:shd w:val="clear" w:color="auto" w:fill="FFFFFF"/>
            <w:tcMar>
              <w:top w:w="40" w:type="dxa"/>
              <w:left w:w="20" w:type="dxa"/>
              <w:bottom w:w="40" w:type="dxa"/>
              <w:right w:w="20" w:type="dxa"/>
            </w:tcMar>
            <w:vAlign w:val="bottom"/>
          </w:tcPr>
          <w:p w14:paraId="5902A755" w14:textId="77777777" w:rsidR="0084406A" w:rsidRDefault="002B18AF">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756"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757" w14:textId="77777777" w:rsidR="0084406A" w:rsidRDefault="002B18AF">
            <w:pPr>
              <w:jc w:val="right"/>
              <w:textAlignment w:val="bottom"/>
            </w:pPr>
            <w:r>
              <w:rPr>
                <w:rFonts w:ascii="Arial" w:eastAsia="宋体" w:hAnsi="Arial" w:cs="Arial"/>
                <w:color w:val="000000"/>
                <w:sz w:val="20"/>
                <w:szCs w:val="20"/>
              </w:rPr>
              <w:t>2,424 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75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59"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75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75B" w14:textId="77777777" w:rsidR="0084406A" w:rsidRDefault="002B18AF">
            <w:pPr>
              <w:jc w:val="right"/>
              <w:textAlignment w:val="bottom"/>
            </w:pPr>
            <w:r>
              <w:rPr>
                <w:rFonts w:ascii="Arial" w:eastAsia="宋体" w:hAnsi="Arial" w:cs="Arial"/>
                <w:color w:val="000000"/>
                <w:sz w:val="20"/>
                <w:szCs w:val="20"/>
              </w:rPr>
              <w:t>1,796 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75C" w14:textId="77777777" w:rsidR="0084406A" w:rsidRDefault="0084406A">
            <w:pPr>
              <w:jc w:val="right"/>
              <w:rPr>
                <w:rFonts w:ascii="宋体"/>
              </w:rPr>
            </w:pPr>
          </w:p>
        </w:tc>
      </w:tr>
    </w:tbl>
    <w:p w14:paraId="5902A75E" w14:textId="77777777" w:rsidR="0084406A" w:rsidRDefault="002B18AF">
      <w:pPr>
        <w:spacing w:before="180"/>
        <w:jc w:val="both"/>
      </w:pPr>
      <w:r>
        <w:rPr>
          <w:rFonts w:ascii="Arial" w:eastAsia="宋体" w:hAnsi="Arial" w:cs="Arial"/>
          <w:b/>
          <w:bCs/>
          <w:i/>
          <w:iCs/>
          <w:color w:val="000000"/>
          <w:sz w:val="20"/>
          <w:szCs w:val="20"/>
        </w:rPr>
        <w:t>Revenue</w:t>
      </w:r>
    </w:p>
    <w:p w14:paraId="5902A75F" w14:textId="77777777" w:rsidR="0084406A" w:rsidRDefault="002B18AF">
      <w:pPr>
        <w:spacing w:before="180"/>
        <w:jc w:val="both"/>
      </w:pPr>
      <w:r>
        <w:rPr>
          <w:rFonts w:ascii="Arial" w:eastAsia="宋体" w:hAnsi="Arial" w:cs="Arial"/>
          <w:color w:val="000000"/>
          <w:sz w:val="20"/>
          <w:szCs w:val="20"/>
        </w:rPr>
        <w:t xml:space="preserve">Revenue allocated to remaining performance obligations that are unsatisfied (or partially unsatisfied) include amounts received from customers and amounts that will be invoiced and </w:t>
      </w:r>
      <w:r>
        <w:rPr>
          <w:rFonts w:ascii="Arial" w:eastAsia="宋体" w:hAnsi="Arial" w:cs="Arial"/>
          <w:color w:val="000000"/>
          <w:sz w:val="20"/>
          <w:szCs w:val="20"/>
        </w:rPr>
        <w:t>recognized as revenue in future periods for development services, IP licensing and product revenue. As of December 25, 2021, the aggregate transaction price allocated to remaining performance obligations under contracts with an original expected duration o</w:t>
      </w:r>
      <w:r>
        <w:rPr>
          <w:rFonts w:ascii="Arial" w:eastAsia="宋体" w:hAnsi="Arial" w:cs="Arial"/>
          <w:color w:val="000000"/>
          <w:sz w:val="20"/>
          <w:szCs w:val="20"/>
        </w:rPr>
        <w:t>f more than one year was </w:t>
      </w:r>
      <w:r>
        <w:rPr>
          <w:rFonts w:ascii="Arial" w:eastAsia="宋体" w:hAnsi="Arial" w:cs="Arial"/>
          <w:color w:val="000000"/>
          <w:sz w:val="20"/>
          <w:szCs w:val="20"/>
          <w:shd w:val="clear" w:color="auto" w:fill="FFFFFF"/>
        </w:rPr>
        <w:t>$197 million</w:t>
      </w:r>
      <w:r>
        <w:rPr>
          <w:rFonts w:ascii="Arial" w:eastAsia="宋体" w:hAnsi="Arial" w:cs="Arial"/>
          <w:color w:val="000000"/>
          <w:sz w:val="20"/>
          <w:szCs w:val="20"/>
        </w:rPr>
        <w:t>, of which </w:t>
      </w:r>
      <w:r>
        <w:rPr>
          <w:rFonts w:ascii="Arial" w:eastAsia="宋体" w:hAnsi="Arial" w:cs="Arial"/>
          <w:color w:val="000000"/>
          <w:sz w:val="20"/>
          <w:szCs w:val="20"/>
          <w:shd w:val="clear" w:color="auto" w:fill="FFFFFF"/>
        </w:rPr>
        <w:t>$126 million</w:t>
      </w:r>
      <w:r>
        <w:rPr>
          <w:rFonts w:ascii="Arial" w:eastAsia="宋体" w:hAnsi="Arial" w:cs="Arial"/>
          <w:color w:val="000000"/>
          <w:sz w:val="20"/>
          <w:szCs w:val="20"/>
        </w:rPr>
        <w:t> is expected to be recognized in the next 12 months. The revenue allocated to remaining performance obligations does not include amounts which have an original expected duration of one year or les</w:t>
      </w:r>
      <w:r>
        <w:rPr>
          <w:rFonts w:ascii="Arial" w:eastAsia="宋体" w:hAnsi="Arial" w:cs="Arial"/>
          <w:color w:val="000000"/>
          <w:sz w:val="20"/>
          <w:szCs w:val="20"/>
        </w:rPr>
        <w:t>s.</w:t>
      </w:r>
    </w:p>
    <w:p w14:paraId="5902A760" w14:textId="77777777" w:rsidR="0084406A" w:rsidRDefault="002B18AF">
      <w:pPr>
        <w:spacing w:before="180"/>
        <w:jc w:val="both"/>
      </w:pPr>
      <w:r>
        <w:rPr>
          <w:rFonts w:ascii="Arial" w:eastAsia="宋体" w:hAnsi="Arial" w:cs="Arial"/>
          <w:color w:val="000000"/>
          <w:sz w:val="20"/>
          <w:szCs w:val="20"/>
        </w:rPr>
        <w:t xml:space="preserve">Revenue recognized over time associated with custom products and development services accounted for approximately </w:t>
      </w:r>
      <w:r>
        <w:rPr>
          <w:rFonts w:ascii="Arial" w:eastAsia="宋体" w:hAnsi="Arial" w:cs="Arial"/>
          <w:color w:val="000000"/>
          <w:sz w:val="20"/>
          <w:szCs w:val="20"/>
          <w:shd w:val="clear" w:color="auto" w:fill="FFFFFF"/>
        </w:rPr>
        <w:t>23%</w:t>
      </w:r>
      <w:r>
        <w:rPr>
          <w:rFonts w:ascii="Arial" w:eastAsia="宋体" w:hAnsi="Arial" w:cs="Arial"/>
          <w:color w:val="000000"/>
          <w:sz w:val="20"/>
          <w:szCs w:val="20"/>
        </w:rPr>
        <w:t>, 18% and 19% of the Company’s revenue in 2021, 2020 and 2019, respectively.</w:t>
      </w:r>
    </w:p>
    <w:p w14:paraId="5902A761" w14:textId="77777777" w:rsidR="0084406A" w:rsidRDefault="002B18AF">
      <w:pPr>
        <w:jc w:val="center"/>
      </w:pPr>
      <w:r>
        <w:rPr>
          <w:rFonts w:ascii="Arial" w:eastAsia="宋体" w:hAnsi="Arial" w:cs="Arial"/>
          <w:color w:val="000000"/>
          <w:sz w:val="20"/>
          <w:szCs w:val="20"/>
        </w:rPr>
        <w:t>59</w:t>
      </w:r>
    </w:p>
    <w:p w14:paraId="5902A762" w14:textId="77777777" w:rsidR="0084406A" w:rsidRDefault="002B18AF">
      <w:r>
        <w:pict w14:anchorId="5902BB31">
          <v:rect id="_x0000_i1086" style="width:415.3pt;height:1.5pt" o:hralign="center" o:hrstd="t" o:hr="t" fillcolor="#a0a0a0" stroked="f"/>
        </w:pict>
      </w:r>
    </w:p>
    <w:p w14:paraId="5902A763" w14:textId="77777777" w:rsidR="0084406A" w:rsidRDefault="0084406A"/>
    <w:p w14:paraId="5902A764" w14:textId="77777777" w:rsidR="0084406A" w:rsidRDefault="002B18AF">
      <w:pPr>
        <w:spacing w:before="280"/>
        <w:jc w:val="both"/>
      </w:pPr>
      <w:r>
        <w:rPr>
          <w:rFonts w:ascii="Arial" w:eastAsia="宋体" w:hAnsi="Arial" w:cs="Arial"/>
          <w:b/>
          <w:bCs/>
          <w:color w:val="000000"/>
          <w:sz w:val="20"/>
          <w:szCs w:val="20"/>
        </w:rPr>
        <w:t xml:space="preserve">NOTE 4 – Related Parties—Equity Joint </w:t>
      </w:r>
      <w:r>
        <w:rPr>
          <w:rFonts w:ascii="Arial" w:eastAsia="宋体" w:hAnsi="Arial" w:cs="Arial"/>
          <w:b/>
          <w:bCs/>
          <w:color w:val="000000"/>
          <w:sz w:val="20"/>
          <w:szCs w:val="20"/>
        </w:rPr>
        <w:t>Ventures</w:t>
      </w:r>
    </w:p>
    <w:p w14:paraId="5902A765" w14:textId="77777777" w:rsidR="0084406A" w:rsidRDefault="002B18AF">
      <w:pPr>
        <w:spacing w:before="180"/>
        <w:jc w:val="both"/>
      </w:pPr>
      <w:r>
        <w:rPr>
          <w:rFonts w:ascii="Arial" w:eastAsia="宋体" w:hAnsi="Arial" w:cs="Arial"/>
          <w:b/>
          <w:bCs/>
          <w:i/>
          <w:iCs/>
          <w:color w:val="000000"/>
          <w:sz w:val="20"/>
          <w:szCs w:val="20"/>
        </w:rPr>
        <w:t>ATMP Joint Venture</w:t>
      </w:r>
      <w:r>
        <w:rPr>
          <w:rFonts w:ascii="Arial" w:eastAsia="宋体" w:hAnsi="Arial" w:cs="Arial"/>
          <w:b/>
          <w:bCs/>
          <w:color w:val="000000"/>
          <w:sz w:val="20"/>
          <w:szCs w:val="20"/>
        </w:rPr>
        <w:t>s</w:t>
      </w:r>
    </w:p>
    <w:p w14:paraId="5902A766" w14:textId="77777777" w:rsidR="0084406A" w:rsidRDefault="002B18AF">
      <w:pPr>
        <w:spacing w:before="180"/>
        <w:jc w:val="both"/>
      </w:pPr>
      <w:r>
        <w:rPr>
          <w:rFonts w:ascii="Arial" w:eastAsia="宋体" w:hAnsi="Arial" w:cs="Arial"/>
          <w:color w:val="000000"/>
          <w:sz w:val="20"/>
          <w:szCs w:val="20"/>
        </w:rPr>
        <w:t>The Company holds a 15% equity interest in two joint ventures (collectively, the ATMP JV) with affiliates of Tongfu Microelectronics Co., Ltd, a Chinese joint stock company. The Company has no obligation to fund the ATMP JV. Th</w:t>
      </w:r>
      <w:r>
        <w:rPr>
          <w:rFonts w:ascii="Arial" w:eastAsia="宋体" w:hAnsi="Arial" w:cs="Arial"/>
          <w:color w:val="000000"/>
          <w:sz w:val="20"/>
          <w:szCs w:val="20"/>
        </w:rPr>
        <w:t>e Company accounts for its equity interests in the ATMP JV under the equity method of accounting due to its significant influence over the ATMP JV.</w:t>
      </w:r>
    </w:p>
    <w:p w14:paraId="5902A767" w14:textId="77777777" w:rsidR="0084406A" w:rsidRDefault="002B18AF">
      <w:pPr>
        <w:spacing w:before="180"/>
        <w:jc w:val="both"/>
      </w:pPr>
      <w:r>
        <w:rPr>
          <w:rFonts w:ascii="Arial" w:eastAsia="宋体" w:hAnsi="Arial" w:cs="Arial"/>
          <w:color w:val="000000"/>
          <w:sz w:val="20"/>
          <w:szCs w:val="20"/>
        </w:rPr>
        <w:t xml:space="preserve">The ATMP JV provides assembly, test, mark and packaging (ATMP) services to the Company. The Company assists </w:t>
      </w:r>
      <w:r>
        <w:rPr>
          <w:rFonts w:ascii="Arial" w:eastAsia="宋体" w:hAnsi="Arial" w:cs="Arial"/>
          <w:color w:val="000000"/>
          <w:sz w:val="20"/>
          <w:szCs w:val="20"/>
        </w:rPr>
        <w:t>the ATMP JV in its management of certain raw material inventory. The purchases from and resales to the ATMP JV of inventory under the Company’s inventory management program are reported within purchases and resales with the ATMP JV and do not impact the Co</w:t>
      </w:r>
      <w:r>
        <w:rPr>
          <w:rFonts w:ascii="Arial" w:eastAsia="宋体" w:hAnsi="Arial" w:cs="Arial"/>
          <w:color w:val="000000"/>
          <w:sz w:val="20"/>
          <w:szCs w:val="20"/>
        </w:rPr>
        <w:t>mpany’s consolidated statement of operations.</w:t>
      </w:r>
    </w:p>
    <w:p w14:paraId="5902A768" w14:textId="77777777" w:rsidR="0084406A" w:rsidRDefault="002B18AF">
      <w:pPr>
        <w:spacing w:before="180"/>
        <w:jc w:val="both"/>
      </w:pPr>
      <w:r>
        <w:rPr>
          <w:rFonts w:ascii="Arial" w:eastAsia="宋体" w:hAnsi="Arial" w:cs="Arial"/>
          <w:color w:val="000000"/>
          <w:sz w:val="20"/>
          <w:szCs w:val="20"/>
        </w:rPr>
        <w:t xml:space="preserve">The Company’s purchases from the ATMP JV during 2021 and 2020 amounted to </w:t>
      </w:r>
      <w:r>
        <w:rPr>
          <w:rFonts w:ascii="Arial" w:eastAsia="宋体" w:hAnsi="Arial" w:cs="Arial"/>
          <w:color w:val="000000"/>
          <w:sz w:val="20"/>
          <w:szCs w:val="20"/>
          <w:shd w:val="clear" w:color="auto" w:fill="FFFFFF"/>
        </w:rPr>
        <w:t>$1.1 billion</w:t>
      </w:r>
      <w:r>
        <w:rPr>
          <w:rFonts w:ascii="Arial" w:eastAsia="宋体" w:hAnsi="Arial" w:cs="Arial"/>
          <w:color w:val="000000"/>
          <w:sz w:val="20"/>
          <w:szCs w:val="20"/>
        </w:rPr>
        <w:t xml:space="preserve"> and $831 million, respectively. As of December 25, 2021 and December 26, 2020, the amounts payable to the ATMP JV were </w:t>
      </w:r>
      <w:r>
        <w:rPr>
          <w:rFonts w:ascii="Arial" w:eastAsia="宋体" w:hAnsi="Arial" w:cs="Arial"/>
          <w:color w:val="000000"/>
          <w:sz w:val="20"/>
          <w:szCs w:val="20"/>
          <w:shd w:val="clear" w:color="auto" w:fill="FFFFFF"/>
        </w:rPr>
        <w:t xml:space="preserve">$85 </w:t>
      </w:r>
      <w:r>
        <w:rPr>
          <w:rFonts w:ascii="Arial" w:eastAsia="宋体" w:hAnsi="Arial" w:cs="Arial"/>
          <w:color w:val="000000"/>
          <w:sz w:val="20"/>
          <w:szCs w:val="20"/>
          <w:shd w:val="clear" w:color="auto" w:fill="FFFFFF"/>
        </w:rPr>
        <w:t>million</w:t>
      </w:r>
      <w:r>
        <w:rPr>
          <w:rFonts w:ascii="Arial" w:eastAsia="宋体" w:hAnsi="Arial" w:cs="Arial"/>
          <w:color w:val="000000"/>
          <w:sz w:val="20"/>
          <w:szCs w:val="20"/>
        </w:rPr>
        <w:t xml:space="preserve"> and $78 million, respectively, and are included in Payables to related parties on the Company’s consolidated balance sheets. The Company’s resales to the ATMP JV during 2021 and 2020 amounted to </w:t>
      </w:r>
      <w:r>
        <w:rPr>
          <w:rFonts w:ascii="Arial" w:eastAsia="宋体" w:hAnsi="Arial" w:cs="Arial"/>
          <w:color w:val="000000"/>
          <w:sz w:val="20"/>
          <w:szCs w:val="20"/>
          <w:shd w:val="clear" w:color="auto" w:fill="FFFFFF"/>
        </w:rPr>
        <w:t>$28 million for each year</w:t>
      </w:r>
      <w:r>
        <w:rPr>
          <w:rFonts w:ascii="Arial" w:eastAsia="宋体" w:hAnsi="Arial" w:cs="Arial"/>
          <w:color w:val="000000"/>
          <w:sz w:val="20"/>
          <w:szCs w:val="20"/>
        </w:rPr>
        <w:t>. As of December 25, 2021 an</w:t>
      </w:r>
      <w:r>
        <w:rPr>
          <w:rFonts w:ascii="Arial" w:eastAsia="宋体" w:hAnsi="Arial" w:cs="Arial"/>
          <w:color w:val="000000"/>
          <w:sz w:val="20"/>
          <w:szCs w:val="20"/>
        </w:rPr>
        <w:t>d December 26, 2020, the Company had receivables from ATMP JV of </w:t>
      </w:r>
      <w:r>
        <w:rPr>
          <w:rFonts w:ascii="Arial" w:eastAsia="宋体" w:hAnsi="Arial" w:cs="Arial"/>
          <w:color w:val="000000"/>
          <w:sz w:val="20"/>
          <w:szCs w:val="20"/>
          <w:shd w:val="clear" w:color="auto" w:fill="FFFFFF"/>
        </w:rPr>
        <w:t>$2 million</w:t>
      </w:r>
      <w:r>
        <w:rPr>
          <w:rFonts w:ascii="Arial" w:eastAsia="宋体" w:hAnsi="Arial" w:cs="Arial"/>
          <w:color w:val="000000"/>
          <w:sz w:val="20"/>
          <w:szCs w:val="20"/>
        </w:rPr>
        <w:t xml:space="preserve"> and $10 million, respectively, included in Receivables from related parties on the Company’s consolidated balance sheets. </w:t>
      </w:r>
    </w:p>
    <w:p w14:paraId="5902A769" w14:textId="77777777" w:rsidR="0084406A" w:rsidRDefault="002B18AF">
      <w:pPr>
        <w:spacing w:before="180"/>
        <w:jc w:val="both"/>
      </w:pPr>
      <w:r>
        <w:rPr>
          <w:rFonts w:ascii="Arial" w:eastAsia="宋体" w:hAnsi="Arial" w:cs="Arial"/>
          <w:color w:val="000000"/>
          <w:sz w:val="20"/>
          <w:szCs w:val="20"/>
        </w:rPr>
        <w:t xml:space="preserve">During 2021, the Company recorded a gain of </w:t>
      </w:r>
      <w:r>
        <w:rPr>
          <w:rFonts w:ascii="Arial" w:eastAsia="宋体" w:hAnsi="Arial" w:cs="Arial"/>
          <w:color w:val="000000"/>
          <w:sz w:val="20"/>
          <w:szCs w:val="20"/>
          <w:shd w:val="clear" w:color="auto" w:fill="FFFFFF"/>
        </w:rPr>
        <w:t>$6 million</w:t>
      </w:r>
      <w:r>
        <w:rPr>
          <w:rFonts w:ascii="Arial" w:eastAsia="宋体" w:hAnsi="Arial" w:cs="Arial"/>
          <w:color w:val="000000"/>
          <w:sz w:val="20"/>
          <w:szCs w:val="20"/>
        </w:rPr>
        <w:t xml:space="preserve"> in</w:t>
      </w:r>
      <w:r>
        <w:rPr>
          <w:rFonts w:ascii="Arial" w:eastAsia="宋体" w:hAnsi="Arial" w:cs="Arial"/>
          <w:color w:val="000000"/>
          <w:sz w:val="20"/>
          <w:szCs w:val="20"/>
        </w:rPr>
        <w:t xml:space="preserve"> Equity income in investee on its consolidated statement of operations. During 2020, the Company recorded a gain of </w:t>
      </w:r>
      <w:r>
        <w:rPr>
          <w:rFonts w:ascii="Arial" w:eastAsia="宋体" w:hAnsi="Arial" w:cs="Arial"/>
          <w:color w:val="000000"/>
          <w:sz w:val="20"/>
          <w:szCs w:val="20"/>
          <w:shd w:val="clear" w:color="auto" w:fill="FFFFFF"/>
        </w:rPr>
        <w:t>$5 million</w:t>
      </w:r>
      <w:r>
        <w:rPr>
          <w:rFonts w:ascii="Arial" w:eastAsia="宋体" w:hAnsi="Arial" w:cs="Arial"/>
          <w:color w:val="000000"/>
          <w:sz w:val="20"/>
          <w:szCs w:val="20"/>
        </w:rPr>
        <w:t xml:space="preserve"> in Equity income in investee on its consolidated statement of operations. During 2019, the Company did not record any gain or los</w:t>
      </w:r>
      <w:r>
        <w:rPr>
          <w:rFonts w:ascii="Arial" w:eastAsia="宋体" w:hAnsi="Arial" w:cs="Arial"/>
          <w:color w:val="000000"/>
          <w:sz w:val="20"/>
          <w:szCs w:val="20"/>
        </w:rPr>
        <w:t xml:space="preserve">s in Equity income in investee. As of December 25, 2021 and December 26, 2020, the carrying value of the Company’s investment in the ATMP JV was approximately </w:t>
      </w:r>
      <w:r>
        <w:rPr>
          <w:rFonts w:ascii="Arial" w:eastAsia="宋体" w:hAnsi="Arial" w:cs="Arial"/>
          <w:color w:val="000000"/>
          <w:sz w:val="20"/>
          <w:szCs w:val="20"/>
          <w:shd w:val="clear" w:color="auto" w:fill="FFFFFF"/>
        </w:rPr>
        <w:t>$69 million</w:t>
      </w:r>
      <w:r>
        <w:rPr>
          <w:rFonts w:ascii="Arial" w:eastAsia="宋体" w:hAnsi="Arial" w:cs="Arial"/>
          <w:color w:val="000000"/>
          <w:sz w:val="20"/>
          <w:szCs w:val="20"/>
        </w:rPr>
        <w:t xml:space="preserve"> and $63 million, respectively.</w:t>
      </w:r>
    </w:p>
    <w:p w14:paraId="5902A76A" w14:textId="77777777" w:rsidR="0084406A" w:rsidRDefault="002B18AF">
      <w:pPr>
        <w:spacing w:before="180"/>
        <w:jc w:val="both"/>
      </w:pPr>
      <w:r>
        <w:rPr>
          <w:rFonts w:ascii="Arial" w:eastAsia="宋体" w:hAnsi="Arial" w:cs="Arial"/>
          <w:b/>
          <w:bCs/>
          <w:i/>
          <w:iCs/>
          <w:color w:val="000000"/>
          <w:sz w:val="20"/>
          <w:szCs w:val="20"/>
        </w:rPr>
        <w:t>THATIC Joint Ventures</w:t>
      </w:r>
    </w:p>
    <w:p w14:paraId="5902A76B" w14:textId="77777777" w:rsidR="0084406A" w:rsidRDefault="002B18AF">
      <w:pPr>
        <w:spacing w:before="180"/>
        <w:jc w:val="both"/>
      </w:pPr>
      <w:r>
        <w:rPr>
          <w:rFonts w:ascii="Arial" w:eastAsia="宋体" w:hAnsi="Arial" w:cs="Arial"/>
          <w:color w:val="000000"/>
          <w:sz w:val="20"/>
          <w:szCs w:val="20"/>
        </w:rPr>
        <w:t>The Company holds equity interes</w:t>
      </w:r>
      <w:r>
        <w:rPr>
          <w:rFonts w:ascii="Arial" w:eastAsia="宋体" w:hAnsi="Arial" w:cs="Arial"/>
          <w:color w:val="000000"/>
          <w:sz w:val="20"/>
          <w:szCs w:val="20"/>
        </w:rPr>
        <w:t>ts in two joint ventures (collectively, the THATIC JV) with Higon Information Technology Co., Ltd. (THATIC), a third-party Chinese entity. As of December 25, 2021 and December 26, 2020, the carrying value of the investment was zero.</w:t>
      </w:r>
    </w:p>
    <w:p w14:paraId="5902A76C" w14:textId="77777777" w:rsidR="0084406A" w:rsidRDefault="002B18AF">
      <w:pPr>
        <w:spacing w:before="180"/>
        <w:jc w:val="both"/>
      </w:pPr>
      <w:r>
        <w:rPr>
          <w:rFonts w:ascii="Arial" w:eastAsia="宋体" w:hAnsi="Arial" w:cs="Arial"/>
          <w:color w:val="000000"/>
          <w:sz w:val="20"/>
          <w:szCs w:val="20"/>
        </w:rPr>
        <w:t>In February 2016, the C</w:t>
      </w:r>
      <w:r>
        <w:rPr>
          <w:rFonts w:ascii="Arial" w:eastAsia="宋体" w:hAnsi="Arial" w:cs="Arial"/>
          <w:color w:val="000000"/>
          <w:sz w:val="20"/>
          <w:szCs w:val="20"/>
        </w:rPr>
        <w:t>ompany licensed certain of its intellectual property (Licensed IP) to the THATIC JV, payable over several years upon achievement of certain milestones. The Company also receives a royalty based on the sales of the THATIC JV’s products developed on the basi</w:t>
      </w:r>
      <w:r>
        <w:rPr>
          <w:rFonts w:ascii="Arial" w:eastAsia="宋体" w:hAnsi="Arial" w:cs="Arial"/>
          <w:color w:val="000000"/>
          <w:sz w:val="20"/>
          <w:szCs w:val="20"/>
        </w:rPr>
        <w:t xml:space="preserve">s of such Licensed IP. The Company classifies Licensed IP and royalty income associated with the February 2016 agreement as Licensing gain within operating income. During 2021, the Company recognized </w:t>
      </w:r>
      <w:r>
        <w:rPr>
          <w:rFonts w:ascii="Arial" w:eastAsia="宋体" w:hAnsi="Arial" w:cs="Arial"/>
          <w:color w:val="000000"/>
          <w:sz w:val="20"/>
          <w:szCs w:val="20"/>
          <w:shd w:val="clear" w:color="auto" w:fill="FFFFFF"/>
        </w:rPr>
        <w:t>$12 million</w:t>
      </w:r>
      <w:r>
        <w:rPr>
          <w:rFonts w:ascii="Arial" w:eastAsia="宋体" w:hAnsi="Arial" w:cs="Arial"/>
          <w:color w:val="000000"/>
          <w:sz w:val="20"/>
          <w:szCs w:val="20"/>
        </w:rPr>
        <w:t xml:space="preserve"> of licensing gain from royalty income under </w:t>
      </w:r>
      <w:r>
        <w:rPr>
          <w:rFonts w:ascii="Arial" w:eastAsia="宋体" w:hAnsi="Arial" w:cs="Arial"/>
          <w:color w:val="000000"/>
          <w:sz w:val="20"/>
          <w:szCs w:val="20"/>
        </w:rPr>
        <w:t>the agreement. The Company recognized $60 million as licensing gain associated with the Licensed IP during 2019. As of December 25, 2021 and December 26, 2020, the Company had no receivables from the THATIC JV.</w:t>
      </w:r>
    </w:p>
    <w:p w14:paraId="5902A76D" w14:textId="77777777" w:rsidR="0084406A" w:rsidRDefault="002B18AF">
      <w:pPr>
        <w:spacing w:before="180"/>
        <w:jc w:val="both"/>
      </w:pPr>
      <w:r>
        <w:rPr>
          <w:rFonts w:ascii="Arial" w:eastAsia="宋体" w:hAnsi="Arial" w:cs="Arial"/>
          <w:color w:val="000000"/>
          <w:sz w:val="20"/>
          <w:szCs w:val="20"/>
        </w:rPr>
        <w:t>In June 2019, the Bureau of Industry and Secu</w:t>
      </w:r>
      <w:r>
        <w:rPr>
          <w:rFonts w:ascii="Arial" w:eastAsia="宋体" w:hAnsi="Arial" w:cs="Arial"/>
          <w:color w:val="000000"/>
          <w:sz w:val="20"/>
          <w:szCs w:val="20"/>
        </w:rPr>
        <w:t xml:space="preserve">rity of the United States Department of Commerce added certain Chinese entities to the Entity List, including THATIC and the THATIC JV. The Company is complying with U.S. law pertaining to the Entity List designation. </w:t>
      </w:r>
    </w:p>
    <w:p w14:paraId="5902A76E" w14:textId="77777777" w:rsidR="0084406A" w:rsidRDefault="002B18AF">
      <w:pPr>
        <w:spacing w:before="280"/>
      </w:pPr>
      <w:r>
        <w:rPr>
          <w:rFonts w:ascii="Arial" w:eastAsia="宋体" w:hAnsi="Arial" w:cs="Arial"/>
          <w:b/>
          <w:bCs/>
          <w:color w:val="000000"/>
          <w:sz w:val="20"/>
          <w:szCs w:val="20"/>
        </w:rPr>
        <w:t>NOTE 5 – Goodwill</w:t>
      </w:r>
    </w:p>
    <w:p w14:paraId="5902A76F" w14:textId="77777777" w:rsidR="0084406A" w:rsidRDefault="002B18AF">
      <w:pPr>
        <w:spacing w:before="180"/>
        <w:jc w:val="both"/>
      </w:pPr>
      <w:r>
        <w:rPr>
          <w:rFonts w:ascii="Arial" w:eastAsia="宋体" w:hAnsi="Arial" w:cs="Arial"/>
          <w:color w:val="000000"/>
          <w:sz w:val="20"/>
          <w:szCs w:val="20"/>
        </w:rPr>
        <w:t>The carrying amount</w:t>
      </w:r>
      <w:r>
        <w:rPr>
          <w:rFonts w:ascii="Arial" w:eastAsia="宋体" w:hAnsi="Arial" w:cs="Arial"/>
          <w:color w:val="000000"/>
          <w:sz w:val="20"/>
          <w:szCs w:val="20"/>
        </w:rPr>
        <w:t xml:space="preserve"> of goodwill as of December 25, 2021 and December 26, 2020 was $289 million, which was allocated to reporting units within the Company’s Enterprise, Embedded and Semi-Custom segment. During the fourth quarter of 2021 and 2020, the Company conducted its ann</w:t>
      </w:r>
      <w:r>
        <w:rPr>
          <w:rFonts w:ascii="Arial" w:eastAsia="宋体" w:hAnsi="Arial" w:cs="Arial"/>
          <w:color w:val="000000"/>
          <w:sz w:val="20"/>
          <w:szCs w:val="20"/>
        </w:rPr>
        <w:t>ual impairment tests of goodwill and concluded that there was no goodwill impairment with respect to its reporting units.</w:t>
      </w:r>
    </w:p>
    <w:p w14:paraId="5902A770" w14:textId="77777777" w:rsidR="0084406A" w:rsidRDefault="002B18AF">
      <w:pPr>
        <w:jc w:val="center"/>
      </w:pPr>
      <w:r>
        <w:rPr>
          <w:rFonts w:ascii="Arial" w:eastAsia="宋体" w:hAnsi="Arial" w:cs="Arial"/>
          <w:color w:val="000000"/>
          <w:sz w:val="20"/>
          <w:szCs w:val="20"/>
        </w:rPr>
        <w:t>60</w:t>
      </w:r>
    </w:p>
    <w:p w14:paraId="5902A771" w14:textId="77777777" w:rsidR="0084406A" w:rsidRDefault="002B18AF">
      <w:r>
        <w:pict w14:anchorId="5902BB32">
          <v:rect id="_x0000_i1087" style="width:415.3pt;height:1.5pt" o:hralign="center" o:hrstd="t" o:hr="t" fillcolor="#a0a0a0" stroked="f"/>
        </w:pict>
      </w:r>
    </w:p>
    <w:p w14:paraId="5902A772" w14:textId="77777777" w:rsidR="0084406A" w:rsidRDefault="0084406A"/>
    <w:p w14:paraId="5902A773" w14:textId="77777777" w:rsidR="0084406A" w:rsidRDefault="002B18AF">
      <w:pPr>
        <w:spacing w:before="280"/>
        <w:jc w:val="both"/>
      </w:pPr>
      <w:r>
        <w:rPr>
          <w:rFonts w:ascii="Arial" w:eastAsia="宋体" w:hAnsi="Arial" w:cs="Arial"/>
          <w:b/>
          <w:bCs/>
          <w:color w:val="000000"/>
          <w:sz w:val="20"/>
          <w:szCs w:val="20"/>
        </w:rPr>
        <w:t xml:space="preserve">NOTE 6 – Debt and Revolving Credit Facility </w:t>
      </w:r>
    </w:p>
    <w:p w14:paraId="5902A774" w14:textId="77777777" w:rsidR="0084406A" w:rsidRDefault="002B18AF">
      <w:pPr>
        <w:spacing w:before="180"/>
        <w:jc w:val="both"/>
      </w:pPr>
      <w:r>
        <w:rPr>
          <w:rFonts w:ascii="Arial" w:eastAsia="宋体" w:hAnsi="Arial" w:cs="Arial"/>
          <w:b/>
          <w:bCs/>
          <w:i/>
          <w:iCs/>
          <w:color w:val="000000"/>
          <w:sz w:val="20"/>
          <w:szCs w:val="20"/>
        </w:rPr>
        <w:t>Debt</w:t>
      </w:r>
    </w:p>
    <w:p w14:paraId="5902A775" w14:textId="77777777" w:rsidR="0084406A" w:rsidRDefault="002B18AF">
      <w:pPr>
        <w:spacing w:before="180"/>
        <w:jc w:val="both"/>
      </w:pPr>
      <w:r>
        <w:rPr>
          <w:rFonts w:ascii="Arial" w:eastAsia="宋体" w:hAnsi="Arial" w:cs="Arial"/>
          <w:color w:val="000000"/>
          <w:sz w:val="20"/>
          <w:szCs w:val="20"/>
        </w:rPr>
        <w:t>The Company’s total debt as of December 25, 2021 and December 26, 2020 consist</w:t>
      </w:r>
      <w:r>
        <w:rPr>
          <w:rFonts w:ascii="Arial" w:eastAsia="宋体" w:hAnsi="Arial" w:cs="Arial"/>
          <w:color w:val="000000"/>
          <w:sz w:val="20"/>
          <w:szCs w:val="20"/>
        </w:rPr>
        <w:t>ed of:</w:t>
      </w:r>
    </w:p>
    <w:tbl>
      <w:tblPr>
        <w:tblW w:w="5000" w:type="pct"/>
        <w:tblCellMar>
          <w:top w:w="15" w:type="dxa"/>
          <w:left w:w="15" w:type="dxa"/>
          <w:bottom w:w="15" w:type="dxa"/>
          <w:right w:w="15" w:type="dxa"/>
        </w:tblCellMar>
        <w:tblLook w:val="04A0" w:firstRow="1" w:lastRow="0" w:firstColumn="1" w:lastColumn="0" w:noHBand="0" w:noVBand="1"/>
      </w:tblPr>
      <w:tblGrid>
        <w:gridCol w:w="39"/>
        <w:gridCol w:w="5280"/>
        <w:gridCol w:w="38"/>
        <w:gridCol w:w="133"/>
        <w:gridCol w:w="1286"/>
        <w:gridCol w:w="36"/>
        <w:gridCol w:w="36"/>
        <w:gridCol w:w="36"/>
        <w:gridCol w:w="36"/>
        <w:gridCol w:w="133"/>
        <w:gridCol w:w="1247"/>
        <w:gridCol w:w="36"/>
      </w:tblGrid>
      <w:tr w:rsidR="0084406A" w14:paraId="5902A782" w14:textId="77777777">
        <w:tc>
          <w:tcPr>
            <w:tcW w:w="50" w:type="pct"/>
            <w:shd w:val="clear" w:color="auto" w:fill="auto"/>
            <w:vAlign w:val="bottom"/>
          </w:tcPr>
          <w:p w14:paraId="5902A776" w14:textId="77777777" w:rsidR="0084406A" w:rsidRDefault="0084406A">
            <w:pPr>
              <w:rPr>
                <w:rFonts w:ascii="宋体"/>
              </w:rPr>
            </w:pPr>
          </w:p>
        </w:tc>
        <w:tc>
          <w:tcPr>
            <w:tcW w:w="3197" w:type="pct"/>
            <w:shd w:val="clear" w:color="auto" w:fill="auto"/>
            <w:vAlign w:val="bottom"/>
          </w:tcPr>
          <w:p w14:paraId="5902A777" w14:textId="77777777" w:rsidR="0084406A" w:rsidRDefault="0084406A">
            <w:pPr>
              <w:rPr>
                <w:rFonts w:ascii="宋体"/>
              </w:rPr>
            </w:pPr>
          </w:p>
        </w:tc>
        <w:tc>
          <w:tcPr>
            <w:tcW w:w="5" w:type="pct"/>
            <w:shd w:val="clear" w:color="auto" w:fill="auto"/>
            <w:vAlign w:val="bottom"/>
          </w:tcPr>
          <w:p w14:paraId="5902A778" w14:textId="77777777" w:rsidR="0084406A" w:rsidRDefault="0084406A">
            <w:pPr>
              <w:rPr>
                <w:rFonts w:ascii="宋体"/>
              </w:rPr>
            </w:pPr>
          </w:p>
        </w:tc>
        <w:tc>
          <w:tcPr>
            <w:tcW w:w="50" w:type="pct"/>
            <w:shd w:val="clear" w:color="auto" w:fill="auto"/>
            <w:vAlign w:val="bottom"/>
          </w:tcPr>
          <w:p w14:paraId="5902A779" w14:textId="77777777" w:rsidR="0084406A" w:rsidRDefault="0084406A">
            <w:pPr>
              <w:rPr>
                <w:rFonts w:ascii="宋体"/>
              </w:rPr>
            </w:pPr>
          </w:p>
        </w:tc>
        <w:tc>
          <w:tcPr>
            <w:tcW w:w="800" w:type="pct"/>
            <w:shd w:val="clear" w:color="auto" w:fill="auto"/>
            <w:vAlign w:val="bottom"/>
          </w:tcPr>
          <w:p w14:paraId="5902A77A" w14:textId="77777777" w:rsidR="0084406A" w:rsidRDefault="0084406A">
            <w:pPr>
              <w:rPr>
                <w:rFonts w:ascii="宋体"/>
              </w:rPr>
            </w:pPr>
          </w:p>
        </w:tc>
        <w:tc>
          <w:tcPr>
            <w:tcW w:w="5" w:type="pct"/>
            <w:shd w:val="clear" w:color="auto" w:fill="auto"/>
            <w:vAlign w:val="bottom"/>
          </w:tcPr>
          <w:p w14:paraId="5902A77B" w14:textId="77777777" w:rsidR="0084406A" w:rsidRDefault="0084406A">
            <w:pPr>
              <w:rPr>
                <w:rFonts w:ascii="宋体"/>
              </w:rPr>
            </w:pPr>
          </w:p>
        </w:tc>
        <w:tc>
          <w:tcPr>
            <w:tcW w:w="5" w:type="pct"/>
            <w:shd w:val="clear" w:color="auto" w:fill="auto"/>
            <w:vAlign w:val="bottom"/>
          </w:tcPr>
          <w:p w14:paraId="5902A77C" w14:textId="77777777" w:rsidR="0084406A" w:rsidRDefault="0084406A">
            <w:pPr>
              <w:rPr>
                <w:rFonts w:ascii="宋体"/>
              </w:rPr>
            </w:pPr>
          </w:p>
        </w:tc>
        <w:tc>
          <w:tcPr>
            <w:tcW w:w="26" w:type="pct"/>
            <w:shd w:val="clear" w:color="auto" w:fill="auto"/>
            <w:vAlign w:val="bottom"/>
          </w:tcPr>
          <w:p w14:paraId="5902A77D" w14:textId="77777777" w:rsidR="0084406A" w:rsidRDefault="0084406A">
            <w:pPr>
              <w:rPr>
                <w:rFonts w:ascii="宋体"/>
              </w:rPr>
            </w:pPr>
          </w:p>
        </w:tc>
        <w:tc>
          <w:tcPr>
            <w:tcW w:w="5" w:type="pct"/>
            <w:shd w:val="clear" w:color="auto" w:fill="auto"/>
            <w:vAlign w:val="bottom"/>
          </w:tcPr>
          <w:p w14:paraId="5902A77E" w14:textId="77777777" w:rsidR="0084406A" w:rsidRDefault="0084406A">
            <w:pPr>
              <w:rPr>
                <w:rFonts w:ascii="宋体"/>
              </w:rPr>
            </w:pPr>
          </w:p>
        </w:tc>
        <w:tc>
          <w:tcPr>
            <w:tcW w:w="50" w:type="pct"/>
            <w:shd w:val="clear" w:color="auto" w:fill="auto"/>
            <w:vAlign w:val="bottom"/>
          </w:tcPr>
          <w:p w14:paraId="5902A77F" w14:textId="77777777" w:rsidR="0084406A" w:rsidRDefault="0084406A">
            <w:pPr>
              <w:rPr>
                <w:rFonts w:ascii="宋体"/>
              </w:rPr>
            </w:pPr>
          </w:p>
        </w:tc>
        <w:tc>
          <w:tcPr>
            <w:tcW w:w="800" w:type="pct"/>
            <w:shd w:val="clear" w:color="auto" w:fill="auto"/>
            <w:vAlign w:val="bottom"/>
          </w:tcPr>
          <w:p w14:paraId="5902A780" w14:textId="77777777" w:rsidR="0084406A" w:rsidRDefault="0084406A">
            <w:pPr>
              <w:rPr>
                <w:rFonts w:ascii="宋体"/>
              </w:rPr>
            </w:pPr>
          </w:p>
        </w:tc>
        <w:tc>
          <w:tcPr>
            <w:tcW w:w="5" w:type="pct"/>
            <w:shd w:val="clear" w:color="auto" w:fill="auto"/>
            <w:vAlign w:val="bottom"/>
          </w:tcPr>
          <w:p w14:paraId="5902A781" w14:textId="77777777" w:rsidR="0084406A" w:rsidRDefault="0084406A">
            <w:pPr>
              <w:rPr>
                <w:rFonts w:ascii="宋体"/>
              </w:rPr>
            </w:pPr>
          </w:p>
        </w:tc>
      </w:tr>
      <w:tr w:rsidR="0084406A" w14:paraId="5902A787" w14:textId="77777777">
        <w:tc>
          <w:tcPr>
            <w:tcW w:w="0" w:type="auto"/>
            <w:gridSpan w:val="3"/>
            <w:shd w:val="clear" w:color="auto" w:fill="auto"/>
            <w:tcMar>
              <w:top w:w="0" w:type="dxa"/>
              <w:left w:w="20" w:type="dxa"/>
              <w:bottom w:w="0" w:type="dxa"/>
              <w:right w:w="20" w:type="dxa"/>
            </w:tcMar>
            <w:vAlign w:val="bottom"/>
          </w:tcPr>
          <w:p w14:paraId="5902A78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784"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785"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786"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78A" w14:textId="77777777">
        <w:tc>
          <w:tcPr>
            <w:tcW w:w="0" w:type="auto"/>
            <w:gridSpan w:val="3"/>
            <w:shd w:val="clear" w:color="auto" w:fill="auto"/>
            <w:tcMar>
              <w:top w:w="40" w:type="dxa"/>
              <w:left w:w="20" w:type="dxa"/>
              <w:bottom w:w="40" w:type="dxa"/>
              <w:right w:w="20" w:type="dxa"/>
            </w:tcMar>
            <w:vAlign w:val="bottom"/>
          </w:tcPr>
          <w:p w14:paraId="5902A788"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789"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78F" w14:textId="77777777">
        <w:trPr>
          <w:hidden/>
        </w:trPr>
        <w:tc>
          <w:tcPr>
            <w:tcW w:w="0" w:type="auto"/>
            <w:gridSpan w:val="3"/>
            <w:shd w:val="clear" w:color="auto" w:fill="auto"/>
            <w:vAlign w:val="bottom"/>
          </w:tcPr>
          <w:p w14:paraId="5902A78B" w14:textId="77777777" w:rsidR="0084406A" w:rsidRDefault="0084406A">
            <w:pPr>
              <w:rPr>
                <w:rFonts w:ascii="宋体"/>
                <w:vanish/>
              </w:rPr>
            </w:pPr>
          </w:p>
        </w:tc>
        <w:tc>
          <w:tcPr>
            <w:tcW w:w="0" w:type="auto"/>
            <w:gridSpan w:val="3"/>
            <w:shd w:val="clear" w:color="auto" w:fill="auto"/>
            <w:vAlign w:val="bottom"/>
          </w:tcPr>
          <w:p w14:paraId="5902A78C" w14:textId="77777777" w:rsidR="0084406A" w:rsidRDefault="0084406A">
            <w:pPr>
              <w:rPr>
                <w:rFonts w:ascii="宋体"/>
                <w:vanish/>
              </w:rPr>
            </w:pPr>
          </w:p>
        </w:tc>
        <w:tc>
          <w:tcPr>
            <w:tcW w:w="0" w:type="auto"/>
            <w:gridSpan w:val="3"/>
            <w:shd w:val="clear" w:color="auto" w:fill="auto"/>
            <w:vAlign w:val="bottom"/>
          </w:tcPr>
          <w:p w14:paraId="5902A78D" w14:textId="77777777" w:rsidR="0084406A" w:rsidRDefault="0084406A">
            <w:pPr>
              <w:rPr>
                <w:rFonts w:ascii="宋体"/>
                <w:vanish/>
              </w:rPr>
            </w:pPr>
          </w:p>
        </w:tc>
        <w:tc>
          <w:tcPr>
            <w:tcW w:w="0" w:type="auto"/>
            <w:gridSpan w:val="3"/>
            <w:shd w:val="clear" w:color="auto" w:fill="auto"/>
            <w:vAlign w:val="bottom"/>
          </w:tcPr>
          <w:p w14:paraId="5902A78E" w14:textId="77777777" w:rsidR="0084406A" w:rsidRDefault="0084406A">
            <w:pPr>
              <w:rPr>
                <w:rFonts w:ascii="宋体"/>
                <w:vanish/>
              </w:rPr>
            </w:pPr>
          </w:p>
        </w:tc>
      </w:tr>
      <w:tr w:rsidR="0084406A" w14:paraId="5902A794" w14:textId="77777777">
        <w:trPr>
          <w:hidden/>
        </w:trPr>
        <w:tc>
          <w:tcPr>
            <w:tcW w:w="0" w:type="auto"/>
            <w:gridSpan w:val="3"/>
            <w:shd w:val="clear" w:color="auto" w:fill="auto"/>
            <w:vAlign w:val="bottom"/>
          </w:tcPr>
          <w:p w14:paraId="5902A790" w14:textId="77777777" w:rsidR="0084406A" w:rsidRDefault="0084406A">
            <w:pPr>
              <w:rPr>
                <w:rFonts w:ascii="宋体"/>
                <w:vanish/>
              </w:rPr>
            </w:pPr>
          </w:p>
        </w:tc>
        <w:tc>
          <w:tcPr>
            <w:tcW w:w="0" w:type="auto"/>
            <w:gridSpan w:val="3"/>
            <w:shd w:val="clear" w:color="auto" w:fill="auto"/>
            <w:vAlign w:val="bottom"/>
          </w:tcPr>
          <w:p w14:paraId="5902A791" w14:textId="77777777" w:rsidR="0084406A" w:rsidRDefault="0084406A">
            <w:pPr>
              <w:rPr>
                <w:rFonts w:ascii="宋体"/>
                <w:vanish/>
              </w:rPr>
            </w:pPr>
          </w:p>
        </w:tc>
        <w:tc>
          <w:tcPr>
            <w:tcW w:w="0" w:type="auto"/>
            <w:gridSpan w:val="3"/>
            <w:shd w:val="clear" w:color="auto" w:fill="auto"/>
            <w:vAlign w:val="bottom"/>
          </w:tcPr>
          <w:p w14:paraId="5902A792" w14:textId="77777777" w:rsidR="0084406A" w:rsidRDefault="0084406A">
            <w:pPr>
              <w:rPr>
                <w:rFonts w:ascii="宋体"/>
                <w:vanish/>
              </w:rPr>
            </w:pPr>
          </w:p>
        </w:tc>
        <w:tc>
          <w:tcPr>
            <w:tcW w:w="0" w:type="auto"/>
            <w:gridSpan w:val="3"/>
            <w:shd w:val="clear" w:color="auto" w:fill="auto"/>
            <w:vAlign w:val="bottom"/>
          </w:tcPr>
          <w:p w14:paraId="5902A793" w14:textId="77777777" w:rsidR="0084406A" w:rsidRDefault="0084406A">
            <w:pPr>
              <w:rPr>
                <w:rFonts w:ascii="宋体"/>
                <w:vanish/>
              </w:rPr>
            </w:pPr>
          </w:p>
        </w:tc>
      </w:tr>
      <w:tr w:rsidR="0084406A" w14:paraId="5902A79D" w14:textId="77777777">
        <w:tc>
          <w:tcPr>
            <w:tcW w:w="0" w:type="auto"/>
            <w:gridSpan w:val="3"/>
            <w:shd w:val="clear" w:color="auto" w:fill="CCEEFF"/>
            <w:tcMar>
              <w:top w:w="40" w:type="dxa"/>
              <w:left w:w="20" w:type="dxa"/>
              <w:bottom w:w="40" w:type="dxa"/>
              <w:right w:w="20" w:type="dxa"/>
            </w:tcMar>
            <w:vAlign w:val="bottom"/>
          </w:tcPr>
          <w:p w14:paraId="5902A795" w14:textId="77777777" w:rsidR="0084406A" w:rsidRDefault="002B18AF">
            <w:pPr>
              <w:textAlignment w:val="bottom"/>
            </w:pPr>
            <w:r>
              <w:rPr>
                <w:rFonts w:ascii="Arial" w:eastAsia="宋体" w:hAnsi="Arial" w:cs="Arial"/>
                <w:color w:val="000000"/>
                <w:sz w:val="20"/>
                <w:szCs w:val="20"/>
              </w:rPr>
              <w:t>7.50% Senior Notes Due 2022 (7.50% Notes)</w:t>
            </w:r>
          </w:p>
        </w:tc>
        <w:tc>
          <w:tcPr>
            <w:tcW w:w="0" w:type="auto"/>
            <w:shd w:val="clear" w:color="auto" w:fill="CCEEFF"/>
            <w:tcMar>
              <w:top w:w="40" w:type="dxa"/>
              <w:left w:w="20" w:type="dxa"/>
              <w:bottom w:w="40" w:type="dxa"/>
              <w:right w:w="0" w:type="dxa"/>
            </w:tcMar>
            <w:vAlign w:val="bottom"/>
          </w:tcPr>
          <w:p w14:paraId="5902A79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97"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5902A79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9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79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9B"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5902A79C" w14:textId="77777777" w:rsidR="0084406A" w:rsidRDefault="0084406A">
            <w:pPr>
              <w:jc w:val="right"/>
              <w:rPr>
                <w:rFonts w:ascii="宋体"/>
              </w:rPr>
            </w:pPr>
          </w:p>
        </w:tc>
      </w:tr>
      <w:tr w:rsidR="0084406A" w14:paraId="5902A7A4" w14:textId="77777777">
        <w:tc>
          <w:tcPr>
            <w:tcW w:w="0" w:type="auto"/>
            <w:gridSpan w:val="3"/>
            <w:shd w:val="clear" w:color="auto" w:fill="FFFFFF"/>
            <w:tcMar>
              <w:top w:w="40" w:type="dxa"/>
              <w:left w:w="20" w:type="dxa"/>
              <w:bottom w:w="40" w:type="dxa"/>
              <w:right w:w="20" w:type="dxa"/>
            </w:tcMar>
            <w:vAlign w:val="bottom"/>
          </w:tcPr>
          <w:p w14:paraId="5902A79E" w14:textId="77777777" w:rsidR="0084406A" w:rsidRDefault="002B18AF">
            <w:pPr>
              <w:textAlignment w:val="bottom"/>
            </w:pPr>
            <w:r>
              <w:rPr>
                <w:rFonts w:ascii="Arial" w:eastAsia="宋体" w:hAnsi="Arial" w:cs="Arial"/>
                <w:color w:val="000000"/>
                <w:sz w:val="20"/>
                <w:szCs w:val="20"/>
              </w:rPr>
              <w:t>2.125% Convertible Senior Notes Due 2026 (2.125% Notes)</w:t>
            </w:r>
          </w:p>
        </w:tc>
        <w:tc>
          <w:tcPr>
            <w:tcW w:w="0" w:type="auto"/>
            <w:gridSpan w:val="2"/>
            <w:shd w:val="clear" w:color="auto" w:fill="FFFFFF"/>
            <w:tcMar>
              <w:top w:w="40" w:type="dxa"/>
              <w:left w:w="20" w:type="dxa"/>
              <w:bottom w:w="40" w:type="dxa"/>
              <w:right w:w="0" w:type="dxa"/>
            </w:tcMar>
            <w:vAlign w:val="bottom"/>
          </w:tcPr>
          <w:p w14:paraId="5902A79F"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7A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A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7A2" w14:textId="77777777" w:rsidR="0084406A" w:rsidRDefault="002B18AF">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5902A7A3" w14:textId="77777777" w:rsidR="0084406A" w:rsidRDefault="0084406A">
            <w:pPr>
              <w:jc w:val="right"/>
              <w:rPr>
                <w:rFonts w:ascii="宋体"/>
              </w:rPr>
            </w:pPr>
          </w:p>
        </w:tc>
      </w:tr>
      <w:tr w:rsidR="0084406A" w14:paraId="5902A7AB" w14:textId="77777777">
        <w:tc>
          <w:tcPr>
            <w:tcW w:w="0" w:type="auto"/>
            <w:gridSpan w:val="3"/>
            <w:shd w:val="clear" w:color="auto" w:fill="CCEEFF"/>
            <w:tcMar>
              <w:top w:w="40" w:type="dxa"/>
              <w:left w:w="20" w:type="dxa"/>
              <w:bottom w:w="40" w:type="dxa"/>
              <w:right w:w="20" w:type="dxa"/>
            </w:tcMar>
            <w:vAlign w:val="bottom"/>
          </w:tcPr>
          <w:p w14:paraId="5902A7A5" w14:textId="77777777" w:rsidR="0084406A" w:rsidRDefault="002B18AF">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7A6" w14:textId="77777777" w:rsidR="0084406A" w:rsidRDefault="002B18AF">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7A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A8"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7A9" w14:textId="77777777" w:rsidR="0084406A" w:rsidRDefault="002B18AF">
            <w:pPr>
              <w:jc w:val="right"/>
              <w:textAlignment w:val="bottom"/>
            </w:pPr>
            <w:r>
              <w:rPr>
                <w:rFonts w:ascii="Arial" w:eastAsia="宋体" w:hAnsi="Arial" w:cs="Arial"/>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7AA" w14:textId="77777777" w:rsidR="0084406A" w:rsidRDefault="0084406A">
            <w:pPr>
              <w:jc w:val="right"/>
              <w:rPr>
                <w:rFonts w:ascii="宋体"/>
              </w:rPr>
            </w:pPr>
          </w:p>
        </w:tc>
      </w:tr>
      <w:tr w:rsidR="0084406A" w14:paraId="5902A7B2" w14:textId="77777777">
        <w:tc>
          <w:tcPr>
            <w:tcW w:w="0" w:type="auto"/>
            <w:gridSpan w:val="3"/>
            <w:shd w:val="clear" w:color="auto" w:fill="FFFFFF"/>
            <w:tcMar>
              <w:top w:w="40" w:type="dxa"/>
              <w:left w:w="20" w:type="dxa"/>
              <w:bottom w:w="40" w:type="dxa"/>
              <w:right w:w="20" w:type="dxa"/>
            </w:tcMar>
            <w:vAlign w:val="bottom"/>
          </w:tcPr>
          <w:p w14:paraId="5902A7AC" w14:textId="77777777" w:rsidR="0084406A" w:rsidRDefault="002B18AF">
            <w:pPr>
              <w:textAlignment w:val="bottom"/>
            </w:pPr>
            <w:r>
              <w:rPr>
                <w:rFonts w:ascii="Arial" w:eastAsia="宋体" w:hAnsi="Arial" w:cs="Arial"/>
                <w:color w:val="000000"/>
                <w:sz w:val="20"/>
                <w:szCs w:val="20"/>
              </w:rPr>
              <w:t>Unamortized debt discount and issuance costs</w:t>
            </w:r>
          </w:p>
        </w:tc>
        <w:tc>
          <w:tcPr>
            <w:tcW w:w="0" w:type="auto"/>
            <w:gridSpan w:val="2"/>
            <w:shd w:val="clear" w:color="auto" w:fill="FFFFFF"/>
            <w:tcMar>
              <w:top w:w="40" w:type="dxa"/>
              <w:left w:w="20" w:type="dxa"/>
              <w:bottom w:w="40" w:type="dxa"/>
              <w:right w:w="0" w:type="dxa"/>
            </w:tcMar>
            <w:vAlign w:val="bottom"/>
          </w:tcPr>
          <w:p w14:paraId="5902A7A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7A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A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7B0" w14:textId="77777777" w:rsidR="0084406A" w:rsidRDefault="002B18AF">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5902A7B1" w14:textId="77777777" w:rsidR="0084406A" w:rsidRDefault="0084406A">
            <w:pPr>
              <w:jc w:val="right"/>
              <w:rPr>
                <w:rFonts w:ascii="宋体"/>
              </w:rPr>
            </w:pPr>
          </w:p>
        </w:tc>
      </w:tr>
      <w:tr w:rsidR="0084406A" w14:paraId="5902A7B9" w14:textId="77777777">
        <w:tc>
          <w:tcPr>
            <w:tcW w:w="0" w:type="auto"/>
            <w:gridSpan w:val="3"/>
            <w:shd w:val="clear" w:color="auto" w:fill="CCEEFF"/>
            <w:tcMar>
              <w:top w:w="40" w:type="dxa"/>
              <w:left w:w="20" w:type="dxa"/>
              <w:bottom w:w="40" w:type="dxa"/>
              <w:right w:w="20" w:type="dxa"/>
            </w:tcMar>
            <w:vAlign w:val="bottom"/>
          </w:tcPr>
          <w:p w14:paraId="5902A7B3" w14:textId="77777777" w:rsidR="0084406A" w:rsidRDefault="002B18AF">
            <w:pPr>
              <w:textAlignment w:val="bottom"/>
            </w:pPr>
            <w:r>
              <w:rPr>
                <w:rFonts w:ascii="Arial" w:eastAsia="宋体" w:hAnsi="Arial" w:cs="Arial"/>
                <w:color w:val="000000"/>
                <w:sz w:val="20"/>
                <w:szCs w:val="20"/>
              </w:rPr>
              <w:t xml:space="preserve">Total debt (net)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7B4" w14:textId="77777777" w:rsidR="0084406A" w:rsidRDefault="002B18AF">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7B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B6"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7B7" w14:textId="77777777" w:rsidR="0084406A" w:rsidRDefault="002B18AF">
            <w:pPr>
              <w:jc w:val="right"/>
              <w:textAlignment w:val="bottom"/>
            </w:pPr>
            <w:r>
              <w:rPr>
                <w:rFonts w:ascii="Arial" w:eastAsia="宋体" w:hAnsi="Arial" w:cs="Arial"/>
                <w:color w:val="000000"/>
                <w:sz w:val="20"/>
                <w:szCs w:val="20"/>
              </w:rPr>
              <w:t>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7B8" w14:textId="77777777" w:rsidR="0084406A" w:rsidRDefault="0084406A">
            <w:pPr>
              <w:jc w:val="right"/>
              <w:rPr>
                <w:rFonts w:ascii="宋体"/>
              </w:rPr>
            </w:pPr>
          </w:p>
        </w:tc>
      </w:tr>
      <w:tr w:rsidR="0084406A" w14:paraId="5902A7C0" w14:textId="77777777">
        <w:tc>
          <w:tcPr>
            <w:tcW w:w="0" w:type="auto"/>
            <w:gridSpan w:val="3"/>
            <w:shd w:val="clear" w:color="auto" w:fill="FFFFFF"/>
            <w:tcMar>
              <w:top w:w="40" w:type="dxa"/>
              <w:left w:w="260" w:type="dxa"/>
              <w:bottom w:w="40" w:type="dxa"/>
              <w:right w:w="20" w:type="dxa"/>
            </w:tcMar>
            <w:vAlign w:val="bottom"/>
          </w:tcPr>
          <w:p w14:paraId="5902A7BA" w14:textId="77777777" w:rsidR="0084406A" w:rsidRDefault="002B18AF">
            <w:pPr>
              <w:textAlignment w:val="bottom"/>
            </w:pPr>
            <w:r>
              <w:rPr>
                <w:rFonts w:ascii="Arial" w:eastAsia="宋体" w:hAnsi="Arial" w:cs="Arial"/>
                <w:color w:val="000000"/>
                <w:sz w:val="20"/>
                <w:szCs w:val="20"/>
              </w:rPr>
              <w:t>Less: current portion of long-term debt</w:t>
            </w:r>
          </w:p>
        </w:tc>
        <w:tc>
          <w:tcPr>
            <w:tcW w:w="0" w:type="auto"/>
            <w:gridSpan w:val="2"/>
            <w:shd w:val="clear" w:color="auto" w:fill="FFFFFF"/>
            <w:tcMar>
              <w:top w:w="40" w:type="dxa"/>
              <w:left w:w="20" w:type="dxa"/>
              <w:bottom w:w="40" w:type="dxa"/>
              <w:right w:w="0" w:type="dxa"/>
            </w:tcMar>
            <w:vAlign w:val="bottom"/>
          </w:tcPr>
          <w:p w14:paraId="5902A7BB" w14:textId="77777777" w:rsidR="0084406A" w:rsidRDefault="002B18AF">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5902A7B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B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7B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7BF" w14:textId="77777777" w:rsidR="0084406A" w:rsidRDefault="0084406A">
            <w:pPr>
              <w:jc w:val="right"/>
              <w:rPr>
                <w:rFonts w:ascii="宋体"/>
              </w:rPr>
            </w:pPr>
          </w:p>
        </w:tc>
      </w:tr>
      <w:tr w:rsidR="0084406A" w14:paraId="5902A7C9" w14:textId="77777777">
        <w:tc>
          <w:tcPr>
            <w:tcW w:w="0" w:type="auto"/>
            <w:gridSpan w:val="3"/>
            <w:shd w:val="clear" w:color="auto" w:fill="CCEEFF"/>
            <w:tcMar>
              <w:top w:w="40" w:type="dxa"/>
              <w:left w:w="20" w:type="dxa"/>
              <w:bottom w:w="40" w:type="dxa"/>
              <w:right w:w="20" w:type="dxa"/>
            </w:tcMar>
            <w:vAlign w:val="bottom"/>
          </w:tcPr>
          <w:p w14:paraId="5902A7C1" w14:textId="77777777" w:rsidR="0084406A" w:rsidRDefault="002B18AF">
            <w:pPr>
              <w:textAlignment w:val="bottom"/>
            </w:pPr>
            <w:r>
              <w:rPr>
                <w:rFonts w:ascii="Arial" w:eastAsia="宋体" w:hAnsi="Arial" w:cs="Arial"/>
                <w:color w:val="000000"/>
                <w:sz w:val="20"/>
                <w:szCs w:val="20"/>
              </w:rPr>
              <w:t>Total long-term debt, net of current portion</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7C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7C3" w14:textId="77777777" w:rsidR="0084406A" w:rsidRDefault="002B18AF">
            <w:pPr>
              <w:jc w:val="right"/>
              <w:textAlignment w:val="bottom"/>
            </w:pPr>
            <w:r>
              <w:rPr>
                <w:rFonts w:ascii="Arial" w:eastAsia="宋体" w:hAnsi="Arial" w:cs="Arial"/>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7C4" w14:textId="77777777" w:rsidR="0084406A" w:rsidRDefault="0084406A">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7C5"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7C6"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7C7" w14:textId="77777777" w:rsidR="0084406A" w:rsidRDefault="002B18AF">
            <w:pPr>
              <w:jc w:val="right"/>
              <w:textAlignment w:val="bottom"/>
            </w:pPr>
            <w:r>
              <w:rPr>
                <w:rFonts w:ascii="Arial" w:eastAsia="宋体" w:hAnsi="Arial" w:cs="Arial"/>
                <w:color w:val="000000"/>
                <w:sz w:val="20"/>
                <w:szCs w:val="20"/>
              </w:rPr>
              <w:t>330 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7C8" w14:textId="77777777" w:rsidR="0084406A" w:rsidRDefault="0084406A">
            <w:pPr>
              <w:jc w:val="right"/>
              <w:rPr>
                <w:rFonts w:ascii="宋体"/>
              </w:rPr>
            </w:pPr>
          </w:p>
        </w:tc>
      </w:tr>
    </w:tbl>
    <w:p w14:paraId="5902A7CA" w14:textId="77777777" w:rsidR="0084406A" w:rsidRDefault="002B18AF">
      <w:pPr>
        <w:spacing w:before="180"/>
        <w:jc w:val="both"/>
      </w:pPr>
      <w:r>
        <w:rPr>
          <w:rFonts w:ascii="Arial" w:eastAsia="宋体" w:hAnsi="Arial" w:cs="Arial"/>
          <w:b/>
          <w:bCs/>
          <w:i/>
          <w:iCs/>
          <w:color w:val="000000"/>
          <w:sz w:val="20"/>
          <w:szCs w:val="20"/>
        </w:rPr>
        <w:t>2.125% Convertible Senior Notes Due 2026</w:t>
      </w:r>
    </w:p>
    <w:p w14:paraId="5902A7CB" w14:textId="77777777" w:rsidR="0084406A" w:rsidRDefault="002B18AF">
      <w:pPr>
        <w:spacing w:before="180"/>
        <w:jc w:val="both"/>
      </w:pPr>
      <w:r>
        <w:rPr>
          <w:rFonts w:ascii="Arial" w:eastAsia="宋体" w:hAnsi="Arial" w:cs="Arial"/>
          <w:color w:val="000000"/>
          <w:sz w:val="20"/>
          <w:szCs w:val="20"/>
        </w:rPr>
        <w:t xml:space="preserve">In September 2016, the Company issued $805 million in aggregate principal amount of 2.125% Convertible Senior Notes due 2026 (2.125% Notes). The 2.125% Notes are general unsecured senior obligations of the Company. The interest is payable semi-annually in </w:t>
      </w:r>
      <w:r>
        <w:rPr>
          <w:rFonts w:ascii="Arial" w:eastAsia="宋体" w:hAnsi="Arial" w:cs="Arial"/>
          <w:color w:val="000000"/>
          <w:sz w:val="20"/>
          <w:szCs w:val="20"/>
        </w:rPr>
        <w:t xml:space="preserve">March and September of each year, commencing in March 2017. During 2021, holders of the 2.125% Notes converted </w:t>
      </w:r>
      <w:r>
        <w:rPr>
          <w:rFonts w:ascii="Arial" w:eastAsia="宋体" w:hAnsi="Arial" w:cs="Arial"/>
          <w:color w:val="000000"/>
          <w:sz w:val="20"/>
          <w:szCs w:val="20"/>
          <w:shd w:val="clear" w:color="auto" w:fill="FFFFFF"/>
        </w:rPr>
        <w:t>$25 million</w:t>
      </w:r>
      <w:r>
        <w:rPr>
          <w:rFonts w:ascii="Arial" w:eastAsia="宋体" w:hAnsi="Arial" w:cs="Arial"/>
          <w:color w:val="000000"/>
          <w:sz w:val="20"/>
          <w:szCs w:val="20"/>
        </w:rPr>
        <w:t xml:space="preserve"> principal amount of notes in exchange for approximately </w:t>
      </w:r>
      <w:r>
        <w:rPr>
          <w:rFonts w:ascii="Arial" w:eastAsia="宋体" w:hAnsi="Arial" w:cs="Arial"/>
          <w:color w:val="000000"/>
          <w:sz w:val="20"/>
          <w:szCs w:val="20"/>
          <w:shd w:val="clear" w:color="auto" w:fill="FFFFFF"/>
        </w:rPr>
        <w:t>3 million</w:t>
      </w:r>
      <w:r>
        <w:rPr>
          <w:rFonts w:ascii="Arial" w:eastAsia="宋体" w:hAnsi="Arial" w:cs="Arial"/>
          <w:color w:val="000000"/>
          <w:sz w:val="20"/>
          <w:szCs w:val="20"/>
        </w:rPr>
        <w:t xml:space="preserve"> shares of the Company’s common stock at the conversion price of $8.</w:t>
      </w:r>
      <w:r>
        <w:rPr>
          <w:rFonts w:ascii="Arial" w:eastAsia="宋体" w:hAnsi="Arial" w:cs="Arial"/>
          <w:color w:val="000000"/>
          <w:sz w:val="20"/>
          <w:szCs w:val="20"/>
        </w:rPr>
        <w:t xml:space="preserve">00 per share. The Company recorded a loss of </w:t>
      </w:r>
      <w:r>
        <w:rPr>
          <w:rFonts w:ascii="Arial" w:eastAsia="宋体" w:hAnsi="Arial" w:cs="Arial"/>
          <w:color w:val="000000"/>
          <w:sz w:val="20"/>
          <w:szCs w:val="20"/>
          <w:shd w:val="clear" w:color="auto" w:fill="FFFFFF"/>
        </w:rPr>
        <w:t>$7 million</w:t>
      </w:r>
      <w:r>
        <w:rPr>
          <w:rFonts w:ascii="Arial" w:eastAsia="宋体" w:hAnsi="Arial" w:cs="Arial"/>
          <w:color w:val="000000"/>
          <w:sz w:val="20"/>
          <w:szCs w:val="20"/>
        </w:rPr>
        <w:t xml:space="preserve"> from these conversions in Other income (expense), net on its consolidated statements of operations. As of December 25, 2021, the outstanding aggregate principal amount of the 2.125% Notes was </w:t>
      </w:r>
      <w:r>
        <w:rPr>
          <w:rFonts w:ascii="Arial" w:eastAsia="宋体" w:hAnsi="Arial" w:cs="Arial"/>
          <w:color w:val="000000"/>
          <w:sz w:val="20"/>
          <w:szCs w:val="20"/>
          <w:shd w:val="clear" w:color="auto" w:fill="FFFFFF"/>
        </w:rPr>
        <w:t>$1 milli</w:t>
      </w:r>
      <w:r>
        <w:rPr>
          <w:rFonts w:ascii="Arial" w:eastAsia="宋体" w:hAnsi="Arial" w:cs="Arial"/>
          <w:color w:val="000000"/>
          <w:sz w:val="20"/>
          <w:szCs w:val="20"/>
          <w:shd w:val="clear" w:color="auto" w:fill="FFFFFF"/>
        </w:rPr>
        <w:t>on</w:t>
      </w:r>
      <w:r>
        <w:rPr>
          <w:rFonts w:ascii="Arial" w:eastAsia="宋体" w:hAnsi="Arial" w:cs="Arial"/>
          <w:color w:val="000000"/>
          <w:sz w:val="20"/>
          <w:szCs w:val="20"/>
        </w:rPr>
        <w:t>.</w:t>
      </w:r>
    </w:p>
    <w:p w14:paraId="5902A7CC" w14:textId="77777777" w:rsidR="0084406A" w:rsidRDefault="002B18AF">
      <w:pPr>
        <w:spacing w:before="180"/>
        <w:jc w:val="both"/>
      </w:pPr>
      <w:r>
        <w:rPr>
          <w:rFonts w:ascii="Arial" w:eastAsia="宋体" w:hAnsi="Arial" w:cs="Arial"/>
          <w:color w:val="000000"/>
          <w:sz w:val="20"/>
          <w:szCs w:val="20"/>
        </w:rPr>
        <w:t xml:space="preserve">The Company’s current intent is to deliver shares of its common stock upon conversion of the 2.125% Notes. As such, no sinking fund is provided for the 2.125% Notes and the Company continued to classify the carrying value of the liability component of </w:t>
      </w:r>
      <w:r>
        <w:rPr>
          <w:rFonts w:ascii="Arial" w:eastAsia="宋体" w:hAnsi="Arial" w:cs="Arial"/>
          <w:color w:val="000000"/>
          <w:sz w:val="20"/>
          <w:szCs w:val="20"/>
        </w:rPr>
        <w:t>the 2.125% Notes as long-term debt and the equity component of the 2.125% Notes as permanent equity on its consolidated balance sheet as of December 25, 2021. The determination of whether or not the 2.125% Notes are convertible is performed on a calendar-q</w:t>
      </w:r>
      <w:r>
        <w:rPr>
          <w:rFonts w:ascii="Arial" w:eastAsia="宋体" w:hAnsi="Arial" w:cs="Arial"/>
          <w:color w:val="000000"/>
          <w:sz w:val="20"/>
          <w:szCs w:val="20"/>
        </w:rPr>
        <w:t>uarter basis.</w:t>
      </w:r>
    </w:p>
    <w:p w14:paraId="5902A7CD" w14:textId="77777777" w:rsidR="0084406A" w:rsidRDefault="002B18AF">
      <w:pPr>
        <w:spacing w:before="180"/>
        <w:jc w:val="both"/>
      </w:pPr>
      <w:r>
        <w:rPr>
          <w:rFonts w:ascii="Arial" w:eastAsia="宋体" w:hAnsi="Arial" w:cs="Arial"/>
          <w:color w:val="000000"/>
          <w:sz w:val="20"/>
          <w:szCs w:val="20"/>
        </w:rPr>
        <w:t xml:space="preserve">Based on the closing price of the Company’s common stock of </w:t>
      </w:r>
      <w:r>
        <w:rPr>
          <w:rFonts w:ascii="Arial" w:eastAsia="宋体" w:hAnsi="Arial" w:cs="Arial"/>
          <w:color w:val="000000"/>
          <w:sz w:val="20"/>
          <w:szCs w:val="20"/>
          <w:shd w:val="clear" w:color="auto" w:fill="FFFFFF"/>
        </w:rPr>
        <w:t>$146.14</w:t>
      </w:r>
      <w:r>
        <w:rPr>
          <w:rFonts w:ascii="Arial" w:eastAsia="宋体" w:hAnsi="Arial" w:cs="Arial"/>
          <w:color w:val="000000"/>
          <w:sz w:val="20"/>
          <w:szCs w:val="20"/>
        </w:rPr>
        <w:t xml:space="preserve"> on December 23, 2021, the last trading day of 2021, the if-converted value of the 2.125% Notes exceeded its principal amount by approximately </w:t>
      </w:r>
      <w:r>
        <w:rPr>
          <w:rFonts w:ascii="Arial" w:eastAsia="宋体" w:hAnsi="Arial" w:cs="Arial"/>
          <w:color w:val="000000"/>
          <w:sz w:val="20"/>
          <w:szCs w:val="20"/>
          <w:shd w:val="clear" w:color="auto" w:fill="FFFFFF"/>
        </w:rPr>
        <w:t>$15 million</w:t>
      </w:r>
      <w:r>
        <w:rPr>
          <w:rFonts w:ascii="Arial" w:eastAsia="宋体" w:hAnsi="Arial" w:cs="Arial"/>
          <w:color w:val="000000"/>
          <w:sz w:val="20"/>
          <w:szCs w:val="20"/>
        </w:rPr>
        <w:t>.</w:t>
      </w:r>
    </w:p>
    <w:p w14:paraId="5902A7CE" w14:textId="77777777" w:rsidR="0084406A" w:rsidRDefault="002B18AF">
      <w:pPr>
        <w:spacing w:before="180"/>
      </w:pPr>
      <w:r>
        <w:rPr>
          <w:rFonts w:ascii="Arial" w:eastAsia="宋体" w:hAnsi="Arial" w:cs="Arial"/>
          <w:color w:val="000000"/>
          <w:sz w:val="20"/>
          <w:szCs w:val="20"/>
        </w:rPr>
        <w:t>The effective interest rate of the liability component of the 2.125% Notes is 8%. This interest rate</w:t>
      </w:r>
      <w:r>
        <w:rPr>
          <w:rFonts w:ascii="Arial" w:eastAsia="宋体" w:hAnsi="Arial" w:cs="Arial"/>
          <w:color w:val="000000"/>
          <w:sz w:val="20"/>
          <w:szCs w:val="20"/>
        </w:rPr>
        <w:t xml:space="preserve"> was based on the interest rates of similar liabilities at the time of issuance that did not have associated conversion features. </w:t>
      </w:r>
    </w:p>
    <w:p w14:paraId="5902A7CF" w14:textId="77777777" w:rsidR="0084406A" w:rsidRDefault="002B18AF">
      <w:pPr>
        <w:spacing w:before="180"/>
        <w:jc w:val="both"/>
      </w:pPr>
      <w:r>
        <w:rPr>
          <w:rFonts w:ascii="Arial" w:eastAsia="宋体" w:hAnsi="Arial" w:cs="Arial"/>
          <w:color w:val="000000"/>
          <w:sz w:val="20"/>
          <w:szCs w:val="20"/>
        </w:rPr>
        <w:t xml:space="preserve">The following table sets forth total interest expense recognized related to the 2.125% Notes for the year ended December 25, </w:t>
      </w:r>
      <w:r>
        <w:rPr>
          <w:rFonts w:ascii="Arial" w:eastAsia="宋体" w:hAnsi="Arial" w:cs="Arial"/>
          <w:color w:val="000000"/>
          <w:sz w:val="20"/>
          <w:szCs w:val="20"/>
        </w:rPr>
        <w:t>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281"/>
        <w:gridCol w:w="37"/>
        <w:gridCol w:w="133"/>
        <w:gridCol w:w="1287"/>
        <w:gridCol w:w="36"/>
        <w:gridCol w:w="36"/>
        <w:gridCol w:w="36"/>
        <w:gridCol w:w="36"/>
        <w:gridCol w:w="133"/>
        <w:gridCol w:w="1247"/>
        <w:gridCol w:w="36"/>
      </w:tblGrid>
      <w:tr w:rsidR="0084406A" w14:paraId="5902A7DC" w14:textId="77777777">
        <w:tc>
          <w:tcPr>
            <w:tcW w:w="50" w:type="pct"/>
            <w:shd w:val="clear" w:color="auto" w:fill="auto"/>
            <w:vAlign w:val="bottom"/>
          </w:tcPr>
          <w:p w14:paraId="5902A7D0" w14:textId="77777777" w:rsidR="0084406A" w:rsidRDefault="0084406A">
            <w:pPr>
              <w:rPr>
                <w:rFonts w:ascii="宋体"/>
              </w:rPr>
            </w:pPr>
          </w:p>
        </w:tc>
        <w:tc>
          <w:tcPr>
            <w:tcW w:w="3197" w:type="pct"/>
            <w:shd w:val="clear" w:color="auto" w:fill="auto"/>
            <w:vAlign w:val="bottom"/>
          </w:tcPr>
          <w:p w14:paraId="5902A7D1" w14:textId="77777777" w:rsidR="0084406A" w:rsidRDefault="0084406A">
            <w:pPr>
              <w:rPr>
                <w:rFonts w:ascii="宋体"/>
              </w:rPr>
            </w:pPr>
          </w:p>
        </w:tc>
        <w:tc>
          <w:tcPr>
            <w:tcW w:w="5" w:type="pct"/>
            <w:shd w:val="clear" w:color="auto" w:fill="auto"/>
            <w:vAlign w:val="bottom"/>
          </w:tcPr>
          <w:p w14:paraId="5902A7D2" w14:textId="77777777" w:rsidR="0084406A" w:rsidRDefault="0084406A">
            <w:pPr>
              <w:rPr>
                <w:rFonts w:ascii="宋体"/>
              </w:rPr>
            </w:pPr>
          </w:p>
        </w:tc>
        <w:tc>
          <w:tcPr>
            <w:tcW w:w="50" w:type="pct"/>
            <w:shd w:val="clear" w:color="auto" w:fill="auto"/>
            <w:vAlign w:val="bottom"/>
          </w:tcPr>
          <w:p w14:paraId="5902A7D3" w14:textId="77777777" w:rsidR="0084406A" w:rsidRDefault="0084406A">
            <w:pPr>
              <w:rPr>
                <w:rFonts w:ascii="宋体"/>
              </w:rPr>
            </w:pPr>
          </w:p>
        </w:tc>
        <w:tc>
          <w:tcPr>
            <w:tcW w:w="800" w:type="pct"/>
            <w:shd w:val="clear" w:color="auto" w:fill="auto"/>
            <w:vAlign w:val="bottom"/>
          </w:tcPr>
          <w:p w14:paraId="5902A7D4" w14:textId="77777777" w:rsidR="0084406A" w:rsidRDefault="0084406A">
            <w:pPr>
              <w:rPr>
                <w:rFonts w:ascii="宋体"/>
              </w:rPr>
            </w:pPr>
          </w:p>
        </w:tc>
        <w:tc>
          <w:tcPr>
            <w:tcW w:w="5" w:type="pct"/>
            <w:shd w:val="clear" w:color="auto" w:fill="auto"/>
            <w:vAlign w:val="bottom"/>
          </w:tcPr>
          <w:p w14:paraId="5902A7D5" w14:textId="77777777" w:rsidR="0084406A" w:rsidRDefault="0084406A">
            <w:pPr>
              <w:rPr>
                <w:rFonts w:ascii="宋体"/>
              </w:rPr>
            </w:pPr>
          </w:p>
        </w:tc>
        <w:tc>
          <w:tcPr>
            <w:tcW w:w="5" w:type="pct"/>
            <w:shd w:val="clear" w:color="auto" w:fill="auto"/>
            <w:vAlign w:val="bottom"/>
          </w:tcPr>
          <w:p w14:paraId="5902A7D6" w14:textId="77777777" w:rsidR="0084406A" w:rsidRDefault="0084406A">
            <w:pPr>
              <w:rPr>
                <w:rFonts w:ascii="宋体"/>
              </w:rPr>
            </w:pPr>
          </w:p>
        </w:tc>
        <w:tc>
          <w:tcPr>
            <w:tcW w:w="26" w:type="pct"/>
            <w:shd w:val="clear" w:color="auto" w:fill="auto"/>
            <w:vAlign w:val="bottom"/>
          </w:tcPr>
          <w:p w14:paraId="5902A7D7" w14:textId="77777777" w:rsidR="0084406A" w:rsidRDefault="0084406A">
            <w:pPr>
              <w:rPr>
                <w:rFonts w:ascii="宋体"/>
              </w:rPr>
            </w:pPr>
          </w:p>
        </w:tc>
        <w:tc>
          <w:tcPr>
            <w:tcW w:w="5" w:type="pct"/>
            <w:shd w:val="clear" w:color="auto" w:fill="auto"/>
            <w:vAlign w:val="bottom"/>
          </w:tcPr>
          <w:p w14:paraId="5902A7D8" w14:textId="77777777" w:rsidR="0084406A" w:rsidRDefault="0084406A">
            <w:pPr>
              <w:rPr>
                <w:rFonts w:ascii="宋体"/>
              </w:rPr>
            </w:pPr>
          </w:p>
        </w:tc>
        <w:tc>
          <w:tcPr>
            <w:tcW w:w="50" w:type="pct"/>
            <w:shd w:val="clear" w:color="auto" w:fill="auto"/>
            <w:vAlign w:val="bottom"/>
          </w:tcPr>
          <w:p w14:paraId="5902A7D9" w14:textId="77777777" w:rsidR="0084406A" w:rsidRDefault="0084406A">
            <w:pPr>
              <w:rPr>
                <w:rFonts w:ascii="宋体"/>
              </w:rPr>
            </w:pPr>
          </w:p>
        </w:tc>
        <w:tc>
          <w:tcPr>
            <w:tcW w:w="800" w:type="pct"/>
            <w:shd w:val="clear" w:color="auto" w:fill="auto"/>
            <w:vAlign w:val="bottom"/>
          </w:tcPr>
          <w:p w14:paraId="5902A7DA" w14:textId="77777777" w:rsidR="0084406A" w:rsidRDefault="0084406A">
            <w:pPr>
              <w:rPr>
                <w:rFonts w:ascii="宋体"/>
              </w:rPr>
            </w:pPr>
          </w:p>
        </w:tc>
        <w:tc>
          <w:tcPr>
            <w:tcW w:w="5" w:type="pct"/>
            <w:shd w:val="clear" w:color="auto" w:fill="auto"/>
            <w:vAlign w:val="bottom"/>
          </w:tcPr>
          <w:p w14:paraId="5902A7DB" w14:textId="77777777" w:rsidR="0084406A" w:rsidRDefault="0084406A">
            <w:pPr>
              <w:rPr>
                <w:rFonts w:ascii="宋体"/>
              </w:rPr>
            </w:pPr>
          </w:p>
        </w:tc>
      </w:tr>
      <w:tr w:rsidR="0084406A" w14:paraId="5902A7E1" w14:textId="77777777">
        <w:tc>
          <w:tcPr>
            <w:tcW w:w="0" w:type="auto"/>
            <w:gridSpan w:val="3"/>
            <w:shd w:val="clear" w:color="auto" w:fill="auto"/>
            <w:tcMar>
              <w:top w:w="0" w:type="dxa"/>
              <w:left w:w="20" w:type="dxa"/>
              <w:bottom w:w="0" w:type="dxa"/>
              <w:right w:w="20" w:type="dxa"/>
            </w:tcMar>
            <w:vAlign w:val="bottom"/>
          </w:tcPr>
          <w:p w14:paraId="5902A7D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7DE"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7DF"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7E0"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A7E4" w14:textId="77777777">
        <w:tc>
          <w:tcPr>
            <w:tcW w:w="0" w:type="auto"/>
            <w:gridSpan w:val="3"/>
            <w:shd w:val="clear" w:color="auto" w:fill="auto"/>
            <w:tcMar>
              <w:top w:w="0" w:type="dxa"/>
              <w:left w:w="20" w:type="dxa"/>
              <w:bottom w:w="0" w:type="dxa"/>
              <w:right w:w="20" w:type="dxa"/>
            </w:tcMar>
            <w:vAlign w:val="bottom"/>
          </w:tcPr>
          <w:p w14:paraId="5902A7E2" w14:textId="77777777" w:rsidR="0084406A" w:rsidRDefault="0084406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7E3"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7ED" w14:textId="77777777">
        <w:tc>
          <w:tcPr>
            <w:tcW w:w="0" w:type="auto"/>
            <w:gridSpan w:val="3"/>
            <w:shd w:val="clear" w:color="auto" w:fill="CCEEFF"/>
            <w:tcMar>
              <w:top w:w="40" w:type="dxa"/>
              <w:left w:w="20" w:type="dxa"/>
              <w:bottom w:w="40" w:type="dxa"/>
              <w:right w:w="20" w:type="dxa"/>
            </w:tcMar>
            <w:vAlign w:val="bottom"/>
          </w:tcPr>
          <w:p w14:paraId="5902A7E5" w14:textId="77777777" w:rsidR="0084406A" w:rsidRDefault="002B18AF">
            <w:pPr>
              <w:textAlignment w:val="bottom"/>
            </w:pPr>
            <w:r>
              <w:rPr>
                <w:rFonts w:ascii="Arial" w:eastAsia="宋体" w:hAnsi="Arial" w:cs="Arial"/>
                <w:color w:val="000000"/>
                <w:sz w:val="20"/>
                <w:szCs w:val="20"/>
              </w:rPr>
              <w:t>Contractual interest expense</w:t>
            </w:r>
          </w:p>
        </w:tc>
        <w:tc>
          <w:tcPr>
            <w:tcW w:w="0" w:type="auto"/>
            <w:shd w:val="clear" w:color="auto" w:fill="CCEEFF"/>
            <w:tcMar>
              <w:top w:w="40" w:type="dxa"/>
              <w:left w:w="20" w:type="dxa"/>
              <w:bottom w:w="40" w:type="dxa"/>
              <w:right w:w="0" w:type="dxa"/>
            </w:tcMar>
            <w:vAlign w:val="bottom"/>
          </w:tcPr>
          <w:p w14:paraId="5902A7E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E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7E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7E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7E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7EB" w14:textId="77777777" w:rsidR="0084406A" w:rsidRDefault="002B18AF">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5902A7EC" w14:textId="77777777" w:rsidR="0084406A" w:rsidRDefault="0084406A">
            <w:pPr>
              <w:jc w:val="right"/>
              <w:rPr>
                <w:rFonts w:ascii="宋体"/>
              </w:rPr>
            </w:pPr>
          </w:p>
        </w:tc>
      </w:tr>
      <w:tr w:rsidR="0084406A" w14:paraId="5902A7F2" w14:textId="77777777">
        <w:trPr>
          <w:hidden/>
        </w:trPr>
        <w:tc>
          <w:tcPr>
            <w:tcW w:w="0" w:type="auto"/>
            <w:gridSpan w:val="3"/>
            <w:shd w:val="clear" w:color="auto" w:fill="auto"/>
            <w:vAlign w:val="bottom"/>
          </w:tcPr>
          <w:p w14:paraId="5902A7EE" w14:textId="77777777" w:rsidR="0084406A" w:rsidRDefault="0084406A">
            <w:pPr>
              <w:rPr>
                <w:rFonts w:ascii="宋体"/>
                <w:vanish/>
              </w:rPr>
            </w:pPr>
          </w:p>
        </w:tc>
        <w:tc>
          <w:tcPr>
            <w:tcW w:w="0" w:type="auto"/>
            <w:gridSpan w:val="3"/>
            <w:shd w:val="clear" w:color="auto" w:fill="auto"/>
            <w:vAlign w:val="bottom"/>
          </w:tcPr>
          <w:p w14:paraId="5902A7EF" w14:textId="77777777" w:rsidR="0084406A" w:rsidRDefault="0084406A">
            <w:pPr>
              <w:rPr>
                <w:rFonts w:ascii="宋体"/>
                <w:vanish/>
              </w:rPr>
            </w:pPr>
          </w:p>
        </w:tc>
        <w:tc>
          <w:tcPr>
            <w:tcW w:w="0" w:type="auto"/>
            <w:gridSpan w:val="3"/>
            <w:shd w:val="clear" w:color="auto" w:fill="auto"/>
            <w:vAlign w:val="bottom"/>
          </w:tcPr>
          <w:p w14:paraId="5902A7F0" w14:textId="77777777" w:rsidR="0084406A" w:rsidRDefault="0084406A">
            <w:pPr>
              <w:rPr>
                <w:rFonts w:ascii="宋体"/>
                <w:vanish/>
              </w:rPr>
            </w:pPr>
          </w:p>
        </w:tc>
        <w:tc>
          <w:tcPr>
            <w:tcW w:w="0" w:type="auto"/>
            <w:gridSpan w:val="3"/>
            <w:shd w:val="clear" w:color="auto" w:fill="auto"/>
            <w:vAlign w:val="bottom"/>
          </w:tcPr>
          <w:p w14:paraId="5902A7F1" w14:textId="77777777" w:rsidR="0084406A" w:rsidRDefault="0084406A">
            <w:pPr>
              <w:rPr>
                <w:rFonts w:ascii="宋体"/>
                <w:vanish/>
              </w:rPr>
            </w:pPr>
          </w:p>
        </w:tc>
      </w:tr>
      <w:tr w:rsidR="0084406A" w14:paraId="5902A7FB" w14:textId="77777777">
        <w:tc>
          <w:tcPr>
            <w:tcW w:w="0" w:type="auto"/>
            <w:gridSpan w:val="3"/>
            <w:shd w:val="clear" w:color="auto" w:fill="FFFFFF"/>
            <w:tcMar>
              <w:top w:w="40" w:type="dxa"/>
              <w:left w:w="20" w:type="dxa"/>
              <w:bottom w:w="40" w:type="dxa"/>
              <w:right w:w="20" w:type="dxa"/>
            </w:tcMar>
            <w:vAlign w:val="bottom"/>
          </w:tcPr>
          <w:p w14:paraId="5902A7F3" w14:textId="77777777" w:rsidR="0084406A" w:rsidRDefault="002B18AF">
            <w:pPr>
              <w:textAlignment w:val="bottom"/>
            </w:pPr>
            <w:r>
              <w:rPr>
                <w:rFonts w:ascii="Arial" w:eastAsia="宋体" w:hAnsi="Arial" w:cs="Arial"/>
                <w:color w:val="000000"/>
                <w:sz w:val="20"/>
                <w:szCs w:val="20"/>
              </w:rPr>
              <w:t>Interest cost related to amortization of the debt discount</w:t>
            </w:r>
          </w:p>
        </w:tc>
        <w:tc>
          <w:tcPr>
            <w:tcW w:w="0" w:type="auto"/>
            <w:shd w:val="clear" w:color="auto" w:fill="FFFFFF"/>
            <w:tcMar>
              <w:top w:w="40" w:type="dxa"/>
              <w:left w:w="20" w:type="dxa"/>
              <w:bottom w:w="40" w:type="dxa"/>
              <w:right w:w="0" w:type="dxa"/>
            </w:tcMar>
            <w:vAlign w:val="bottom"/>
          </w:tcPr>
          <w:p w14:paraId="5902A7F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7F5"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7F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7F7"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7F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7F9"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5902A7FA" w14:textId="77777777" w:rsidR="0084406A" w:rsidRDefault="0084406A">
            <w:pPr>
              <w:jc w:val="right"/>
              <w:rPr>
                <w:rFonts w:ascii="宋体"/>
              </w:rPr>
            </w:pPr>
          </w:p>
        </w:tc>
      </w:tr>
    </w:tbl>
    <w:p w14:paraId="5902A7FC" w14:textId="77777777" w:rsidR="0084406A" w:rsidRDefault="002B18AF">
      <w:pPr>
        <w:spacing w:before="180"/>
        <w:jc w:val="both"/>
      </w:pPr>
      <w:r>
        <w:rPr>
          <w:rFonts w:ascii="Arial" w:eastAsia="宋体" w:hAnsi="Arial" w:cs="Arial"/>
          <w:color w:val="000000"/>
          <w:sz w:val="20"/>
          <w:szCs w:val="20"/>
        </w:rPr>
        <w:t xml:space="preserve">The carrying amount of the equity component of the </w:t>
      </w:r>
      <w:r>
        <w:rPr>
          <w:rFonts w:ascii="Arial" w:eastAsia="宋体" w:hAnsi="Arial" w:cs="Arial"/>
          <w:color w:val="000000"/>
          <w:sz w:val="20"/>
          <w:szCs w:val="20"/>
        </w:rPr>
        <w:t>2.125% Notes was $0 million and $10 million as of December 25, 2021 and December 26, 2020, respectively.</w:t>
      </w:r>
    </w:p>
    <w:p w14:paraId="5902A7FD" w14:textId="77777777" w:rsidR="0084406A" w:rsidRDefault="002B18AF">
      <w:pPr>
        <w:jc w:val="center"/>
      </w:pPr>
      <w:r>
        <w:rPr>
          <w:rFonts w:ascii="Arial" w:eastAsia="宋体" w:hAnsi="Arial" w:cs="Arial"/>
          <w:color w:val="000000"/>
          <w:sz w:val="20"/>
          <w:szCs w:val="20"/>
        </w:rPr>
        <w:t>61</w:t>
      </w:r>
    </w:p>
    <w:p w14:paraId="5902A7FE" w14:textId="77777777" w:rsidR="0084406A" w:rsidRDefault="002B18AF">
      <w:r>
        <w:pict w14:anchorId="5902BB33">
          <v:rect id="_x0000_i1088" style="width:415.3pt;height:1.5pt" o:hralign="center" o:hrstd="t" o:hr="t" fillcolor="#a0a0a0" stroked="f"/>
        </w:pict>
      </w:r>
    </w:p>
    <w:p w14:paraId="5902A7FF" w14:textId="77777777" w:rsidR="0084406A" w:rsidRDefault="0084406A"/>
    <w:p w14:paraId="5902A800" w14:textId="77777777" w:rsidR="0084406A" w:rsidRDefault="002B18AF">
      <w:pPr>
        <w:spacing w:before="180"/>
        <w:jc w:val="both"/>
      </w:pPr>
      <w:r>
        <w:rPr>
          <w:rFonts w:ascii="Arial" w:eastAsia="宋体" w:hAnsi="Arial" w:cs="Arial"/>
          <w:b/>
          <w:bCs/>
          <w:i/>
          <w:iCs/>
          <w:color w:val="000000"/>
          <w:sz w:val="20"/>
          <w:szCs w:val="20"/>
        </w:rPr>
        <w:t xml:space="preserve">7.50% Senior Notes Due 2022 </w:t>
      </w:r>
    </w:p>
    <w:p w14:paraId="5902A801" w14:textId="77777777" w:rsidR="0084406A" w:rsidRDefault="002B18AF">
      <w:pPr>
        <w:spacing w:before="180"/>
        <w:jc w:val="both"/>
      </w:pPr>
      <w:r>
        <w:rPr>
          <w:rFonts w:ascii="Arial" w:eastAsia="宋体" w:hAnsi="Arial" w:cs="Arial"/>
          <w:color w:val="000000"/>
          <w:sz w:val="20"/>
          <w:szCs w:val="20"/>
        </w:rPr>
        <w:t>On August 15, 2012, the Company issued $500 million of its 7.50% Senior Notes due 2022 (7.50% Notes). The 7.50% Notes are general unsecured senior obligations of the Company. Interest is payable on February 15 and August 15 of each year beginning February </w:t>
      </w:r>
      <w:r>
        <w:rPr>
          <w:rFonts w:ascii="Arial" w:eastAsia="宋体" w:hAnsi="Arial" w:cs="Arial"/>
          <w:color w:val="000000"/>
          <w:sz w:val="20"/>
          <w:szCs w:val="20"/>
        </w:rPr>
        <w:t xml:space="preserve">15, 2013 until the maturity date of August 15, 2022. The 7.50% Notes are governed by the terms of an indenture (the 7.50% Indenture) dated August 15, 2012 between the Company and Wells Fargo Bank, N.A., as trustee. As of December 25, 2021, the outstanding </w:t>
      </w:r>
      <w:r>
        <w:rPr>
          <w:rFonts w:ascii="Arial" w:eastAsia="宋体" w:hAnsi="Arial" w:cs="Arial"/>
          <w:color w:val="000000"/>
          <w:sz w:val="20"/>
          <w:szCs w:val="20"/>
        </w:rPr>
        <w:t xml:space="preserve">aggregate principal amount of the 7.50% Notes was $312 million. </w:t>
      </w:r>
    </w:p>
    <w:p w14:paraId="5902A802" w14:textId="77777777" w:rsidR="0084406A" w:rsidRDefault="002B18AF">
      <w:pPr>
        <w:spacing w:before="180"/>
        <w:jc w:val="both"/>
      </w:pPr>
      <w:r>
        <w:rPr>
          <w:rFonts w:ascii="Arial" w:eastAsia="宋体" w:hAnsi="Arial" w:cs="Arial"/>
          <w:color w:val="000000"/>
          <w:sz w:val="20"/>
          <w:szCs w:val="20"/>
        </w:rPr>
        <w:t>Prior to August 15, 2022, the Company may redeem some or all of the 7.50% Notes at a price equal to 100% of the principal amount plus accrued and unpaid interest and a “make whole” premium (a</w:t>
      </w:r>
      <w:r>
        <w:rPr>
          <w:rFonts w:ascii="Arial" w:eastAsia="宋体" w:hAnsi="Arial" w:cs="Arial"/>
          <w:color w:val="000000"/>
          <w:sz w:val="20"/>
          <w:szCs w:val="20"/>
        </w:rPr>
        <w:t xml:space="preserve">s defined in the 7.50% Indenture). Holders have the right to require the Company to repurchase all or a portion of the 7.50% Notes in the event that the Company undergoes a change of control as defined in the 7.50% Indenture, at a repurchase price of 101% </w:t>
      </w:r>
      <w:r>
        <w:rPr>
          <w:rFonts w:ascii="Arial" w:eastAsia="宋体" w:hAnsi="Arial" w:cs="Arial"/>
          <w:color w:val="000000"/>
          <w:sz w:val="20"/>
          <w:szCs w:val="20"/>
        </w:rPr>
        <w:t xml:space="preserve">of the principal amount plus accrued and unpaid interest. Additionally, an event of default (as defined in the 7.50% Indenture) may result in the acceleration of the maturity of the 7.50% Notes. </w:t>
      </w:r>
    </w:p>
    <w:p w14:paraId="5902A803" w14:textId="77777777" w:rsidR="0084406A" w:rsidRDefault="002B18AF">
      <w:pPr>
        <w:spacing w:before="180"/>
        <w:jc w:val="both"/>
      </w:pPr>
      <w:r>
        <w:rPr>
          <w:rFonts w:ascii="Arial" w:eastAsia="宋体" w:hAnsi="Arial" w:cs="Arial"/>
          <w:b/>
          <w:bCs/>
          <w:i/>
          <w:iCs/>
          <w:color w:val="000000"/>
          <w:sz w:val="20"/>
          <w:szCs w:val="20"/>
        </w:rPr>
        <w:t>Debt Covenants and Seniority</w:t>
      </w:r>
    </w:p>
    <w:p w14:paraId="5902A804" w14:textId="77777777" w:rsidR="0084406A" w:rsidRDefault="002B18AF">
      <w:pPr>
        <w:spacing w:before="180"/>
        <w:jc w:val="both"/>
      </w:pPr>
      <w:r>
        <w:rPr>
          <w:rFonts w:ascii="Arial" w:eastAsia="宋体" w:hAnsi="Arial" w:cs="Arial"/>
          <w:color w:val="000000"/>
          <w:sz w:val="20"/>
          <w:szCs w:val="20"/>
        </w:rPr>
        <w:t>The 7.50% Notes require the Com</w:t>
      </w:r>
      <w:r>
        <w:rPr>
          <w:rFonts w:ascii="Arial" w:eastAsia="宋体" w:hAnsi="Arial" w:cs="Arial"/>
          <w:color w:val="000000"/>
          <w:sz w:val="20"/>
          <w:szCs w:val="20"/>
        </w:rPr>
        <w:t>pany to comply with certain financial covenants and a number of restrictive covenants. The 7.50% Notes and 2.125% Notes rank equally with the Company’s existing and future senior debt and are senior to all of the Company’s future subordinated debt. The 7.5</w:t>
      </w:r>
      <w:r>
        <w:rPr>
          <w:rFonts w:ascii="Arial" w:eastAsia="宋体" w:hAnsi="Arial" w:cs="Arial"/>
          <w:color w:val="000000"/>
          <w:sz w:val="20"/>
          <w:szCs w:val="20"/>
        </w:rPr>
        <w:t>0% Notes and 2.125% Notes rank junior to all of the Company’s future senior secured debt to the extent of the collateral securing such debt and are structurally subordinated to all existing and future debt and liabilities of the Company’s subsidiaries.</w:t>
      </w:r>
    </w:p>
    <w:p w14:paraId="5902A805" w14:textId="77777777" w:rsidR="0084406A" w:rsidRDefault="002B18AF">
      <w:pPr>
        <w:spacing w:before="180"/>
        <w:jc w:val="both"/>
      </w:pPr>
      <w:r>
        <w:rPr>
          <w:rFonts w:ascii="Arial" w:eastAsia="宋体" w:hAnsi="Arial" w:cs="Arial"/>
          <w:b/>
          <w:bCs/>
          <w:i/>
          <w:iCs/>
          <w:color w:val="000000"/>
          <w:sz w:val="20"/>
          <w:szCs w:val="20"/>
        </w:rPr>
        <w:t>Pot</w:t>
      </w:r>
      <w:r>
        <w:rPr>
          <w:rFonts w:ascii="Arial" w:eastAsia="宋体" w:hAnsi="Arial" w:cs="Arial"/>
          <w:b/>
          <w:bCs/>
          <w:i/>
          <w:iCs/>
          <w:color w:val="000000"/>
          <w:sz w:val="20"/>
          <w:szCs w:val="20"/>
        </w:rPr>
        <w:t xml:space="preserve">ential Repurchase of Outstanding Notes </w:t>
      </w:r>
    </w:p>
    <w:p w14:paraId="5902A806" w14:textId="77777777" w:rsidR="0084406A" w:rsidRDefault="002B18AF">
      <w:pPr>
        <w:spacing w:before="180"/>
        <w:jc w:val="both"/>
      </w:pPr>
      <w:r>
        <w:rPr>
          <w:rFonts w:ascii="Arial" w:eastAsia="宋体" w:hAnsi="Arial" w:cs="Arial"/>
          <w:color w:val="000000"/>
          <w:sz w:val="20"/>
          <w:szCs w:val="20"/>
        </w:rPr>
        <w:t>The Company may elect to purchase or otherwise retire the 7.50% Notes and 2.125% Notes with cash, stock or other assets from time to time in open market or privately negotiated transactions either directly or through</w:t>
      </w:r>
      <w:r>
        <w:rPr>
          <w:rFonts w:ascii="Arial" w:eastAsia="宋体" w:hAnsi="Arial" w:cs="Arial"/>
          <w:color w:val="000000"/>
          <w:sz w:val="20"/>
          <w:szCs w:val="20"/>
        </w:rPr>
        <w:t xml:space="preserve"> intermediaries or by tender offer when the Company believes the market conditions are favorable to do so.</w:t>
      </w:r>
    </w:p>
    <w:p w14:paraId="5902A807" w14:textId="77777777" w:rsidR="0084406A" w:rsidRDefault="002B18AF">
      <w:pPr>
        <w:spacing w:before="180" w:after="180"/>
        <w:jc w:val="both"/>
      </w:pPr>
      <w:r>
        <w:rPr>
          <w:rFonts w:ascii="Arial" w:eastAsia="宋体" w:hAnsi="Arial" w:cs="Arial"/>
          <w:b/>
          <w:bCs/>
          <w:i/>
          <w:iCs/>
          <w:color w:val="000000"/>
          <w:sz w:val="20"/>
          <w:szCs w:val="20"/>
        </w:rPr>
        <w:t>Revolving Credit Facility</w:t>
      </w:r>
    </w:p>
    <w:p w14:paraId="5902A808" w14:textId="77777777" w:rsidR="0084406A" w:rsidRDefault="002B18AF">
      <w:pPr>
        <w:spacing w:before="180"/>
        <w:jc w:val="both"/>
      </w:pPr>
      <w:r>
        <w:rPr>
          <w:rFonts w:ascii="Arial" w:eastAsia="宋体" w:hAnsi="Arial" w:cs="Arial"/>
          <w:color w:val="000000"/>
          <w:sz w:val="20"/>
          <w:szCs w:val="20"/>
        </w:rPr>
        <w:t>The Company is party to a $500 million unsecured revolving credit facility (the Revolving Credit Facility), including a $50</w:t>
      </w:r>
      <w:r>
        <w:rPr>
          <w:rFonts w:ascii="Arial" w:eastAsia="宋体" w:hAnsi="Arial" w:cs="Arial"/>
          <w:color w:val="000000"/>
          <w:sz w:val="20"/>
          <w:szCs w:val="20"/>
        </w:rPr>
        <w:t xml:space="preserve"> million</w:t>
      </w:r>
      <w:r>
        <w:rPr>
          <w:rFonts w:ascii="Arial" w:eastAsia="宋体" w:hAnsi="Arial" w:cs="Arial"/>
          <w:color w:val="000000"/>
          <w:sz w:val="20"/>
          <w:szCs w:val="20"/>
          <w:shd w:val="clear" w:color="auto" w:fill="FFFFFF"/>
        </w:rPr>
        <w:t xml:space="preserve"> swingline sub-facility and a $75 million sublimit for letters of credit pursuant to a credit agreement with a syndicate of banks. The Revolving Credit Facility expires in June 2024. Borrowings under the Revolving Credit Facility bear interest at e</w:t>
      </w:r>
      <w:r>
        <w:rPr>
          <w:rFonts w:ascii="Arial" w:eastAsia="宋体" w:hAnsi="Arial" w:cs="Arial"/>
          <w:color w:val="000000"/>
          <w:sz w:val="20"/>
          <w:szCs w:val="20"/>
          <w:shd w:val="clear" w:color="auto" w:fill="FFFFFF"/>
        </w:rPr>
        <w:t xml:space="preserve">ither the LIBOR rate or the base rate at the Company’s option (in each case, as customarily defined) plus an applicable margin. As </w:t>
      </w:r>
      <w:r>
        <w:rPr>
          <w:rFonts w:ascii="Arial" w:eastAsia="宋体" w:hAnsi="Arial" w:cs="Arial"/>
          <w:color w:val="000000"/>
          <w:sz w:val="20"/>
          <w:szCs w:val="20"/>
        </w:rPr>
        <w:t>of December 25, 2021, there were no borrowings outstanding under the Revolving Credit Facility and the Company was in complia</w:t>
      </w:r>
      <w:r>
        <w:rPr>
          <w:rFonts w:ascii="Arial" w:eastAsia="宋体" w:hAnsi="Arial" w:cs="Arial"/>
          <w:color w:val="000000"/>
          <w:sz w:val="20"/>
          <w:szCs w:val="20"/>
        </w:rPr>
        <w:t>nce with all required covenants. As of December 25, 2021, the Company had $14 million of letters of credit outstanding under the Revolving Credit Facility.</w:t>
      </w:r>
    </w:p>
    <w:p w14:paraId="5902A809" w14:textId="77777777" w:rsidR="0084406A" w:rsidRDefault="002B18AF">
      <w:pPr>
        <w:spacing w:before="180"/>
        <w:jc w:val="both"/>
      </w:pPr>
      <w:r>
        <w:rPr>
          <w:rFonts w:ascii="Arial" w:eastAsia="宋体" w:hAnsi="Arial" w:cs="Arial"/>
          <w:b/>
          <w:bCs/>
          <w:i/>
          <w:iCs/>
          <w:color w:val="000000"/>
          <w:sz w:val="20"/>
          <w:szCs w:val="20"/>
        </w:rPr>
        <w:t>Future Payments on Total Debt</w:t>
      </w:r>
    </w:p>
    <w:p w14:paraId="5902A80A" w14:textId="77777777" w:rsidR="0084406A" w:rsidRDefault="002B18AF">
      <w:pPr>
        <w:spacing w:before="180"/>
      </w:pPr>
      <w:r>
        <w:rPr>
          <w:rFonts w:ascii="Arial" w:eastAsia="宋体" w:hAnsi="Arial" w:cs="Arial"/>
          <w:color w:val="000000"/>
          <w:sz w:val="20"/>
          <w:szCs w:val="20"/>
        </w:rPr>
        <w:t>As of December 25, 2021, the Company’s future debt payment obligations</w:t>
      </w:r>
      <w:r>
        <w:rPr>
          <w:rFonts w:ascii="Arial" w:eastAsia="宋体" w:hAnsi="Arial" w:cs="Arial"/>
          <w:color w:val="000000"/>
          <w:sz w:val="20"/>
          <w:szCs w:val="20"/>
        </w:rPr>
        <w:t xml:space="preserv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3"/>
        <w:gridCol w:w="6483"/>
        <w:gridCol w:w="36"/>
        <w:gridCol w:w="133"/>
        <w:gridCol w:w="1281"/>
        <w:gridCol w:w="36"/>
        <w:gridCol w:w="36"/>
        <w:gridCol w:w="36"/>
        <w:gridCol w:w="36"/>
        <w:gridCol w:w="36"/>
        <w:gridCol w:w="36"/>
        <w:gridCol w:w="36"/>
        <w:gridCol w:w="36"/>
        <w:gridCol w:w="36"/>
        <w:gridCol w:w="36"/>
      </w:tblGrid>
      <w:tr w:rsidR="0084406A" w14:paraId="5902A814" w14:textId="77777777">
        <w:tc>
          <w:tcPr>
            <w:tcW w:w="50" w:type="pct"/>
            <w:shd w:val="clear" w:color="auto" w:fill="auto"/>
            <w:vAlign w:val="bottom"/>
          </w:tcPr>
          <w:p w14:paraId="5902A80B" w14:textId="77777777" w:rsidR="0084406A" w:rsidRDefault="0084406A">
            <w:pPr>
              <w:rPr>
                <w:rFonts w:ascii="宋体"/>
              </w:rPr>
            </w:pPr>
          </w:p>
        </w:tc>
        <w:tc>
          <w:tcPr>
            <w:tcW w:w="4067" w:type="pct"/>
            <w:shd w:val="clear" w:color="auto" w:fill="auto"/>
            <w:vAlign w:val="bottom"/>
          </w:tcPr>
          <w:p w14:paraId="5902A80C" w14:textId="77777777" w:rsidR="0084406A" w:rsidRDefault="0084406A">
            <w:pPr>
              <w:rPr>
                <w:rFonts w:ascii="宋体"/>
              </w:rPr>
            </w:pPr>
          </w:p>
        </w:tc>
        <w:tc>
          <w:tcPr>
            <w:tcW w:w="5" w:type="pct"/>
            <w:shd w:val="clear" w:color="auto" w:fill="auto"/>
            <w:vAlign w:val="bottom"/>
          </w:tcPr>
          <w:p w14:paraId="5902A80D" w14:textId="77777777" w:rsidR="0084406A" w:rsidRDefault="0084406A">
            <w:pPr>
              <w:rPr>
                <w:rFonts w:ascii="宋体"/>
              </w:rPr>
            </w:pPr>
          </w:p>
        </w:tc>
        <w:tc>
          <w:tcPr>
            <w:tcW w:w="50" w:type="pct"/>
            <w:shd w:val="clear" w:color="auto" w:fill="auto"/>
            <w:vAlign w:val="bottom"/>
          </w:tcPr>
          <w:p w14:paraId="5902A80E" w14:textId="77777777" w:rsidR="0084406A" w:rsidRDefault="0084406A">
            <w:pPr>
              <w:rPr>
                <w:rFonts w:ascii="宋体"/>
              </w:rPr>
            </w:pPr>
          </w:p>
        </w:tc>
        <w:tc>
          <w:tcPr>
            <w:tcW w:w="822" w:type="pct"/>
            <w:shd w:val="clear" w:color="auto" w:fill="auto"/>
            <w:vAlign w:val="bottom"/>
          </w:tcPr>
          <w:p w14:paraId="5902A80F" w14:textId="77777777" w:rsidR="0084406A" w:rsidRDefault="0084406A">
            <w:pPr>
              <w:rPr>
                <w:rFonts w:ascii="宋体"/>
              </w:rPr>
            </w:pPr>
          </w:p>
        </w:tc>
        <w:tc>
          <w:tcPr>
            <w:tcW w:w="5" w:type="pct"/>
            <w:shd w:val="clear" w:color="auto" w:fill="auto"/>
            <w:vAlign w:val="bottom"/>
          </w:tcPr>
          <w:p w14:paraId="5902A810" w14:textId="77777777" w:rsidR="0084406A" w:rsidRDefault="0084406A">
            <w:pPr>
              <w:rPr>
                <w:rFonts w:ascii="宋体"/>
              </w:rPr>
            </w:pPr>
          </w:p>
        </w:tc>
        <w:tc>
          <w:tcPr>
            <w:tcW w:w="0" w:type="auto"/>
            <w:gridSpan w:val="3"/>
            <w:shd w:val="clear" w:color="auto" w:fill="auto"/>
            <w:vAlign w:val="bottom"/>
          </w:tcPr>
          <w:p w14:paraId="5902A811" w14:textId="77777777" w:rsidR="0084406A" w:rsidRDefault="0084406A">
            <w:pPr>
              <w:rPr>
                <w:rFonts w:ascii="宋体"/>
                <w:vanish/>
              </w:rPr>
            </w:pPr>
          </w:p>
        </w:tc>
        <w:tc>
          <w:tcPr>
            <w:tcW w:w="0" w:type="auto"/>
            <w:gridSpan w:val="3"/>
            <w:shd w:val="clear" w:color="auto" w:fill="auto"/>
            <w:vAlign w:val="bottom"/>
          </w:tcPr>
          <w:p w14:paraId="5902A812" w14:textId="77777777" w:rsidR="0084406A" w:rsidRDefault="0084406A">
            <w:pPr>
              <w:rPr>
                <w:rFonts w:ascii="宋体"/>
                <w:vanish/>
              </w:rPr>
            </w:pPr>
          </w:p>
        </w:tc>
        <w:tc>
          <w:tcPr>
            <w:tcW w:w="0" w:type="auto"/>
            <w:gridSpan w:val="3"/>
            <w:shd w:val="clear" w:color="auto" w:fill="auto"/>
            <w:vAlign w:val="bottom"/>
          </w:tcPr>
          <w:p w14:paraId="5902A813" w14:textId="77777777" w:rsidR="0084406A" w:rsidRDefault="0084406A">
            <w:pPr>
              <w:rPr>
                <w:rFonts w:ascii="宋体"/>
                <w:vanish/>
              </w:rPr>
            </w:pPr>
          </w:p>
        </w:tc>
      </w:tr>
      <w:tr w:rsidR="0084406A" w14:paraId="5902A81A" w14:textId="77777777">
        <w:tc>
          <w:tcPr>
            <w:tcW w:w="0" w:type="auto"/>
            <w:gridSpan w:val="3"/>
            <w:shd w:val="clear" w:color="auto" w:fill="auto"/>
            <w:tcMar>
              <w:top w:w="0" w:type="dxa"/>
              <w:left w:w="20" w:type="dxa"/>
              <w:bottom w:w="0" w:type="dxa"/>
              <w:right w:w="20" w:type="dxa"/>
            </w:tcMar>
            <w:vAlign w:val="bottom"/>
          </w:tcPr>
          <w:p w14:paraId="5902A81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816" w14:textId="77777777" w:rsidR="0084406A" w:rsidRDefault="002B18AF">
            <w:pPr>
              <w:jc w:val="center"/>
              <w:textAlignment w:val="bottom"/>
            </w:pPr>
            <w:r>
              <w:rPr>
                <w:rFonts w:ascii="Arial" w:eastAsia="宋体" w:hAnsi="Arial" w:cs="Arial"/>
                <w:b/>
                <w:bCs/>
                <w:color w:val="000000"/>
                <w:sz w:val="16"/>
                <w:szCs w:val="16"/>
              </w:rPr>
              <w:t>Term Debt</w:t>
            </w:r>
            <w:r>
              <w:rPr>
                <w:rFonts w:ascii="Arial" w:eastAsia="宋体" w:hAnsi="Arial" w:cs="Arial"/>
                <w:b/>
                <w:bCs/>
                <w:color w:val="000000"/>
                <w:sz w:val="16"/>
                <w:szCs w:val="16"/>
              </w:rPr>
              <w:br/>
              <w:t>(Principal only)</w:t>
            </w:r>
          </w:p>
        </w:tc>
        <w:tc>
          <w:tcPr>
            <w:tcW w:w="0" w:type="auto"/>
            <w:gridSpan w:val="3"/>
            <w:shd w:val="clear" w:color="auto" w:fill="auto"/>
            <w:vAlign w:val="bottom"/>
          </w:tcPr>
          <w:p w14:paraId="5902A817" w14:textId="77777777" w:rsidR="0084406A" w:rsidRDefault="0084406A">
            <w:pPr>
              <w:rPr>
                <w:rFonts w:ascii="宋体"/>
                <w:vanish/>
              </w:rPr>
            </w:pPr>
          </w:p>
        </w:tc>
        <w:tc>
          <w:tcPr>
            <w:tcW w:w="0" w:type="auto"/>
            <w:gridSpan w:val="3"/>
            <w:shd w:val="clear" w:color="auto" w:fill="auto"/>
            <w:vAlign w:val="bottom"/>
          </w:tcPr>
          <w:p w14:paraId="5902A818" w14:textId="77777777" w:rsidR="0084406A" w:rsidRDefault="0084406A">
            <w:pPr>
              <w:rPr>
                <w:rFonts w:ascii="宋体"/>
                <w:vanish/>
              </w:rPr>
            </w:pPr>
          </w:p>
        </w:tc>
        <w:tc>
          <w:tcPr>
            <w:tcW w:w="0" w:type="auto"/>
            <w:gridSpan w:val="3"/>
            <w:shd w:val="clear" w:color="auto" w:fill="auto"/>
            <w:vAlign w:val="bottom"/>
          </w:tcPr>
          <w:p w14:paraId="5902A819" w14:textId="77777777" w:rsidR="0084406A" w:rsidRDefault="0084406A">
            <w:pPr>
              <w:rPr>
                <w:rFonts w:ascii="宋体"/>
                <w:vanish/>
              </w:rPr>
            </w:pPr>
          </w:p>
        </w:tc>
      </w:tr>
      <w:tr w:rsidR="0084406A" w14:paraId="5902A826" w14:textId="77777777">
        <w:tc>
          <w:tcPr>
            <w:tcW w:w="0" w:type="auto"/>
            <w:gridSpan w:val="3"/>
            <w:shd w:val="clear" w:color="auto" w:fill="auto"/>
            <w:tcMar>
              <w:top w:w="40" w:type="dxa"/>
              <w:left w:w="20" w:type="dxa"/>
              <w:bottom w:w="40" w:type="dxa"/>
              <w:right w:w="20" w:type="dxa"/>
            </w:tcMar>
            <w:vAlign w:val="bottom"/>
          </w:tcPr>
          <w:p w14:paraId="5902A81B" w14:textId="77777777" w:rsidR="0084406A" w:rsidRDefault="002B18AF">
            <w:pPr>
              <w:textAlignment w:val="bottom"/>
            </w:pPr>
            <w:r>
              <w:rPr>
                <w:rFonts w:ascii="Arial" w:eastAsia="宋体" w:hAnsi="Arial" w:cs="Arial"/>
                <w:color w:val="000000"/>
                <w:sz w:val="20"/>
                <w:szCs w:val="20"/>
              </w:rPr>
              <w:t> Year</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1C" w14:textId="77777777" w:rsidR="0084406A" w:rsidRDefault="002B18AF">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5902A81D" w14:textId="77777777" w:rsidR="0084406A" w:rsidRDefault="0084406A">
            <w:pPr>
              <w:rPr>
                <w:rFonts w:ascii="宋体"/>
              </w:rPr>
            </w:pPr>
          </w:p>
        </w:tc>
        <w:tc>
          <w:tcPr>
            <w:tcW w:w="0" w:type="auto"/>
            <w:shd w:val="clear" w:color="auto" w:fill="auto"/>
            <w:vAlign w:val="bottom"/>
          </w:tcPr>
          <w:p w14:paraId="5902A81E" w14:textId="77777777" w:rsidR="0084406A" w:rsidRDefault="0084406A">
            <w:pPr>
              <w:rPr>
                <w:rFonts w:ascii="宋体"/>
              </w:rPr>
            </w:pPr>
          </w:p>
        </w:tc>
        <w:tc>
          <w:tcPr>
            <w:tcW w:w="0" w:type="auto"/>
            <w:shd w:val="clear" w:color="auto" w:fill="auto"/>
            <w:vAlign w:val="bottom"/>
          </w:tcPr>
          <w:p w14:paraId="5902A81F" w14:textId="77777777" w:rsidR="0084406A" w:rsidRDefault="0084406A">
            <w:pPr>
              <w:rPr>
                <w:rFonts w:ascii="宋体"/>
              </w:rPr>
            </w:pPr>
          </w:p>
        </w:tc>
        <w:tc>
          <w:tcPr>
            <w:tcW w:w="0" w:type="auto"/>
            <w:shd w:val="clear" w:color="auto" w:fill="auto"/>
            <w:vAlign w:val="bottom"/>
          </w:tcPr>
          <w:p w14:paraId="5902A820" w14:textId="77777777" w:rsidR="0084406A" w:rsidRDefault="0084406A">
            <w:pPr>
              <w:rPr>
                <w:rFonts w:ascii="宋体"/>
              </w:rPr>
            </w:pPr>
          </w:p>
        </w:tc>
        <w:tc>
          <w:tcPr>
            <w:tcW w:w="0" w:type="auto"/>
            <w:shd w:val="clear" w:color="auto" w:fill="auto"/>
            <w:vAlign w:val="bottom"/>
          </w:tcPr>
          <w:p w14:paraId="5902A821" w14:textId="77777777" w:rsidR="0084406A" w:rsidRDefault="0084406A">
            <w:pPr>
              <w:rPr>
                <w:rFonts w:ascii="宋体"/>
              </w:rPr>
            </w:pPr>
          </w:p>
        </w:tc>
        <w:tc>
          <w:tcPr>
            <w:tcW w:w="0" w:type="auto"/>
            <w:shd w:val="clear" w:color="auto" w:fill="auto"/>
            <w:vAlign w:val="bottom"/>
          </w:tcPr>
          <w:p w14:paraId="5902A822" w14:textId="77777777" w:rsidR="0084406A" w:rsidRDefault="0084406A">
            <w:pPr>
              <w:rPr>
                <w:rFonts w:ascii="宋体"/>
              </w:rPr>
            </w:pPr>
          </w:p>
        </w:tc>
        <w:tc>
          <w:tcPr>
            <w:tcW w:w="0" w:type="auto"/>
            <w:shd w:val="clear" w:color="auto" w:fill="auto"/>
            <w:vAlign w:val="bottom"/>
          </w:tcPr>
          <w:p w14:paraId="5902A823" w14:textId="77777777" w:rsidR="0084406A" w:rsidRDefault="0084406A">
            <w:pPr>
              <w:rPr>
                <w:rFonts w:ascii="宋体"/>
              </w:rPr>
            </w:pPr>
          </w:p>
        </w:tc>
        <w:tc>
          <w:tcPr>
            <w:tcW w:w="0" w:type="auto"/>
            <w:shd w:val="clear" w:color="auto" w:fill="auto"/>
            <w:vAlign w:val="bottom"/>
          </w:tcPr>
          <w:p w14:paraId="5902A824" w14:textId="77777777" w:rsidR="0084406A" w:rsidRDefault="0084406A">
            <w:pPr>
              <w:rPr>
                <w:rFonts w:ascii="宋体"/>
              </w:rPr>
            </w:pPr>
          </w:p>
        </w:tc>
        <w:tc>
          <w:tcPr>
            <w:tcW w:w="0" w:type="auto"/>
            <w:shd w:val="clear" w:color="auto" w:fill="auto"/>
            <w:vAlign w:val="bottom"/>
          </w:tcPr>
          <w:p w14:paraId="5902A825" w14:textId="77777777" w:rsidR="0084406A" w:rsidRDefault="0084406A">
            <w:pPr>
              <w:rPr>
                <w:rFonts w:ascii="宋体"/>
              </w:rPr>
            </w:pPr>
          </w:p>
        </w:tc>
      </w:tr>
      <w:tr w:rsidR="0084406A" w14:paraId="5902A82C" w14:textId="77777777">
        <w:trPr>
          <w:hidden/>
        </w:trPr>
        <w:tc>
          <w:tcPr>
            <w:tcW w:w="0" w:type="auto"/>
            <w:gridSpan w:val="3"/>
            <w:shd w:val="clear" w:color="auto" w:fill="auto"/>
            <w:vAlign w:val="bottom"/>
          </w:tcPr>
          <w:p w14:paraId="5902A827" w14:textId="77777777" w:rsidR="0084406A" w:rsidRDefault="0084406A">
            <w:pPr>
              <w:rPr>
                <w:rFonts w:ascii="宋体"/>
                <w:vanish/>
              </w:rPr>
            </w:pPr>
          </w:p>
        </w:tc>
        <w:tc>
          <w:tcPr>
            <w:tcW w:w="0" w:type="auto"/>
            <w:gridSpan w:val="3"/>
            <w:shd w:val="clear" w:color="auto" w:fill="auto"/>
            <w:vAlign w:val="bottom"/>
          </w:tcPr>
          <w:p w14:paraId="5902A828" w14:textId="77777777" w:rsidR="0084406A" w:rsidRDefault="0084406A">
            <w:pPr>
              <w:rPr>
                <w:rFonts w:ascii="宋体"/>
                <w:vanish/>
              </w:rPr>
            </w:pPr>
          </w:p>
        </w:tc>
        <w:tc>
          <w:tcPr>
            <w:tcW w:w="0" w:type="auto"/>
            <w:gridSpan w:val="3"/>
            <w:shd w:val="clear" w:color="auto" w:fill="auto"/>
            <w:vAlign w:val="bottom"/>
          </w:tcPr>
          <w:p w14:paraId="5902A829" w14:textId="77777777" w:rsidR="0084406A" w:rsidRDefault="0084406A">
            <w:pPr>
              <w:rPr>
                <w:rFonts w:ascii="宋体"/>
                <w:vanish/>
              </w:rPr>
            </w:pPr>
          </w:p>
        </w:tc>
        <w:tc>
          <w:tcPr>
            <w:tcW w:w="0" w:type="auto"/>
            <w:gridSpan w:val="3"/>
            <w:shd w:val="clear" w:color="auto" w:fill="auto"/>
            <w:vAlign w:val="bottom"/>
          </w:tcPr>
          <w:p w14:paraId="5902A82A" w14:textId="77777777" w:rsidR="0084406A" w:rsidRDefault="0084406A">
            <w:pPr>
              <w:rPr>
                <w:rFonts w:ascii="宋体"/>
                <w:vanish/>
              </w:rPr>
            </w:pPr>
          </w:p>
        </w:tc>
        <w:tc>
          <w:tcPr>
            <w:tcW w:w="0" w:type="auto"/>
            <w:gridSpan w:val="3"/>
            <w:shd w:val="clear" w:color="auto" w:fill="auto"/>
            <w:vAlign w:val="bottom"/>
          </w:tcPr>
          <w:p w14:paraId="5902A82B" w14:textId="77777777" w:rsidR="0084406A" w:rsidRDefault="0084406A">
            <w:pPr>
              <w:rPr>
                <w:rFonts w:ascii="宋体"/>
                <w:vanish/>
              </w:rPr>
            </w:pPr>
          </w:p>
        </w:tc>
      </w:tr>
      <w:tr w:rsidR="0084406A" w14:paraId="5902A834" w14:textId="77777777">
        <w:tc>
          <w:tcPr>
            <w:tcW w:w="0" w:type="auto"/>
            <w:gridSpan w:val="3"/>
            <w:shd w:val="clear" w:color="auto" w:fill="CCEEFF"/>
            <w:tcMar>
              <w:top w:w="40" w:type="dxa"/>
              <w:left w:w="20" w:type="dxa"/>
              <w:bottom w:w="40" w:type="dxa"/>
              <w:right w:w="20" w:type="dxa"/>
            </w:tcMar>
            <w:vAlign w:val="bottom"/>
          </w:tcPr>
          <w:p w14:paraId="5902A82D" w14:textId="77777777" w:rsidR="0084406A" w:rsidRDefault="002B18AF">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5902A82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82F"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5902A830" w14:textId="77777777" w:rsidR="0084406A" w:rsidRDefault="0084406A">
            <w:pPr>
              <w:jc w:val="right"/>
              <w:rPr>
                <w:rFonts w:ascii="宋体"/>
              </w:rPr>
            </w:pPr>
          </w:p>
        </w:tc>
        <w:tc>
          <w:tcPr>
            <w:tcW w:w="0" w:type="auto"/>
            <w:gridSpan w:val="3"/>
            <w:shd w:val="clear" w:color="auto" w:fill="auto"/>
            <w:vAlign w:val="bottom"/>
          </w:tcPr>
          <w:p w14:paraId="5902A831" w14:textId="77777777" w:rsidR="0084406A" w:rsidRDefault="0084406A">
            <w:pPr>
              <w:rPr>
                <w:rFonts w:ascii="宋体"/>
                <w:vanish/>
              </w:rPr>
            </w:pPr>
          </w:p>
        </w:tc>
        <w:tc>
          <w:tcPr>
            <w:tcW w:w="0" w:type="auto"/>
            <w:gridSpan w:val="3"/>
            <w:shd w:val="clear" w:color="auto" w:fill="auto"/>
            <w:vAlign w:val="bottom"/>
          </w:tcPr>
          <w:p w14:paraId="5902A832" w14:textId="77777777" w:rsidR="0084406A" w:rsidRDefault="0084406A">
            <w:pPr>
              <w:rPr>
                <w:rFonts w:ascii="宋体"/>
                <w:vanish/>
              </w:rPr>
            </w:pPr>
          </w:p>
        </w:tc>
        <w:tc>
          <w:tcPr>
            <w:tcW w:w="0" w:type="auto"/>
            <w:gridSpan w:val="3"/>
            <w:shd w:val="clear" w:color="auto" w:fill="auto"/>
            <w:vAlign w:val="bottom"/>
          </w:tcPr>
          <w:p w14:paraId="5902A833" w14:textId="77777777" w:rsidR="0084406A" w:rsidRDefault="0084406A">
            <w:pPr>
              <w:rPr>
                <w:rFonts w:ascii="宋体"/>
                <w:vanish/>
              </w:rPr>
            </w:pPr>
          </w:p>
        </w:tc>
      </w:tr>
      <w:tr w:rsidR="0084406A" w14:paraId="5902A83A" w14:textId="77777777">
        <w:trPr>
          <w:hidden/>
        </w:trPr>
        <w:tc>
          <w:tcPr>
            <w:tcW w:w="0" w:type="auto"/>
            <w:gridSpan w:val="3"/>
            <w:shd w:val="clear" w:color="auto" w:fill="auto"/>
            <w:vAlign w:val="bottom"/>
          </w:tcPr>
          <w:p w14:paraId="5902A835" w14:textId="77777777" w:rsidR="0084406A" w:rsidRDefault="0084406A">
            <w:pPr>
              <w:rPr>
                <w:rFonts w:ascii="宋体"/>
                <w:vanish/>
              </w:rPr>
            </w:pPr>
          </w:p>
        </w:tc>
        <w:tc>
          <w:tcPr>
            <w:tcW w:w="0" w:type="auto"/>
            <w:gridSpan w:val="3"/>
            <w:shd w:val="clear" w:color="auto" w:fill="auto"/>
            <w:vAlign w:val="bottom"/>
          </w:tcPr>
          <w:p w14:paraId="5902A836" w14:textId="77777777" w:rsidR="0084406A" w:rsidRDefault="0084406A">
            <w:pPr>
              <w:rPr>
                <w:rFonts w:ascii="宋体"/>
                <w:vanish/>
              </w:rPr>
            </w:pPr>
          </w:p>
        </w:tc>
        <w:tc>
          <w:tcPr>
            <w:tcW w:w="0" w:type="auto"/>
            <w:gridSpan w:val="3"/>
            <w:shd w:val="clear" w:color="auto" w:fill="auto"/>
            <w:vAlign w:val="bottom"/>
          </w:tcPr>
          <w:p w14:paraId="5902A837" w14:textId="77777777" w:rsidR="0084406A" w:rsidRDefault="0084406A">
            <w:pPr>
              <w:rPr>
                <w:rFonts w:ascii="宋体"/>
                <w:vanish/>
              </w:rPr>
            </w:pPr>
          </w:p>
        </w:tc>
        <w:tc>
          <w:tcPr>
            <w:tcW w:w="0" w:type="auto"/>
            <w:gridSpan w:val="3"/>
            <w:shd w:val="clear" w:color="auto" w:fill="auto"/>
            <w:vAlign w:val="bottom"/>
          </w:tcPr>
          <w:p w14:paraId="5902A838" w14:textId="77777777" w:rsidR="0084406A" w:rsidRDefault="0084406A">
            <w:pPr>
              <w:rPr>
                <w:rFonts w:ascii="宋体"/>
                <w:vanish/>
              </w:rPr>
            </w:pPr>
          </w:p>
        </w:tc>
        <w:tc>
          <w:tcPr>
            <w:tcW w:w="0" w:type="auto"/>
            <w:gridSpan w:val="3"/>
            <w:shd w:val="clear" w:color="auto" w:fill="auto"/>
            <w:vAlign w:val="bottom"/>
          </w:tcPr>
          <w:p w14:paraId="5902A839" w14:textId="77777777" w:rsidR="0084406A" w:rsidRDefault="0084406A">
            <w:pPr>
              <w:rPr>
                <w:rFonts w:ascii="宋体"/>
                <w:vanish/>
              </w:rPr>
            </w:pPr>
          </w:p>
        </w:tc>
      </w:tr>
      <w:tr w:rsidR="0084406A" w14:paraId="5902A840" w14:textId="77777777">
        <w:trPr>
          <w:hidden/>
        </w:trPr>
        <w:tc>
          <w:tcPr>
            <w:tcW w:w="0" w:type="auto"/>
            <w:gridSpan w:val="3"/>
            <w:shd w:val="clear" w:color="auto" w:fill="auto"/>
            <w:vAlign w:val="bottom"/>
          </w:tcPr>
          <w:p w14:paraId="5902A83B" w14:textId="77777777" w:rsidR="0084406A" w:rsidRDefault="0084406A">
            <w:pPr>
              <w:rPr>
                <w:rFonts w:ascii="宋体"/>
                <w:vanish/>
              </w:rPr>
            </w:pPr>
          </w:p>
        </w:tc>
        <w:tc>
          <w:tcPr>
            <w:tcW w:w="0" w:type="auto"/>
            <w:gridSpan w:val="3"/>
            <w:shd w:val="clear" w:color="auto" w:fill="auto"/>
            <w:vAlign w:val="bottom"/>
          </w:tcPr>
          <w:p w14:paraId="5902A83C" w14:textId="77777777" w:rsidR="0084406A" w:rsidRDefault="0084406A">
            <w:pPr>
              <w:rPr>
                <w:rFonts w:ascii="宋体"/>
                <w:vanish/>
              </w:rPr>
            </w:pPr>
          </w:p>
        </w:tc>
        <w:tc>
          <w:tcPr>
            <w:tcW w:w="0" w:type="auto"/>
            <w:gridSpan w:val="3"/>
            <w:shd w:val="clear" w:color="auto" w:fill="auto"/>
            <w:vAlign w:val="bottom"/>
          </w:tcPr>
          <w:p w14:paraId="5902A83D" w14:textId="77777777" w:rsidR="0084406A" w:rsidRDefault="0084406A">
            <w:pPr>
              <w:rPr>
                <w:rFonts w:ascii="宋体"/>
                <w:vanish/>
              </w:rPr>
            </w:pPr>
          </w:p>
        </w:tc>
        <w:tc>
          <w:tcPr>
            <w:tcW w:w="0" w:type="auto"/>
            <w:gridSpan w:val="3"/>
            <w:shd w:val="clear" w:color="auto" w:fill="auto"/>
            <w:vAlign w:val="bottom"/>
          </w:tcPr>
          <w:p w14:paraId="5902A83E" w14:textId="77777777" w:rsidR="0084406A" w:rsidRDefault="0084406A">
            <w:pPr>
              <w:rPr>
                <w:rFonts w:ascii="宋体"/>
                <w:vanish/>
              </w:rPr>
            </w:pPr>
          </w:p>
        </w:tc>
        <w:tc>
          <w:tcPr>
            <w:tcW w:w="0" w:type="auto"/>
            <w:gridSpan w:val="3"/>
            <w:shd w:val="clear" w:color="auto" w:fill="auto"/>
            <w:vAlign w:val="bottom"/>
          </w:tcPr>
          <w:p w14:paraId="5902A83F" w14:textId="77777777" w:rsidR="0084406A" w:rsidRDefault="0084406A">
            <w:pPr>
              <w:rPr>
                <w:rFonts w:ascii="宋体"/>
                <w:vanish/>
              </w:rPr>
            </w:pPr>
          </w:p>
        </w:tc>
      </w:tr>
      <w:tr w:rsidR="0084406A" w14:paraId="5902A846" w14:textId="77777777">
        <w:trPr>
          <w:hidden/>
        </w:trPr>
        <w:tc>
          <w:tcPr>
            <w:tcW w:w="0" w:type="auto"/>
            <w:gridSpan w:val="3"/>
            <w:shd w:val="clear" w:color="auto" w:fill="auto"/>
            <w:vAlign w:val="bottom"/>
          </w:tcPr>
          <w:p w14:paraId="5902A841" w14:textId="77777777" w:rsidR="0084406A" w:rsidRDefault="0084406A">
            <w:pPr>
              <w:rPr>
                <w:rFonts w:ascii="宋体"/>
                <w:vanish/>
              </w:rPr>
            </w:pPr>
          </w:p>
        </w:tc>
        <w:tc>
          <w:tcPr>
            <w:tcW w:w="0" w:type="auto"/>
            <w:gridSpan w:val="3"/>
            <w:shd w:val="clear" w:color="auto" w:fill="auto"/>
            <w:vAlign w:val="bottom"/>
          </w:tcPr>
          <w:p w14:paraId="5902A842" w14:textId="77777777" w:rsidR="0084406A" w:rsidRDefault="0084406A">
            <w:pPr>
              <w:rPr>
                <w:rFonts w:ascii="宋体"/>
                <w:vanish/>
              </w:rPr>
            </w:pPr>
          </w:p>
        </w:tc>
        <w:tc>
          <w:tcPr>
            <w:tcW w:w="0" w:type="auto"/>
            <w:gridSpan w:val="3"/>
            <w:shd w:val="clear" w:color="auto" w:fill="auto"/>
            <w:vAlign w:val="bottom"/>
          </w:tcPr>
          <w:p w14:paraId="5902A843" w14:textId="77777777" w:rsidR="0084406A" w:rsidRDefault="0084406A">
            <w:pPr>
              <w:rPr>
                <w:rFonts w:ascii="宋体"/>
                <w:vanish/>
              </w:rPr>
            </w:pPr>
          </w:p>
        </w:tc>
        <w:tc>
          <w:tcPr>
            <w:tcW w:w="0" w:type="auto"/>
            <w:gridSpan w:val="3"/>
            <w:shd w:val="clear" w:color="auto" w:fill="auto"/>
            <w:vAlign w:val="bottom"/>
          </w:tcPr>
          <w:p w14:paraId="5902A844" w14:textId="77777777" w:rsidR="0084406A" w:rsidRDefault="0084406A">
            <w:pPr>
              <w:rPr>
                <w:rFonts w:ascii="宋体"/>
                <w:vanish/>
              </w:rPr>
            </w:pPr>
          </w:p>
        </w:tc>
        <w:tc>
          <w:tcPr>
            <w:tcW w:w="0" w:type="auto"/>
            <w:gridSpan w:val="3"/>
            <w:shd w:val="clear" w:color="auto" w:fill="auto"/>
            <w:vAlign w:val="bottom"/>
          </w:tcPr>
          <w:p w14:paraId="5902A845" w14:textId="77777777" w:rsidR="0084406A" w:rsidRDefault="0084406A">
            <w:pPr>
              <w:rPr>
                <w:rFonts w:ascii="宋体"/>
                <w:vanish/>
              </w:rPr>
            </w:pPr>
          </w:p>
        </w:tc>
      </w:tr>
      <w:tr w:rsidR="0084406A" w14:paraId="5902A84D" w14:textId="77777777">
        <w:tc>
          <w:tcPr>
            <w:tcW w:w="0" w:type="auto"/>
            <w:gridSpan w:val="3"/>
            <w:shd w:val="clear" w:color="auto" w:fill="FFFFFF"/>
            <w:tcMar>
              <w:top w:w="40" w:type="dxa"/>
              <w:left w:w="20" w:type="dxa"/>
              <w:bottom w:w="40" w:type="dxa"/>
              <w:right w:w="20" w:type="dxa"/>
            </w:tcMar>
            <w:vAlign w:val="bottom"/>
          </w:tcPr>
          <w:p w14:paraId="5902A847" w14:textId="77777777" w:rsidR="0084406A" w:rsidRDefault="002B18AF">
            <w:pPr>
              <w:textAlignment w:val="bottom"/>
            </w:pPr>
            <w:r>
              <w:rPr>
                <w:rFonts w:ascii="Arial" w:eastAsia="宋体" w:hAnsi="Arial" w:cs="Arial"/>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902A848"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849" w14:textId="77777777" w:rsidR="0084406A" w:rsidRDefault="0084406A">
            <w:pPr>
              <w:jc w:val="right"/>
              <w:rPr>
                <w:rFonts w:ascii="宋体"/>
              </w:rPr>
            </w:pPr>
          </w:p>
        </w:tc>
        <w:tc>
          <w:tcPr>
            <w:tcW w:w="0" w:type="auto"/>
            <w:gridSpan w:val="3"/>
            <w:shd w:val="clear" w:color="auto" w:fill="auto"/>
            <w:vAlign w:val="bottom"/>
          </w:tcPr>
          <w:p w14:paraId="5902A84A" w14:textId="77777777" w:rsidR="0084406A" w:rsidRDefault="0084406A">
            <w:pPr>
              <w:rPr>
                <w:rFonts w:ascii="宋体"/>
                <w:vanish/>
              </w:rPr>
            </w:pPr>
          </w:p>
        </w:tc>
        <w:tc>
          <w:tcPr>
            <w:tcW w:w="0" w:type="auto"/>
            <w:gridSpan w:val="3"/>
            <w:shd w:val="clear" w:color="auto" w:fill="auto"/>
            <w:vAlign w:val="bottom"/>
          </w:tcPr>
          <w:p w14:paraId="5902A84B" w14:textId="77777777" w:rsidR="0084406A" w:rsidRDefault="0084406A">
            <w:pPr>
              <w:rPr>
                <w:rFonts w:ascii="宋体"/>
                <w:vanish/>
              </w:rPr>
            </w:pPr>
          </w:p>
        </w:tc>
        <w:tc>
          <w:tcPr>
            <w:tcW w:w="0" w:type="auto"/>
            <w:gridSpan w:val="3"/>
            <w:shd w:val="clear" w:color="auto" w:fill="auto"/>
            <w:vAlign w:val="bottom"/>
          </w:tcPr>
          <w:p w14:paraId="5902A84C" w14:textId="77777777" w:rsidR="0084406A" w:rsidRDefault="0084406A">
            <w:pPr>
              <w:rPr>
                <w:rFonts w:ascii="宋体"/>
                <w:vanish/>
              </w:rPr>
            </w:pPr>
          </w:p>
        </w:tc>
      </w:tr>
      <w:tr w:rsidR="0084406A" w14:paraId="5902A855" w14:textId="77777777">
        <w:tc>
          <w:tcPr>
            <w:tcW w:w="0" w:type="auto"/>
            <w:gridSpan w:val="3"/>
            <w:shd w:val="clear" w:color="auto" w:fill="CCEEFF"/>
            <w:tcMar>
              <w:top w:w="40" w:type="dxa"/>
              <w:left w:w="20" w:type="dxa"/>
              <w:bottom w:w="40" w:type="dxa"/>
              <w:right w:w="20" w:type="dxa"/>
            </w:tcMar>
            <w:vAlign w:val="bottom"/>
          </w:tcPr>
          <w:p w14:paraId="5902A84E" w14:textId="77777777" w:rsidR="0084406A" w:rsidRDefault="002B18AF">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84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850" w14:textId="77777777" w:rsidR="0084406A" w:rsidRDefault="002B18AF">
            <w:pPr>
              <w:jc w:val="right"/>
              <w:textAlignment w:val="bottom"/>
            </w:pPr>
            <w:r>
              <w:rPr>
                <w:rFonts w:ascii="Arial" w:eastAsia="宋体" w:hAnsi="Arial" w:cs="Arial"/>
                <w:color w:val="000000"/>
                <w:sz w:val="20"/>
                <w:szCs w:val="20"/>
              </w:rPr>
              <w:t>313 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851" w14:textId="77777777" w:rsidR="0084406A" w:rsidRDefault="0084406A">
            <w:pPr>
              <w:jc w:val="right"/>
              <w:rPr>
                <w:rFonts w:ascii="宋体"/>
              </w:rPr>
            </w:pPr>
          </w:p>
        </w:tc>
        <w:tc>
          <w:tcPr>
            <w:tcW w:w="0" w:type="auto"/>
            <w:gridSpan w:val="3"/>
            <w:shd w:val="clear" w:color="auto" w:fill="auto"/>
            <w:vAlign w:val="bottom"/>
          </w:tcPr>
          <w:p w14:paraId="5902A852" w14:textId="77777777" w:rsidR="0084406A" w:rsidRDefault="0084406A">
            <w:pPr>
              <w:rPr>
                <w:rFonts w:ascii="宋体"/>
                <w:vanish/>
              </w:rPr>
            </w:pPr>
          </w:p>
        </w:tc>
        <w:tc>
          <w:tcPr>
            <w:tcW w:w="0" w:type="auto"/>
            <w:gridSpan w:val="3"/>
            <w:shd w:val="clear" w:color="auto" w:fill="auto"/>
            <w:vAlign w:val="bottom"/>
          </w:tcPr>
          <w:p w14:paraId="5902A853" w14:textId="77777777" w:rsidR="0084406A" w:rsidRDefault="0084406A">
            <w:pPr>
              <w:rPr>
                <w:rFonts w:ascii="宋体"/>
                <w:vanish/>
              </w:rPr>
            </w:pPr>
          </w:p>
        </w:tc>
        <w:tc>
          <w:tcPr>
            <w:tcW w:w="0" w:type="auto"/>
            <w:gridSpan w:val="3"/>
            <w:shd w:val="clear" w:color="auto" w:fill="auto"/>
            <w:vAlign w:val="bottom"/>
          </w:tcPr>
          <w:p w14:paraId="5902A854" w14:textId="77777777" w:rsidR="0084406A" w:rsidRDefault="0084406A">
            <w:pPr>
              <w:rPr>
                <w:rFonts w:ascii="宋体"/>
                <w:vanish/>
              </w:rPr>
            </w:pPr>
          </w:p>
        </w:tc>
      </w:tr>
    </w:tbl>
    <w:p w14:paraId="5902A856" w14:textId="77777777" w:rsidR="0084406A" w:rsidRDefault="002B18AF">
      <w:pPr>
        <w:jc w:val="center"/>
      </w:pPr>
      <w:r>
        <w:rPr>
          <w:rFonts w:ascii="Arial" w:eastAsia="宋体" w:hAnsi="Arial" w:cs="Arial"/>
          <w:color w:val="000000"/>
          <w:sz w:val="20"/>
          <w:szCs w:val="20"/>
        </w:rPr>
        <w:t>62</w:t>
      </w:r>
    </w:p>
    <w:p w14:paraId="5902A857" w14:textId="77777777" w:rsidR="0084406A" w:rsidRDefault="002B18AF">
      <w:r>
        <w:pict w14:anchorId="5902BB34">
          <v:rect id="_x0000_i1089" style="width:415.3pt;height:1.5pt" o:hralign="center" o:hrstd="t" o:hr="t" fillcolor="#a0a0a0" stroked="f"/>
        </w:pict>
      </w:r>
    </w:p>
    <w:p w14:paraId="5902A858" w14:textId="77777777" w:rsidR="0084406A" w:rsidRDefault="0084406A"/>
    <w:p w14:paraId="5902A859" w14:textId="77777777" w:rsidR="0084406A" w:rsidRDefault="002B18AF">
      <w:pPr>
        <w:spacing w:before="280"/>
      </w:pPr>
      <w:r>
        <w:rPr>
          <w:rFonts w:ascii="Arial" w:eastAsia="宋体" w:hAnsi="Arial" w:cs="Arial"/>
          <w:b/>
          <w:bCs/>
          <w:color w:val="000000"/>
          <w:sz w:val="20"/>
          <w:szCs w:val="20"/>
        </w:rPr>
        <w:t xml:space="preserve">NOTE 7 – Financial Instruments </w:t>
      </w:r>
    </w:p>
    <w:p w14:paraId="5902A85A" w14:textId="77777777" w:rsidR="0084406A" w:rsidRDefault="002B18AF">
      <w:pPr>
        <w:spacing w:before="180"/>
        <w:jc w:val="both"/>
      </w:pPr>
      <w:r>
        <w:rPr>
          <w:rFonts w:ascii="Arial" w:eastAsia="宋体" w:hAnsi="Arial" w:cs="Arial"/>
          <w:b/>
          <w:bCs/>
          <w:color w:val="000000"/>
          <w:sz w:val="20"/>
          <w:szCs w:val="20"/>
        </w:rPr>
        <w:t xml:space="preserve">Fair Value Measurements </w:t>
      </w:r>
    </w:p>
    <w:p w14:paraId="5902A85B" w14:textId="77777777" w:rsidR="0084406A" w:rsidRDefault="002B18AF">
      <w:pPr>
        <w:spacing w:before="180"/>
        <w:jc w:val="both"/>
      </w:pPr>
      <w:r>
        <w:rPr>
          <w:rFonts w:ascii="Arial" w:eastAsia="宋体" w:hAnsi="Arial" w:cs="Arial"/>
          <w:color w:val="000000"/>
          <w:sz w:val="20"/>
          <w:szCs w:val="20"/>
        </w:rPr>
        <w:t>The Company’s financial instruments are measured and recorded at fair value on a recurring basis, except for non-marketable equity investments in privately-held companies. These equity investments are generally accounted for under the measurement alternati</w:t>
      </w:r>
      <w:r>
        <w:rPr>
          <w:rFonts w:ascii="Arial" w:eastAsia="宋体" w:hAnsi="Arial" w:cs="Arial"/>
          <w:color w:val="000000"/>
          <w:sz w:val="20"/>
          <w:szCs w:val="20"/>
        </w:rPr>
        <w:t xml:space="preserve">ve, defined as cost, less impairments, adjusted for subsequent observable price changes and are periodically assessed for impairment when events or circumstances indicate that a decline in value may have occurred. </w:t>
      </w:r>
    </w:p>
    <w:p w14:paraId="5902A85C" w14:textId="77777777" w:rsidR="0084406A" w:rsidRDefault="002B18AF">
      <w:pPr>
        <w:spacing w:before="180"/>
      </w:pPr>
      <w:r>
        <w:rPr>
          <w:rFonts w:ascii="Arial" w:eastAsia="宋体" w:hAnsi="Arial" w:cs="Arial"/>
          <w:i/>
          <w:iCs/>
          <w:color w:val="000000"/>
          <w:sz w:val="20"/>
          <w:szCs w:val="20"/>
        </w:rPr>
        <w:t>Fair Value Hierarchy</w:t>
      </w:r>
    </w:p>
    <w:p w14:paraId="5902A85D" w14:textId="77777777" w:rsidR="0084406A" w:rsidRDefault="002B18AF">
      <w:pPr>
        <w:spacing w:before="180"/>
        <w:jc w:val="both"/>
      </w:pPr>
      <w:r>
        <w:rPr>
          <w:rFonts w:ascii="Arial" w:eastAsia="宋体" w:hAnsi="Arial" w:cs="Arial"/>
          <w:color w:val="000000"/>
          <w:sz w:val="20"/>
          <w:szCs w:val="20"/>
        </w:rPr>
        <w:t>The fair value frame</w:t>
      </w:r>
      <w:r>
        <w:rPr>
          <w:rFonts w:ascii="Arial" w:eastAsia="宋体" w:hAnsi="Arial" w:cs="Arial"/>
          <w:color w:val="000000"/>
          <w:sz w:val="20"/>
          <w:szCs w:val="20"/>
        </w:rPr>
        <w:t>work requires the categorization of assets and liabilities into three levels based upon the assumptions (inputs) used to price the assets or liabilities. The guidance for fair value measurements requires that assets and liabilities carried at fair value be</w:t>
      </w:r>
      <w:r>
        <w:rPr>
          <w:rFonts w:ascii="Arial" w:eastAsia="宋体" w:hAnsi="Arial" w:cs="Arial"/>
          <w:color w:val="000000"/>
          <w:sz w:val="20"/>
          <w:szCs w:val="20"/>
        </w:rPr>
        <w:t xml:space="preserve"> classified and disclosed in one of the following categories:</w:t>
      </w:r>
    </w:p>
    <w:p w14:paraId="5902A85E" w14:textId="77777777" w:rsidR="0084406A" w:rsidRDefault="002B18AF">
      <w:pPr>
        <w:spacing w:before="180"/>
        <w:jc w:val="both"/>
      </w:pPr>
      <w:r>
        <w:rPr>
          <w:rFonts w:ascii="Arial" w:eastAsia="宋体" w:hAnsi="Arial" w:cs="Arial"/>
          <w:color w:val="000000"/>
          <w:sz w:val="20"/>
          <w:szCs w:val="20"/>
        </w:rPr>
        <w:t>Level 1 — Quoted (unadjusted) prices in active markets for identical assets or liabilities.</w:t>
      </w:r>
    </w:p>
    <w:p w14:paraId="5902A85F" w14:textId="77777777" w:rsidR="0084406A" w:rsidRDefault="002B18AF">
      <w:pPr>
        <w:spacing w:before="180"/>
        <w:jc w:val="both"/>
      </w:pPr>
      <w:r>
        <w:rPr>
          <w:rFonts w:ascii="Arial" w:eastAsia="宋体" w:hAnsi="Arial" w:cs="Arial"/>
          <w:color w:val="000000"/>
          <w:sz w:val="20"/>
          <w:szCs w:val="20"/>
        </w:rPr>
        <w:t xml:space="preserve">Level 2 — Observable inputs other than quoted prices included in Level 1, such as quoted prices for </w:t>
      </w:r>
      <w:r>
        <w:rPr>
          <w:rFonts w:ascii="Arial" w:eastAsia="宋体" w:hAnsi="Arial" w:cs="Arial"/>
          <w:color w:val="000000"/>
          <w:sz w:val="20"/>
          <w:szCs w:val="20"/>
        </w:rPr>
        <w:t>similar assets or liabilities in active markets; quoted prices for identical or similar assets or liabilities in markets that are not active; or other inputs that are observable or can be corroborated by observable market data for substantially the full te</w:t>
      </w:r>
      <w:r>
        <w:rPr>
          <w:rFonts w:ascii="Arial" w:eastAsia="宋体" w:hAnsi="Arial" w:cs="Arial"/>
          <w:color w:val="000000"/>
          <w:sz w:val="20"/>
          <w:szCs w:val="20"/>
        </w:rPr>
        <w:t>rm of the asset or liability.</w:t>
      </w:r>
    </w:p>
    <w:p w14:paraId="5902A860" w14:textId="77777777" w:rsidR="0084406A" w:rsidRDefault="002B18AF">
      <w:pPr>
        <w:spacing w:before="180"/>
        <w:jc w:val="both"/>
      </w:pPr>
      <w:r>
        <w:rPr>
          <w:rFonts w:ascii="Arial" w:eastAsia="宋体" w:hAnsi="Arial" w:cs="Arial"/>
          <w:color w:val="000000"/>
          <w:sz w:val="20"/>
          <w:szCs w:val="20"/>
        </w:rPr>
        <w:t>Level 3 — Unobservable inputs to the valuation methodology that are supported by little or no market activity and that are significant to the measurement of the fair value of the assets or liabilities. Level 3 assets and liabi</w:t>
      </w:r>
      <w:r>
        <w:rPr>
          <w:rFonts w:ascii="Arial" w:eastAsia="宋体" w:hAnsi="Arial" w:cs="Arial"/>
          <w:color w:val="000000"/>
          <w:sz w:val="20"/>
          <w:szCs w:val="20"/>
        </w:rPr>
        <w:t>lities include those whose fair value measurements are determined using pricing models, discounted cash flow methodologies or similar valuation techniques, as well as significant management judgment or estimation.</w:t>
      </w:r>
    </w:p>
    <w:p w14:paraId="5902A861" w14:textId="77777777" w:rsidR="0084406A" w:rsidRDefault="002B18AF">
      <w:pPr>
        <w:spacing w:before="180"/>
      </w:pPr>
      <w:r>
        <w:rPr>
          <w:rFonts w:ascii="Arial" w:eastAsia="宋体" w:hAnsi="Arial" w:cs="Arial"/>
          <w:i/>
          <w:iCs/>
          <w:color w:val="000000"/>
          <w:sz w:val="20"/>
          <w:szCs w:val="20"/>
        </w:rPr>
        <w:t>Financial Instruments Recorded at Fair Val</w:t>
      </w:r>
      <w:r>
        <w:rPr>
          <w:rFonts w:ascii="Arial" w:eastAsia="宋体" w:hAnsi="Arial" w:cs="Arial"/>
          <w:i/>
          <w:iCs/>
          <w:color w:val="000000"/>
          <w:sz w:val="20"/>
          <w:szCs w:val="20"/>
        </w:rPr>
        <w:t>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47"/>
        <w:gridCol w:w="2597"/>
        <w:gridCol w:w="38"/>
        <w:gridCol w:w="132"/>
        <w:gridCol w:w="721"/>
        <w:gridCol w:w="36"/>
        <w:gridCol w:w="36"/>
        <w:gridCol w:w="36"/>
        <w:gridCol w:w="36"/>
        <w:gridCol w:w="132"/>
        <w:gridCol w:w="665"/>
        <w:gridCol w:w="36"/>
        <w:gridCol w:w="36"/>
        <w:gridCol w:w="36"/>
        <w:gridCol w:w="36"/>
        <w:gridCol w:w="132"/>
        <w:gridCol w:w="722"/>
        <w:gridCol w:w="36"/>
        <w:gridCol w:w="36"/>
        <w:gridCol w:w="36"/>
        <w:gridCol w:w="36"/>
        <w:gridCol w:w="132"/>
        <w:gridCol w:w="666"/>
        <w:gridCol w:w="36"/>
        <w:gridCol w:w="36"/>
        <w:gridCol w:w="36"/>
        <w:gridCol w:w="36"/>
        <w:gridCol w:w="132"/>
        <w:gridCol w:w="666"/>
        <w:gridCol w:w="36"/>
        <w:gridCol w:w="36"/>
        <w:gridCol w:w="36"/>
        <w:gridCol w:w="36"/>
        <w:gridCol w:w="132"/>
        <w:gridCol w:w="666"/>
        <w:gridCol w:w="36"/>
      </w:tblGrid>
      <w:tr w:rsidR="0084406A" w14:paraId="5902A886" w14:textId="77777777">
        <w:tc>
          <w:tcPr>
            <w:tcW w:w="50" w:type="pct"/>
            <w:shd w:val="clear" w:color="auto" w:fill="auto"/>
            <w:vAlign w:val="bottom"/>
          </w:tcPr>
          <w:p w14:paraId="5902A862" w14:textId="77777777" w:rsidR="0084406A" w:rsidRDefault="0084406A">
            <w:pPr>
              <w:rPr>
                <w:rFonts w:ascii="宋体"/>
              </w:rPr>
            </w:pPr>
          </w:p>
        </w:tc>
        <w:tc>
          <w:tcPr>
            <w:tcW w:w="1611" w:type="pct"/>
            <w:shd w:val="clear" w:color="auto" w:fill="auto"/>
            <w:vAlign w:val="bottom"/>
          </w:tcPr>
          <w:p w14:paraId="5902A863" w14:textId="77777777" w:rsidR="0084406A" w:rsidRDefault="0084406A">
            <w:pPr>
              <w:rPr>
                <w:rFonts w:ascii="宋体"/>
              </w:rPr>
            </w:pPr>
          </w:p>
        </w:tc>
        <w:tc>
          <w:tcPr>
            <w:tcW w:w="5" w:type="pct"/>
            <w:shd w:val="clear" w:color="auto" w:fill="auto"/>
            <w:vAlign w:val="bottom"/>
          </w:tcPr>
          <w:p w14:paraId="5902A864" w14:textId="77777777" w:rsidR="0084406A" w:rsidRDefault="0084406A">
            <w:pPr>
              <w:rPr>
                <w:rFonts w:ascii="宋体"/>
              </w:rPr>
            </w:pPr>
          </w:p>
        </w:tc>
        <w:tc>
          <w:tcPr>
            <w:tcW w:w="50" w:type="pct"/>
            <w:shd w:val="clear" w:color="auto" w:fill="auto"/>
            <w:vAlign w:val="bottom"/>
          </w:tcPr>
          <w:p w14:paraId="5902A865" w14:textId="77777777" w:rsidR="0084406A" w:rsidRDefault="0084406A">
            <w:pPr>
              <w:rPr>
                <w:rFonts w:ascii="宋体"/>
              </w:rPr>
            </w:pPr>
          </w:p>
        </w:tc>
        <w:tc>
          <w:tcPr>
            <w:tcW w:w="471" w:type="pct"/>
            <w:shd w:val="clear" w:color="auto" w:fill="auto"/>
            <w:vAlign w:val="bottom"/>
          </w:tcPr>
          <w:p w14:paraId="5902A866" w14:textId="77777777" w:rsidR="0084406A" w:rsidRDefault="0084406A">
            <w:pPr>
              <w:rPr>
                <w:rFonts w:ascii="宋体"/>
              </w:rPr>
            </w:pPr>
          </w:p>
        </w:tc>
        <w:tc>
          <w:tcPr>
            <w:tcW w:w="5" w:type="pct"/>
            <w:shd w:val="clear" w:color="auto" w:fill="auto"/>
            <w:vAlign w:val="bottom"/>
          </w:tcPr>
          <w:p w14:paraId="5902A867" w14:textId="77777777" w:rsidR="0084406A" w:rsidRDefault="0084406A">
            <w:pPr>
              <w:rPr>
                <w:rFonts w:ascii="宋体"/>
              </w:rPr>
            </w:pPr>
          </w:p>
        </w:tc>
        <w:tc>
          <w:tcPr>
            <w:tcW w:w="5" w:type="pct"/>
            <w:shd w:val="clear" w:color="auto" w:fill="auto"/>
            <w:vAlign w:val="bottom"/>
          </w:tcPr>
          <w:p w14:paraId="5902A868" w14:textId="77777777" w:rsidR="0084406A" w:rsidRDefault="0084406A">
            <w:pPr>
              <w:rPr>
                <w:rFonts w:ascii="宋体"/>
              </w:rPr>
            </w:pPr>
          </w:p>
        </w:tc>
        <w:tc>
          <w:tcPr>
            <w:tcW w:w="26" w:type="pct"/>
            <w:shd w:val="clear" w:color="auto" w:fill="auto"/>
            <w:vAlign w:val="bottom"/>
          </w:tcPr>
          <w:p w14:paraId="5902A869" w14:textId="77777777" w:rsidR="0084406A" w:rsidRDefault="0084406A">
            <w:pPr>
              <w:rPr>
                <w:rFonts w:ascii="宋体"/>
              </w:rPr>
            </w:pPr>
          </w:p>
        </w:tc>
        <w:tc>
          <w:tcPr>
            <w:tcW w:w="5" w:type="pct"/>
            <w:shd w:val="clear" w:color="auto" w:fill="auto"/>
            <w:vAlign w:val="bottom"/>
          </w:tcPr>
          <w:p w14:paraId="5902A86A" w14:textId="77777777" w:rsidR="0084406A" w:rsidRDefault="0084406A">
            <w:pPr>
              <w:rPr>
                <w:rFonts w:ascii="宋体"/>
              </w:rPr>
            </w:pPr>
          </w:p>
        </w:tc>
        <w:tc>
          <w:tcPr>
            <w:tcW w:w="50" w:type="pct"/>
            <w:shd w:val="clear" w:color="auto" w:fill="auto"/>
            <w:vAlign w:val="bottom"/>
          </w:tcPr>
          <w:p w14:paraId="5902A86B" w14:textId="77777777" w:rsidR="0084406A" w:rsidRDefault="0084406A">
            <w:pPr>
              <w:rPr>
                <w:rFonts w:ascii="宋体"/>
              </w:rPr>
            </w:pPr>
          </w:p>
        </w:tc>
        <w:tc>
          <w:tcPr>
            <w:tcW w:w="471" w:type="pct"/>
            <w:shd w:val="clear" w:color="auto" w:fill="auto"/>
            <w:vAlign w:val="bottom"/>
          </w:tcPr>
          <w:p w14:paraId="5902A86C" w14:textId="77777777" w:rsidR="0084406A" w:rsidRDefault="0084406A">
            <w:pPr>
              <w:rPr>
                <w:rFonts w:ascii="宋体"/>
              </w:rPr>
            </w:pPr>
          </w:p>
        </w:tc>
        <w:tc>
          <w:tcPr>
            <w:tcW w:w="5" w:type="pct"/>
            <w:shd w:val="clear" w:color="auto" w:fill="auto"/>
            <w:vAlign w:val="bottom"/>
          </w:tcPr>
          <w:p w14:paraId="5902A86D" w14:textId="77777777" w:rsidR="0084406A" w:rsidRDefault="0084406A">
            <w:pPr>
              <w:rPr>
                <w:rFonts w:ascii="宋体"/>
              </w:rPr>
            </w:pPr>
          </w:p>
        </w:tc>
        <w:tc>
          <w:tcPr>
            <w:tcW w:w="5" w:type="pct"/>
            <w:shd w:val="clear" w:color="auto" w:fill="auto"/>
            <w:vAlign w:val="bottom"/>
          </w:tcPr>
          <w:p w14:paraId="5902A86E" w14:textId="77777777" w:rsidR="0084406A" w:rsidRDefault="0084406A">
            <w:pPr>
              <w:rPr>
                <w:rFonts w:ascii="宋体"/>
              </w:rPr>
            </w:pPr>
          </w:p>
        </w:tc>
        <w:tc>
          <w:tcPr>
            <w:tcW w:w="19" w:type="pct"/>
            <w:shd w:val="clear" w:color="auto" w:fill="auto"/>
            <w:vAlign w:val="bottom"/>
          </w:tcPr>
          <w:p w14:paraId="5902A86F" w14:textId="77777777" w:rsidR="0084406A" w:rsidRDefault="0084406A">
            <w:pPr>
              <w:rPr>
                <w:rFonts w:ascii="宋体"/>
              </w:rPr>
            </w:pPr>
          </w:p>
        </w:tc>
        <w:tc>
          <w:tcPr>
            <w:tcW w:w="5" w:type="pct"/>
            <w:shd w:val="clear" w:color="auto" w:fill="auto"/>
            <w:vAlign w:val="bottom"/>
          </w:tcPr>
          <w:p w14:paraId="5902A870" w14:textId="77777777" w:rsidR="0084406A" w:rsidRDefault="0084406A">
            <w:pPr>
              <w:rPr>
                <w:rFonts w:ascii="宋体"/>
              </w:rPr>
            </w:pPr>
          </w:p>
        </w:tc>
        <w:tc>
          <w:tcPr>
            <w:tcW w:w="50" w:type="pct"/>
            <w:shd w:val="clear" w:color="auto" w:fill="auto"/>
            <w:vAlign w:val="bottom"/>
          </w:tcPr>
          <w:p w14:paraId="5902A871" w14:textId="77777777" w:rsidR="0084406A" w:rsidRDefault="0084406A">
            <w:pPr>
              <w:rPr>
                <w:rFonts w:ascii="宋体"/>
              </w:rPr>
            </w:pPr>
          </w:p>
        </w:tc>
        <w:tc>
          <w:tcPr>
            <w:tcW w:w="471" w:type="pct"/>
            <w:shd w:val="clear" w:color="auto" w:fill="auto"/>
            <w:vAlign w:val="bottom"/>
          </w:tcPr>
          <w:p w14:paraId="5902A872" w14:textId="77777777" w:rsidR="0084406A" w:rsidRDefault="0084406A">
            <w:pPr>
              <w:rPr>
                <w:rFonts w:ascii="宋体"/>
              </w:rPr>
            </w:pPr>
          </w:p>
        </w:tc>
        <w:tc>
          <w:tcPr>
            <w:tcW w:w="5" w:type="pct"/>
            <w:shd w:val="clear" w:color="auto" w:fill="auto"/>
            <w:vAlign w:val="bottom"/>
          </w:tcPr>
          <w:p w14:paraId="5902A873" w14:textId="77777777" w:rsidR="0084406A" w:rsidRDefault="0084406A">
            <w:pPr>
              <w:rPr>
                <w:rFonts w:ascii="宋体"/>
              </w:rPr>
            </w:pPr>
          </w:p>
        </w:tc>
        <w:tc>
          <w:tcPr>
            <w:tcW w:w="5" w:type="pct"/>
            <w:shd w:val="clear" w:color="auto" w:fill="auto"/>
            <w:vAlign w:val="bottom"/>
          </w:tcPr>
          <w:p w14:paraId="5902A874" w14:textId="77777777" w:rsidR="0084406A" w:rsidRDefault="0084406A">
            <w:pPr>
              <w:rPr>
                <w:rFonts w:ascii="宋体"/>
              </w:rPr>
            </w:pPr>
          </w:p>
        </w:tc>
        <w:tc>
          <w:tcPr>
            <w:tcW w:w="26" w:type="pct"/>
            <w:shd w:val="clear" w:color="auto" w:fill="auto"/>
            <w:vAlign w:val="bottom"/>
          </w:tcPr>
          <w:p w14:paraId="5902A875" w14:textId="77777777" w:rsidR="0084406A" w:rsidRDefault="0084406A">
            <w:pPr>
              <w:rPr>
                <w:rFonts w:ascii="宋体"/>
              </w:rPr>
            </w:pPr>
          </w:p>
        </w:tc>
        <w:tc>
          <w:tcPr>
            <w:tcW w:w="5" w:type="pct"/>
            <w:shd w:val="clear" w:color="auto" w:fill="auto"/>
            <w:vAlign w:val="bottom"/>
          </w:tcPr>
          <w:p w14:paraId="5902A876" w14:textId="77777777" w:rsidR="0084406A" w:rsidRDefault="0084406A">
            <w:pPr>
              <w:rPr>
                <w:rFonts w:ascii="宋体"/>
              </w:rPr>
            </w:pPr>
          </w:p>
        </w:tc>
        <w:tc>
          <w:tcPr>
            <w:tcW w:w="50" w:type="pct"/>
            <w:shd w:val="clear" w:color="auto" w:fill="auto"/>
            <w:vAlign w:val="bottom"/>
          </w:tcPr>
          <w:p w14:paraId="5902A877" w14:textId="77777777" w:rsidR="0084406A" w:rsidRDefault="0084406A">
            <w:pPr>
              <w:rPr>
                <w:rFonts w:ascii="宋体"/>
              </w:rPr>
            </w:pPr>
          </w:p>
        </w:tc>
        <w:tc>
          <w:tcPr>
            <w:tcW w:w="471" w:type="pct"/>
            <w:shd w:val="clear" w:color="auto" w:fill="auto"/>
            <w:vAlign w:val="bottom"/>
          </w:tcPr>
          <w:p w14:paraId="5902A878" w14:textId="77777777" w:rsidR="0084406A" w:rsidRDefault="0084406A">
            <w:pPr>
              <w:rPr>
                <w:rFonts w:ascii="宋体"/>
              </w:rPr>
            </w:pPr>
          </w:p>
        </w:tc>
        <w:tc>
          <w:tcPr>
            <w:tcW w:w="5" w:type="pct"/>
            <w:shd w:val="clear" w:color="auto" w:fill="auto"/>
            <w:vAlign w:val="bottom"/>
          </w:tcPr>
          <w:p w14:paraId="5902A879" w14:textId="77777777" w:rsidR="0084406A" w:rsidRDefault="0084406A">
            <w:pPr>
              <w:rPr>
                <w:rFonts w:ascii="宋体"/>
              </w:rPr>
            </w:pPr>
          </w:p>
        </w:tc>
        <w:tc>
          <w:tcPr>
            <w:tcW w:w="5" w:type="pct"/>
            <w:shd w:val="clear" w:color="auto" w:fill="auto"/>
            <w:vAlign w:val="bottom"/>
          </w:tcPr>
          <w:p w14:paraId="5902A87A" w14:textId="77777777" w:rsidR="0084406A" w:rsidRDefault="0084406A">
            <w:pPr>
              <w:rPr>
                <w:rFonts w:ascii="宋体"/>
              </w:rPr>
            </w:pPr>
          </w:p>
        </w:tc>
        <w:tc>
          <w:tcPr>
            <w:tcW w:w="26" w:type="pct"/>
            <w:shd w:val="clear" w:color="auto" w:fill="auto"/>
            <w:vAlign w:val="bottom"/>
          </w:tcPr>
          <w:p w14:paraId="5902A87B" w14:textId="77777777" w:rsidR="0084406A" w:rsidRDefault="0084406A">
            <w:pPr>
              <w:rPr>
                <w:rFonts w:ascii="宋体"/>
              </w:rPr>
            </w:pPr>
          </w:p>
        </w:tc>
        <w:tc>
          <w:tcPr>
            <w:tcW w:w="5" w:type="pct"/>
            <w:shd w:val="clear" w:color="auto" w:fill="auto"/>
            <w:vAlign w:val="bottom"/>
          </w:tcPr>
          <w:p w14:paraId="5902A87C" w14:textId="77777777" w:rsidR="0084406A" w:rsidRDefault="0084406A">
            <w:pPr>
              <w:rPr>
                <w:rFonts w:ascii="宋体"/>
              </w:rPr>
            </w:pPr>
          </w:p>
        </w:tc>
        <w:tc>
          <w:tcPr>
            <w:tcW w:w="50" w:type="pct"/>
            <w:shd w:val="clear" w:color="auto" w:fill="auto"/>
            <w:vAlign w:val="bottom"/>
          </w:tcPr>
          <w:p w14:paraId="5902A87D" w14:textId="77777777" w:rsidR="0084406A" w:rsidRDefault="0084406A">
            <w:pPr>
              <w:rPr>
                <w:rFonts w:ascii="宋体"/>
              </w:rPr>
            </w:pPr>
          </w:p>
        </w:tc>
        <w:tc>
          <w:tcPr>
            <w:tcW w:w="471" w:type="pct"/>
            <w:shd w:val="clear" w:color="auto" w:fill="auto"/>
            <w:vAlign w:val="bottom"/>
          </w:tcPr>
          <w:p w14:paraId="5902A87E" w14:textId="77777777" w:rsidR="0084406A" w:rsidRDefault="0084406A">
            <w:pPr>
              <w:rPr>
                <w:rFonts w:ascii="宋体"/>
              </w:rPr>
            </w:pPr>
          </w:p>
        </w:tc>
        <w:tc>
          <w:tcPr>
            <w:tcW w:w="5" w:type="pct"/>
            <w:shd w:val="clear" w:color="auto" w:fill="auto"/>
            <w:vAlign w:val="bottom"/>
          </w:tcPr>
          <w:p w14:paraId="5902A87F" w14:textId="77777777" w:rsidR="0084406A" w:rsidRDefault="0084406A">
            <w:pPr>
              <w:rPr>
                <w:rFonts w:ascii="宋体"/>
              </w:rPr>
            </w:pPr>
          </w:p>
        </w:tc>
        <w:tc>
          <w:tcPr>
            <w:tcW w:w="5" w:type="pct"/>
            <w:shd w:val="clear" w:color="auto" w:fill="auto"/>
            <w:vAlign w:val="bottom"/>
          </w:tcPr>
          <w:p w14:paraId="5902A880" w14:textId="77777777" w:rsidR="0084406A" w:rsidRDefault="0084406A">
            <w:pPr>
              <w:rPr>
                <w:rFonts w:ascii="宋体"/>
              </w:rPr>
            </w:pPr>
          </w:p>
        </w:tc>
        <w:tc>
          <w:tcPr>
            <w:tcW w:w="26" w:type="pct"/>
            <w:shd w:val="clear" w:color="auto" w:fill="auto"/>
            <w:vAlign w:val="bottom"/>
          </w:tcPr>
          <w:p w14:paraId="5902A881" w14:textId="77777777" w:rsidR="0084406A" w:rsidRDefault="0084406A">
            <w:pPr>
              <w:rPr>
                <w:rFonts w:ascii="宋体"/>
              </w:rPr>
            </w:pPr>
          </w:p>
        </w:tc>
        <w:tc>
          <w:tcPr>
            <w:tcW w:w="5" w:type="pct"/>
            <w:shd w:val="clear" w:color="auto" w:fill="auto"/>
            <w:vAlign w:val="bottom"/>
          </w:tcPr>
          <w:p w14:paraId="5902A882" w14:textId="77777777" w:rsidR="0084406A" w:rsidRDefault="0084406A">
            <w:pPr>
              <w:rPr>
                <w:rFonts w:ascii="宋体"/>
              </w:rPr>
            </w:pPr>
          </w:p>
        </w:tc>
        <w:tc>
          <w:tcPr>
            <w:tcW w:w="50" w:type="pct"/>
            <w:shd w:val="clear" w:color="auto" w:fill="auto"/>
            <w:vAlign w:val="bottom"/>
          </w:tcPr>
          <w:p w14:paraId="5902A883" w14:textId="77777777" w:rsidR="0084406A" w:rsidRDefault="0084406A">
            <w:pPr>
              <w:rPr>
                <w:rFonts w:ascii="宋体"/>
              </w:rPr>
            </w:pPr>
          </w:p>
        </w:tc>
        <w:tc>
          <w:tcPr>
            <w:tcW w:w="471" w:type="pct"/>
            <w:shd w:val="clear" w:color="auto" w:fill="auto"/>
            <w:vAlign w:val="bottom"/>
          </w:tcPr>
          <w:p w14:paraId="5902A884" w14:textId="77777777" w:rsidR="0084406A" w:rsidRDefault="0084406A">
            <w:pPr>
              <w:rPr>
                <w:rFonts w:ascii="宋体"/>
              </w:rPr>
            </w:pPr>
          </w:p>
        </w:tc>
        <w:tc>
          <w:tcPr>
            <w:tcW w:w="5" w:type="pct"/>
            <w:shd w:val="clear" w:color="auto" w:fill="auto"/>
            <w:vAlign w:val="bottom"/>
          </w:tcPr>
          <w:p w14:paraId="5902A885" w14:textId="77777777" w:rsidR="0084406A" w:rsidRDefault="0084406A">
            <w:pPr>
              <w:rPr>
                <w:rFonts w:ascii="宋体"/>
              </w:rPr>
            </w:pPr>
          </w:p>
        </w:tc>
      </w:tr>
      <w:tr w:rsidR="0084406A" w14:paraId="5902A88B" w14:textId="77777777">
        <w:tc>
          <w:tcPr>
            <w:tcW w:w="0" w:type="auto"/>
            <w:gridSpan w:val="3"/>
            <w:shd w:val="clear" w:color="auto" w:fill="auto"/>
            <w:tcMar>
              <w:top w:w="0" w:type="dxa"/>
              <w:left w:w="20" w:type="dxa"/>
              <w:bottom w:w="0" w:type="dxa"/>
              <w:right w:w="20" w:type="dxa"/>
            </w:tcMar>
            <w:vAlign w:val="bottom"/>
          </w:tcPr>
          <w:p w14:paraId="5902A887"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888"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889"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88A" w14:textId="77777777" w:rsidR="0084406A" w:rsidRDefault="002B18AF">
            <w:pPr>
              <w:jc w:val="center"/>
              <w:textAlignment w:val="bottom"/>
            </w:pPr>
            <w:r>
              <w:rPr>
                <w:rFonts w:ascii="Arial" w:eastAsia="宋体" w:hAnsi="Arial" w:cs="Arial"/>
                <w:b/>
                <w:bCs/>
                <w:color w:val="000000"/>
                <w:sz w:val="16"/>
                <w:szCs w:val="16"/>
              </w:rPr>
              <w:t>December 26, 2020</w:t>
            </w:r>
          </w:p>
        </w:tc>
      </w:tr>
      <w:tr w:rsidR="0084406A" w14:paraId="5902A898" w14:textId="77777777">
        <w:tc>
          <w:tcPr>
            <w:tcW w:w="0" w:type="auto"/>
            <w:gridSpan w:val="3"/>
            <w:shd w:val="clear" w:color="auto" w:fill="auto"/>
            <w:tcMar>
              <w:top w:w="40" w:type="dxa"/>
              <w:left w:w="20" w:type="dxa"/>
              <w:bottom w:w="40" w:type="dxa"/>
              <w:right w:w="20" w:type="dxa"/>
            </w:tcMar>
            <w:vAlign w:val="bottom"/>
          </w:tcPr>
          <w:p w14:paraId="5902A88C" w14:textId="77777777" w:rsidR="0084406A" w:rsidRDefault="002B18AF">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902A88D" w14:textId="77777777" w:rsidR="0084406A" w:rsidRDefault="002B18AF">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88E"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8F" w14:textId="77777777" w:rsidR="0084406A" w:rsidRDefault="002B18AF">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890"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91" w14:textId="77777777" w:rsidR="0084406A" w:rsidRDefault="002B18AF">
            <w:pPr>
              <w:jc w:val="center"/>
              <w:textAlignment w:val="bottom"/>
            </w:pPr>
            <w:r>
              <w:rPr>
                <w:rFonts w:ascii="Arial" w:eastAsia="宋体" w:hAnsi="Arial" w:cs="Arial"/>
                <w:b/>
                <w:bCs/>
                <w:color w:val="000000"/>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892"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93" w14:textId="77777777" w:rsidR="0084406A" w:rsidRDefault="002B18AF">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894"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95" w14:textId="77777777" w:rsidR="0084406A" w:rsidRDefault="002B18AF">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896"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897" w14:textId="77777777" w:rsidR="0084406A" w:rsidRDefault="002B18AF">
            <w:pPr>
              <w:jc w:val="center"/>
              <w:textAlignment w:val="bottom"/>
            </w:pPr>
            <w:r>
              <w:rPr>
                <w:rFonts w:ascii="Arial" w:eastAsia="宋体" w:hAnsi="Arial" w:cs="Arial"/>
                <w:b/>
                <w:bCs/>
                <w:color w:val="000000"/>
                <w:sz w:val="16"/>
                <w:szCs w:val="16"/>
              </w:rPr>
              <w:t>Total</w:t>
            </w:r>
          </w:p>
        </w:tc>
      </w:tr>
      <w:tr w:rsidR="0084406A" w14:paraId="5902A8A5" w14:textId="77777777">
        <w:tc>
          <w:tcPr>
            <w:tcW w:w="0" w:type="auto"/>
            <w:gridSpan w:val="3"/>
            <w:shd w:val="clear" w:color="auto" w:fill="CCEEFF"/>
            <w:tcMar>
              <w:top w:w="40" w:type="dxa"/>
              <w:left w:w="20" w:type="dxa"/>
              <w:bottom w:w="40" w:type="dxa"/>
              <w:right w:w="20" w:type="dxa"/>
            </w:tcMar>
            <w:vAlign w:val="bottom"/>
          </w:tcPr>
          <w:p w14:paraId="5902A899" w14:textId="77777777" w:rsidR="0084406A" w:rsidRDefault="002B18AF">
            <w:pPr>
              <w:textAlignment w:val="bottom"/>
            </w:pPr>
            <w:r>
              <w:rPr>
                <w:rFonts w:ascii="Arial" w:eastAsia="宋体" w:hAnsi="Arial" w:cs="Arial"/>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5902A89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9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9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9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9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9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A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A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A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A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8A4" w14:textId="77777777" w:rsidR="0084406A" w:rsidRDefault="0084406A">
            <w:pPr>
              <w:rPr>
                <w:rFonts w:ascii="宋体"/>
              </w:rPr>
            </w:pPr>
          </w:p>
        </w:tc>
      </w:tr>
      <w:tr w:rsidR="0084406A" w14:paraId="5902A8BE" w14:textId="77777777">
        <w:tc>
          <w:tcPr>
            <w:tcW w:w="0" w:type="auto"/>
            <w:gridSpan w:val="3"/>
            <w:shd w:val="clear" w:color="auto" w:fill="FFFFFF"/>
            <w:tcMar>
              <w:top w:w="40" w:type="dxa"/>
              <w:left w:w="260" w:type="dxa"/>
              <w:bottom w:w="40" w:type="dxa"/>
              <w:right w:w="20" w:type="dxa"/>
            </w:tcMar>
            <w:vAlign w:val="bottom"/>
          </w:tcPr>
          <w:p w14:paraId="5902A8A6" w14:textId="77777777" w:rsidR="0084406A" w:rsidRDefault="002B18AF">
            <w:pPr>
              <w:textAlignment w:val="bottom"/>
            </w:pPr>
            <w:r>
              <w:rPr>
                <w:rFonts w:ascii="Arial" w:eastAsia="宋体" w:hAnsi="Arial" w:cs="Arial"/>
                <w:color w:val="000000"/>
                <w:sz w:val="20"/>
                <w:szCs w:val="20"/>
              </w:rPr>
              <w:t>Money market funds</w:t>
            </w:r>
          </w:p>
        </w:tc>
        <w:tc>
          <w:tcPr>
            <w:tcW w:w="0" w:type="auto"/>
            <w:shd w:val="clear" w:color="auto" w:fill="FFFFFF"/>
            <w:tcMar>
              <w:top w:w="40" w:type="dxa"/>
              <w:left w:w="20" w:type="dxa"/>
              <w:bottom w:w="40" w:type="dxa"/>
              <w:right w:w="0" w:type="dxa"/>
            </w:tcMar>
            <w:vAlign w:val="bottom"/>
          </w:tcPr>
          <w:p w14:paraId="5902A8A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A8" w14:textId="77777777" w:rsidR="0084406A" w:rsidRDefault="002B18AF">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5902A8A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A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8A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A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8A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AE"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8A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B0" w14:textId="77777777" w:rsidR="0084406A" w:rsidRDefault="002B18AF">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5902A8B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B2"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8B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B4"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8B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B6"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8B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B8"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8B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B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8B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8BC"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8BD" w14:textId="77777777" w:rsidR="0084406A" w:rsidRDefault="0084406A">
            <w:pPr>
              <w:jc w:val="right"/>
              <w:rPr>
                <w:rFonts w:ascii="宋体"/>
              </w:rPr>
            </w:pPr>
          </w:p>
        </w:tc>
      </w:tr>
      <w:tr w:rsidR="0084406A" w14:paraId="5902A8D1" w14:textId="77777777">
        <w:tc>
          <w:tcPr>
            <w:tcW w:w="0" w:type="auto"/>
            <w:gridSpan w:val="3"/>
            <w:shd w:val="clear" w:color="auto" w:fill="CCEEFF"/>
            <w:tcMar>
              <w:top w:w="40" w:type="dxa"/>
              <w:left w:w="260" w:type="dxa"/>
              <w:bottom w:w="40" w:type="dxa"/>
              <w:right w:w="20" w:type="dxa"/>
            </w:tcMar>
            <w:vAlign w:val="bottom"/>
          </w:tcPr>
          <w:p w14:paraId="5902A8BF" w14:textId="77777777" w:rsidR="0084406A" w:rsidRDefault="002B18AF">
            <w:pPr>
              <w:textAlignment w:val="bottom"/>
            </w:pPr>
            <w:r>
              <w:rPr>
                <w:rFonts w:ascii="Arial" w:eastAsia="宋体" w:hAnsi="Arial" w:cs="Arial"/>
                <w:color w:val="000000"/>
                <w:sz w:val="20"/>
                <w:szCs w:val="20"/>
              </w:rPr>
              <w:t>Commerc</w:t>
            </w:r>
            <w:r>
              <w:rPr>
                <w:rFonts w:ascii="Arial" w:eastAsia="宋体" w:hAnsi="Arial" w:cs="Arial"/>
                <w:color w:val="000000"/>
                <w:sz w:val="20"/>
                <w:szCs w:val="20"/>
              </w:rPr>
              <w:t>ial paper</w:t>
            </w:r>
          </w:p>
        </w:tc>
        <w:tc>
          <w:tcPr>
            <w:tcW w:w="0" w:type="auto"/>
            <w:gridSpan w:val="2"/>
            <w:shd w:val="clear" w:color="auto" w:fill="CCEEFF"/>
            <w:tcMar>
              <w:top w:w="40" w:type="dxa"/>
              <w:left w:w="20" w:type="dxa"/>
              <w:bottom w:w="40" w:type="dxa"/>
              <w:right w:w="0" w:type="dxa"/>
            </w:tcMar>
            <w:vAlign w:val="bottom"/>
          </w:tcPr>
          <w:p w14:paraId="5902A8C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C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C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C3" w14:textId="77777777" w:rsidR="0084406A" w:rsidRDefault="002B18AF">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5902A8C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C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C6" w14:textId="77777777" w:rsidR="0084406A" w:rsidRDefault="002B18AF">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5902A8C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C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C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C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C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C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C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C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C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D0" w14:textId="77777777" w:rsidR="0084406A" w:rsidRDefault="0084406A">
            <w:pPr>
              <w:jc w:val="right"/>
              <w:rPr>
                <w:rFonts w:ascii="宋体"/>
              </w:rPr>
            </w:pPr>
          </w:p>
        </w:tc>
      </w:tr>
      <w:tr w:rsidR="0084406A" w14:paraId="5902A8DE" w14:textId="77777777">
        <w:tc>
          <w:tcPr>
            <w:tcW w:w="0" w:type="auto"/>
            <w:gridSpan w:val="3"/>
            <w:shd w:val="clear" w:color="auto" w:fill="FFFFFF"/>
            <w:tcMar>
              <w:top w:w="40" w:type="dxa"/>
              <w:left w:w="20" w:type="dxa"/>
              <w:bottom w:w="40" w:type="dxa"/>
              <w:right w:w="20" w:type="dxa"/>
            </w:tcMar>
            <w:vAlign w:val="bottom"/>
          </w:tcPr>
          <w:p w14:paraId="5902A8D2" w14:textId="77777777" w:rsidR="0084406A" w:rsidRDefault="002B18AF">
            <w:pPr>
              <w:textAlignment w:val="bottom"/>
            </w:pPr>
            <w:r>
              <w:rPr>
                <w:rFonts w:ascii="Arial" w:eastAsia="宋体" w:hAnsi="Arial" w:cs="Arial"/>
                <w:color w:val="000000"/>
                <w:sz w:val="20"/>
                <w:szCs w:val="20"/>
              </w:rPr>
              <w:t>Short-term investments</w:t>
            </w:r>
          </w:p>
        </w:tc>
        <w:tc>
          <w:tcPr>
            <w:tcW w:w="0" w:type="auto"/>
            <w:gridSpan w:val="3"/>
            <w:shd w:val="clear" w:color="auto" w:fill="FFFFFF"/>
            <w:tcMar>
              <w:top w:w="0" w:type="dxa"/>
              <w:left w:w="20" w:type="dxa"/>
              <w:bottom w:w="0" w:type="dxa"/>
              <w:right w:w="20" w:type="dxa"/>
            </w:tcMar>
            <w:vAlign w:val="bottom"/>
          </w:tcPr>
          <w:p w14:paraId="5902A8D3"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4"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5"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A"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C"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8DD" w14:textId="77777777" w:rsidR="0084406A" w:rsidRDefault="0084406A">
            <w:pPr>
              <w:rPr>
                <w:rFonts w:ascii="宋体"/>
              </w:rPr>
            </w:pPr>
          </w:p>
        </w:tc>
      </w:tr>
      <w:tr w:rsidR="0084406A" w14:paraId="5902A8F1" w14:textId="77777777">
        <w:tc>
          <w:tcPr>
            <w:tcW w:w="0" w:type="auto"/>
            <w:gridSpan w:val="3"/>
            <w:shd w:val="clear" w:color="auto" w:fill="CCEEFF"/>
            <w:tcMar>
              <w:top w:w="40" w:type="dxa"/>
              <w:left w:w="245" w:type="dxa"/>
              <w:bottom w:w="40" w:type="dxa"/>
              <w:right w:w="20" w:type="dxa"/>
            </w:tcMar>
            <w:vAlign w:val="bottom"/>
          </w:tcPr>
          <w:p w14:paraId="5902A8DF" w14:textId="77777777" w:rsidR="0084406A" w:rsidRDefault="002B18AF">
            <w:pPr>
              <w:textAlignment w:val="bottom"/>
            </w:pPr>
            <w:r>
              <w:rPr>
                <w:rFonts w:ascii="Arial" w:eastAsia="宋体" w:hAnsi="Arial" w:cs="Arial"/>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5902A8E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E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E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E3" w14:textId="77777777" w:rsidR="0084406A" w:rsidRDefault="002B18AF">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5902A8E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E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E6" w14:textId="77777777" w:rsidR="0084406A" w:rsidRDefault="002B18AF">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5902A8E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E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E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8E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E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EC" w14:textId="77777777" w:rsidR="0084406A" w:rsidRDefault="002B18AF">
            <w:pPr>
              <w:jc w:val="right"/>
              <w:textAlignment w:val="bottom"/>
            </w:pPr>
            <w:r>
              <w:rPr>
                <w:rFonts w:ascii="Arial" w:eastAsia="宋体" w:hAnsi="Arial" w:cs="Arial"/>
                <w:color w:val="000000"/>
                <w:sz w:val="20"/>
                <w:szCs w:val="20"/>
              </w:rPr>
              <w:t>295 </w:t>
            </w:r>
          </w:p>
        </w:tc>
        <w:tc>
          <w:tcPr>
            <w:tcW w:w="0" w:type="auto"/>
            <w:shd w:val="clear" w:color="auto" w:fill="CCEEFF"/>
            <w:tcMar>
              <w:top w:w="40" w:type="dxa"/>
              <w:left w:w="0" w:type="dxa"/>
              <w:bottom w:w="40" w:type="dxa"/>
              <w:right w:w="20" w:type="dxa"/>
            </w:tcMar>
            <w:vAlign w:val="bottom"/>
          </w:tcPr>
          <w:p w14:paraId="5902A8E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8E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8EF" w14:textId="77777777" w:rsidR="0084406A" w:rsidRDefault="002B18AF">
            <w:pPr>
              <w:jc w:val="right"/>
              <w:textAlignment w:val="bottom"/>
            </w:pPr>
            <w:r>
              <w:rPr>
                <w:rFonts w:ascii="Arial" w:eastAsia="宋体" w:hAnsi="Arial" w:cs="Arial"/>
                <w:color w:val="000000"/>
                <w:sz w:val="20"/>
                <w:szCs w:val="20"/>
              </w:rPr>
              <w:t>295 </w:t>
            </w:r>
          </w:p>
        </w:tc>
        <w:tc>
          <w:tcPr>
            <w:tcW w:w="0" w:type="auto"/>
            <w:shd w:val="clear" w:color="auto" w:fill="CCEEFF"/>
            <w:tcMar>
              <w:top w:w="40" w:type="dxa"/>
              <w:left w:w="0" w:type="dxa"/>
              <w:bottom w:w="40" w:type="dxa"/>
              <w:right w:w="20" w:type="dxa"/>
            </w:tcMar>
            <w:vAlign w:val="bottom"/>
          </w:tcPr>
          <w:p w14:paraId="5902A8F0" w14:textId="77777777" w:rsidR="0084406A" w:rsidRDefault="0084406A">
            <w:pPr>
              <w:jc w:val="right"/>
              <w:rPr>
                <w:rFonts w:ascii="宋体"/>
              </w:rPr>
            </w:pPr>
          </w:p>
        </w:tc>
      </w:tr>
      <w:tr w:rsidR="0084406A" w14:paraId="5902A904" w14:textId="77777777">
        <w:tc>
          <w:tcPr>
            <w:tcW w:w="0" w:type="auto"/>
            <w:gridSpan w:val="3"/>
            <w:shd w:val="clear" w:color="auto" w:fill="FFFFFF"/>
            <w:tcMar>
              <w:top w:w="40" w:type="dxa"/>
              <w:left w:w="245" w:type="dxa"/>
              <w:bottom w:w="40" w:type="dxa"/>
              <w:right w:w="20" w:type="dxa"/>
            </w:tcMar>
            <w:vAlign w:val="bottom"/>
          </w:tcPr>
          <w:p w14:paraId="5902A8F2" w14:textId="77777777" w:rsidR="0084406A" w:rsidRDefault="002B18AF">
            <w:pPr>
              <w:textAlignment w:val="bottom"/>
            </w:pPr>
            <w:r>
              <w:rPr>
                <w:rFonts w:ascii="Arial" w:eastAsia="宋体"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5902A8F3"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8F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F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8F6" w14:textId="77777777" w:rsidR="0084406A" w:rsidRDefault="002B18AF">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5902A8F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F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8F9" w14:textId="77777777" w:rsidR="0084406A" w:rsidRDefault="002B18AF">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5902A8F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F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8F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8F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8F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8FF" w14:textId="77777777" w:rsidR="0084406A" w:rsidRDefault="002B18AF">
            <w:pPr>
              <w:jc w:val="right"/>
              <w:textAlignment w:val="bottom"/>
            </w:pPr>
            <w:r>
              <w:rPr>
                <w:rFonts w:ascii="Arial" w:eastAsia="宋体" w:hAnsi="Arial" w:cs="Arial"/>
                <w:color w:val="000000"/>
                <w:sz w:val="20"/>
                <w:szCs w:val="20"/>
              </w:rPr>
              <w:t>400 </w:t>
            </w:r>
          </w:p>
        </w:tc>
        <w:tc>
          <w:tcPr>
            <w:tcW w:w="0" w:type="auto"/>
            <w:shd w:val="clear" w:color="auto" w:fill="FFFFFF"/>
            <w:tcMar>
              <w:top w:w="40" w:type="dxa"/>
              <w:left w:w="0" w:type="dxa"/>
              <w:bottom w:w="40" w:type="dxa"/>
              <w:right w:w="20" w:type="dxa"/>
            </w:tcMar>
            <w:vAlign w:val="bottom"/>
          </w:tcPr>
          <w:p w14:paraId="5902A90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0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02" w14:textId="77777777" w:rsidR="0084406A" w:rsidRDefault="002B18AF">
            <w:pPr>
              <w:jc w:val="right"/>
              <w:textAlignment w:val="bottom"/>
            </w:pPr>
            <w:r>
              <w:rPr>
                <w:rFonts w:ascii="Arial" w:eastAsia="宋体" w:hAnsi="Arial" w:cs="Arial"/>
                <w:color w:val="000000"/>
                <w:sz w:val="20"/>
                <w:szCs w:val="20"/>
              </w:rPr>
              <w:t>400 </w:t>
            </w:r>
          </w:p>
        </w:tc>
        <w:tc>
          <w:tcPr>
            <w:tcW w:w="0" w:type="auto"/>
            <w:shd w:val="clear" w:color="auto" w:fill="FFFFFF"/>
            <w:tcMar>
              <w:top w:w="40" w:type="dxa"/>
              <w:left w:w="0" w:type="dxa"/>
              <w:bottom w:w="40" w:type="dxa"/>
              <w:right w:w="20" w:type="dxa"/>
            </w:tcMar>
            <w:vAlign w:val="bottom"/>
          </w:tcPr>
          <w:p w14:paraId="5902A903" w14:textId="77777777" w:rsidR="0084406A" w:rsidRDefault="0084406A">
            <w:pPr>
              <w:jc w:val="right"/>
              <w:rPr>
                <w:rFonts w:ascii="宋体"/>
              </w:rPr>
            </w:pPr>
          </w:p>
        </w:tc>
      </w:tr>
      <w:tr w:rsidR="0084406A" w14:paraId="5902A911" w14:textId="77777777">
        <w:tc>
          <w:tcPr>
            <w:tcW w:w="0" w:type="auto"/>
            <w:gridSpan w:val="3"/>
            <w:shd w:val="clear" w:color="auto" w:fill="CCEEFF"/>
            <w:tcMar>
              <w:top w:w="40" w:type="dxa"/>
              <w:left w:w="20" w:type="dxa"/>
              <w:bottom w:w="40" w:type="dxa"/>
              <w:right w:w="20" w:type="dxa"/>
            </w:tcMar>
            <w:vAlign w:val="bottom"/>
          </w:tcPr>
          <w:p w14:paraId="5902A905" w14:textId="77777777" w:rsidR="0084406A" w:rsidRDefault="002B18AF">
            <w:pPr>
              <w:textAlignment w:val="bottom"/>
            </w:pPr>
            <w:r>
              <w:rPr>
                <w:rFonts w:ascii="Arial" w:eastAsia="宋体" w:hAnsi="Arial" w:cs="Arial"/>
                <w:color w:val="000000"/>
                <w:sz w:val="20"/>
                <w:szCs w:val="20"/>
              </w:rPr>
              <w:t>Other non-current assets</w:t>
            </w:r>
          </w:p>
        </w:tc>
        <w:tc>
          <w:tcPr>
            <w:tcW w:w="0" w:type="auto"/>
            <w:gridSpan w:val="3"/>
            <w:shd w:val="clear" w:color="auto" w:fill="CCEEFF"/>
            <w:tcMar>
              <w:top w:w="0" w:type="dxa"/>
              <w:left w:w="20" w:type="dxa"/>
              <w:bottom w:w="0" w:type="dxa"/>
              <w:right w:w="20" w:type="dxa"/>
            </w:tcMar>
            <w:vAlign w:val="bottom"/>
          </w:tcPr>
          <w:p w14:paraId="5902A90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0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910" w14:textId="77777777" w:rsidR="0084406A" w:rsidRDefault="0084406A">
            <w:pPr>
              <w:rPr>
                <w:rFonts w:ascii="宋体"/>
              </w:rPr>
            </w:pPr>
          </w:p>
        </w:tc>
      </w:tr>
      <w:tr w:rsidR="0084406A" w14:paraId="5902A924" w14:textId="77777777">
        <w:tc>
          <w:tcPr>
            <w:tcW w:w="0" w:type="auto"/>
            <w:gridSpan w:val="3"/>
            <w:shd w:val="clear" w:color="auto" w:fill="FFFFFF"/>
            <w:tcMar>
              <w:top w:w="40" w:type="dxa"/>
              <w:left w:w="260" w:type="dxa"/>
              <w:bottom w:w="40" w:type="dxa"/>
              <w:right w:w="20" w:type="dxa"/>
            </w:tcMar>
            <w:vAlign w:val="bottom"/>
          </w:tcPr>
          <w:p w14:paraId="5902A912" w14:textId="77777777" w:rsidR="0084406A" w:rsidRDefault="002B18AF">
            <w:pPr>
              <w:textAlignment w:val="bottom"/>
            </w:pPr>
            <w:r>
              <w:rPr>
                <w:rFonts w:ascii="Arial" w:eastAsia="宋体" w:hAnsi="Arial" w:cs="Arial"/>
                <w:color w:val="000000"/>
                <w:sz w:val="20"/>
                <w:szCs w:val="20"/>
              </w:rPr>
              <w:t xml:space="preserve">Equity investments </w:t>
            </w:r>
          </w:p>
        </w:tc>
        <w:tc>
          <w:tcPr>
            <w:tcW w:w="0" w:type="auto"/>
            <w:gridSpan w:val="2"/>
            <w:shd w:val="clear" w:color="auto" w:fill="FFFFFF"/>
            <w:tcMar>
              <w:top w:w="40" w:type="dxa"/>
              <w:left w:w="20" w:type="dxa"/>
              <w:bottom w:w="40" w:type="dxa"/>
              <w:right w:w="0" w:type="dxa"/>
            </w:tcMar>
            <w:vAlign w:val="bottom"/>
          </w:tcPr>
          <w:p w14:paraId="5902A913" w14:textId="77777777" w:rsidR="0084406A" w:rsidRDefault="002B18AF">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5902A91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1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16"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91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1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19" w14:textId="77777777" w:rsidR="0084406A" w:rsidRDefault="002B18AF">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5902A91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1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1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91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1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1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92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2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22"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923" w14:textId="77777777" w:rsidR="0084406A" w:rsidRDefault="0084406A">
            <w:pPr>
              <w:jc w:val="right"/>
              <w:rPr>
                <w:rFonts w:ascii="宋体"/>
              </w:rPr>
            </w:pPr>
          </w:p>
        </w:tc>
      </w:tr>
      <w:tr w:rsidR="0084406A" w14:paraId="5902A937" w14:textId="77777777">
        <w:tc>
          <w:tcPr>
            <w:tcW w:w="0" w:type="auto"/>
            <w:gridSpan w:val="3"/>
            <w:shd w:val="clear" w:color="auto" w:fill="CCEEFF"/>
            <w:tcMar>
              <w:top w:w="40" w:type="dxa"/>
              <w:left w:w="290" w:type="dxa"/>
              <w:bottom w:w="40" w:type="dxa"/>
              <w:right w:w="20" w:type="dxa"/>
            </w:tcMar>
            <w:vAlign w:val="bottom"/>
          </w:tcPr>
          <w:p w14:paraId="5902A925" w14:textId="77777777" w:rsidR="0084406A" w:rsidRDefault="002B18AF">
            <w:pPr>
              <w:textAlignment w:val="bottom"/>
            </w:pPr>
            <w:r>
              <w:rPr>
                <w:rFonts w:ascii="Arial" w:eastAsia="宋体" w:hAnsi="Arial" w:cs="Arial"/>
                <w:color w:val="000000"/>
                <w:sz w:val="20"/>
                <w:szCs w:val="20"/>
              </w:rPr>
              <w:t>Deferred compensation plan investments</w:t>
            </w:r>
          </w:p>
        </w:tc>
        <w:tc>
          <w:tcPr>
            <w:tcW w:w="0" w:type="auto"/>
            <w:gridSpan w:val="2"/>
            <w:shd w:val="clear" w:color="auto" w:fill="CCEEFF"/>
            <w:tcMar>
              <w:top w:w="40" w:type="dxa"/>
              <w:left w:w="20" w:type="dxa"/>
              <w:bottom w:w="40" w:type="dxa"/>
              <w:right w:w="0" w:type="dxa"/>
            </w:tcMar>
            <w:vAlign w:val="bottom"/>
          </w:tcPr>
          <w:p w14:paraId="5902A926" w14:textId="77777777" w:rsidR="0084406A" w:rsidRDefault="002B18AF">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5902A92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2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2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92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2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2C" w14:textId="77777777" w:rsidR="0084406A" w:rsidRDefault="002B18AF">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5902A92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2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2F" w14:textId="77777777" w:rsidR="0084406A" w:rsidRDefault="002B18AF">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5902A93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3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32"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93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3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35" w14:textId="77777777" w:rsidR="0084406A" w:rsidRDefault="002B18AF">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5902A936" w14:textId="77777777" w:rsidR="0084406A" w:rsidRDefault="0084406A">
            <w:pPr>
              <w:jc w:val="right"/>
              <w:rPr>
                <w:rFonts w:ascii="宋体"/>
              </w:rPr>
            </w:pPr>
          </w:p>
        </w:tc>
      </w:tr>
      <w:tr w:rsidR="0084406A" w14:paraId="5902A950" w14:textId="77777777">
        <w:tc>
          <w:tcPr>
            <w:tcW w:w="0" w:type="auto"/>
            <w:gridSpan w:val="3"/>
            <w:shd w:val="clear" w:color="auto" w:fill="FFFFFF"/>
            <w:tcMar>
              <w:top w:w="40" w:type="dxa"/>
              <w:left w:w="20" w:type="dxa"/>
              <w:bottom w:w="40" w:type="dxa"/>
              <w:right w:w="20" w:type="dxa"/>
            </w:tcMar>
            <w:vAlign w:val="bottom"/>
          </w:tcPr>
          <w:p w14:paraId="5902A938" w14:textId="77777777" w:rsidR="0084406A" w:rsidRDefault="002B18AF">
            <w:pPr>
              <w:textAlignment w:val="bottom"/>
            </w:pPr>
            <w:r>
              <w:rPr>
                <w:rFonts w:ascii="Arial" w:eastAsia="宋体" w:hAnsi="Arial" w:cs="Arial"/>
                <w:color w:val="000000"/>
                <w:sz w:val="20"/>
                <w:szCs w:val="20"/>
              </w:rPr>
              <w:t>Total assets measured at fair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39"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3A" w14:textId="77777777" w:rsidR="0084406A" w:rsidRDefault="002B18AF">
            <w:pPr>
              <w:jc w:val="right"/>
              <w:textAlignment w:val="bottom"/>
            </w:pPr>
            <w:r>
              <w:rPr>
                <w:rFonts w:ascii="Arial" w:eastAsia="宋体" w:hAnsi="Arial" w:cs="Arial"/>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3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3C"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3D"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3E" w14:textId="77777777" w:rsidR="0084406A" w:rsidRDefault="002B18AF">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3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40"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4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42" w14:textId="77777777" w:rsidR="0084406A" w:rsidRDefault="002B18AF">
            <w:pPr>
              <w:jc w:val="right"/>
              <w:textAlignment w:val="bottom"/>
            </w:pPr>
            <w:r>
              <w:rPr>
                <w:rFonts w:ascii="Arial" w:eastAsia="宋体" w:hAnsi="Arial" w:cs="Arial"/>
                <w:color w:val="000000"/>
                <w:sz w:val="20"/>
                <w:szCs w:val="20"/>
              </w:rPr>
              <w:t>1,260 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4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44"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45"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46" w14:textId="77777777" w:rsidR="0084406A" w:rsidRDefault="002B18AF">
            <w:pPr>
              <w:jc w:val="right"/>
              <w:textAlignment w:val="bottom"/>
            </w:pPr>
            <w:r>
              <w:rPr>
                <w:rFonts w:ascii="Arial" w:eastAsia="宋体" w:hAnsi="Arial" w:cs="Arial"/>
                <w:color w:val="000000"/>
                <w:sz w:val="20"/>
                <w:szCs w:val="20"/>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4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48"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49"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4A" w14:textId="77777777" w:rsidR="0084406A" w:rsidRDefault="002B18AF">
            <w:pPr>
              <w:jc w:val="right"/>
              <w:textAlignment w:val="bottom"/>
            </w:pPr>
            <w:r>
              <w:rPr>
                <w:rFonts w:ascii="Arial" w:eastAsia="宋体" w:hAnsi="Arial" w:cs="Arial"/>
                <w:color w:val="000000"/>
                <w:sz w:val="20"/>
                <w:szCs w:val="20"/>
              </w:rPr>
              <w:t>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4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4C"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94D"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94E" w14:textId="77777777" w:rsidR="0084406A" w:rsidRDefault="002B18AF">
            <w:pPr>
              <w:jc w:val="right"/>
              <w:textAlignment w:val="bottom"/>
            </w:pPr>
            <w:r>
              <w:rPr>
                <w:rFonts w:ascii="Arial" w:eastAsia="宋体" w:hAnsi="Arial" w:cs="Arial"/>
                <w:color w:val="000000"/>
                <w:sz w:val="20"/>
                <w:szCs w:val="20"/>
              </w:rPr>
              <w:t>742 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94F" w14:textId="77777777" w:rsidR="0084406A" w:rsidRDefault="0084406A">
            <w:pPr>
              <w:jc w:val="right"/>
              <w:rPr>
                <w:rFonts w:ascii="宋体"/>
              </w:rPr>
            </w:pPr>
          </w:p>
        </w:tc>
      </w:tr>
    </w:tbl>
    <w:p w14:paraId="5902A951" w14:textId="77777777" w:rsidR="0084406A" w:rsidRDefault="002B18AF">
      <w:pPr>
        <w:spacing w:before="180"/>
        <w:jc w:val="both"/>
      </w:pPr>
      <w:r>
        <w:rPr>
          <w:rFonts w:ascii="Arial" w:eastAsia="宋体" w:hAnsi="Arial" w:cs="Arial"/>
          <w:color w:val="000000"/>
          <w:sz w:val="20"/>
          <w:szCs w:val="20"/>
        </w:rPr>
        <w:t xml:space="preserve">The Company did not have any financial instruments measured at fair value on a recurring basis within Level 3 fair value measurements as of December 25, 2021 or December 26, 2020. </w:t>
      </w:r>
    </w:p>
    <w:p w14:paraId="5902A952" w14:textId="77777777" w:rsidR="0084406A" w:rsidRDefault="002B18AF">
      <w:pPr>
        <w:spacing w:before="180"/>
        <w:jc w:val="both"/>
      </w:pPr>
      <w:r>
        <w:rPr>
          <w:rFonts w:ascii="Arial" w:eastAsia="宋体" w:hAnsi="Arial" w:cs="Arial"/>
          <w:color w:val="000000"/>
          <w:sz w:val="20"/>
          <w:szCs w:val="20"/>
        </w:rPr>
        <w:t>Du</w:t>
      </w:r>
      <w:r>
        <w:rPr>
          <w:rFonts w:ascii="Arial" w:eastAsia="宋体" w:hAnsi="Arial" w:cs="Arial"/>
          <w:color w:val="000000"/>
          <w:sz w:val="20"/>
          <w:szCs w:val="20"/>
        </w:rPr>
        <w:t xml:space="preserve">ring the year ended December 25, 2021, the Company recognized a $64 million gain recorded in Other income in the consolidated statements of operations due to an increase in the fair value of an equity investment. </w:t>
      </w:r>
    </w:p>
    <w:p w14:paraId="5902A953" w14:textId="77777777" w:rsidR="0084406A" w:rsidRDefault="002B18AF">
      <w:pPr>
        <w:spacing w:before="180"/>
        <w:jc w:val="both"/>
      </w:pPr>
      <w:r>
        <w:rPr>
          <w:rFonts w:ascii="Arial" w:eastAsia="宋体" w:hAnsi="Arial" w:cs="Arial"/>
          <w:color w:val="000000"/>
          <w:sz w:val="20"/>
          <w:szCs w:val="20"/>
        </w:rPr>
        <w:t>Deferred compensation plan investments are</w:t>
      </w:r>
      <w:r>
        <w:rPr>
          <w:rFonts w:ascii="Arial" w:eastAsia="宋体" w:hAnsi="Arial" w:cs="Arial"/>
          <w:color w:val="000000"/>
          <w:sz w:val="20"/>
          <w:szCs w:val="20"/>
        </w:rPr>
        <w:t xml:space="preserve"> mutual fund investments held in a Rabbi trust established to maintain the Company’s executive deferred compensation plan. </w:t>
      </w:r>
    </w:p>
    <w:p w14:paraId="5902A954" w14:textId="77777777" w:rsidR="0084406A" w:rsidRDefault="002B18AF">
      <w:pPr>
        <w:jc w:val="center"/>
      </w:pPr>
      <w:r>
        <w:rPr>
          <w:rFonts w:ascii="Arial" w:eastAsia="宋体" w:hAnsi="Arial" w:cs="Arial"/>
          <w:color w:val="000000"/>
          <w:sz w:val="20"/>
          <w:szCs w:val="20"/>
        </w:rPr>
        <w:t>63</w:t>
      </w:r>
    </w:p>
    <w:p w14:paraId="5902A955" w14:textId="77777777" w:rsidR="0084406A" w:rsidRDefault="002B18AF">
      <w:r>
        <w:pict w14:anchorId="5902BB35">
          <v:rect id="_x0000_i1090" style="width:415.3pt;height:1.5pt" o:hralign="center" o:hrstd="t" o:hr="t" fillcolor="#a0a0a0" stroked="f"/>
        </w:pict>
      </w:r>
    </w:p>
    <w:p w14:paraId="5902A956" w14:textId="77777777" w:rsidR="0084406A" w:rsidRDefault="0084406A"/>
    <w:p w14:paraId="5902A957" w14:textId="77777777" w:rsidR="0084406A" w:rsidRDefault="002B18AF">
      <w:pPr>
        <w:spacing w:before="180"/>
        <w:jc w:val="both"/>
      </w:pPr>
      <w:r>
        <w:rPr>
          <w:rFonts w:ascii="Arial" w:eastAsia="宋体" w:hAnsi="Arial" w:cs="Arial"/>
          <w:i/>
          <w:iCs/>
          <w:color w:val="000000"/>
          <w:sz w:val="20"/>
          <w:szCs w:val="20"/>
        </w:rPr>
        <w:t xml:space="preserve">Financial Instruments Not Recorded at Fair Value </w:t>
      </w:r>
    </w:p>
    <w:p w14:paraId="5902A958" w14:textId="77777777" w:rsidR="0084406A" w:rsidRDefault="002B18AF">
      <w:pPr>
        <w:spacing w:before="180"/>
        <w:jc w:val="both"/>
      </w:pPr>
      <w:r>
        <w:rPr>
          <w:rFonts w:ascii="Arial" w:eastAsia="宋体" w:hAnsi="Arial" w:cs="Arial"/>
          <w:color w:val="000000"/>
          <w:sz w:val="20"/>
          <w:szCs w:val="20"/>
        </w:rPr>
        <w:t xml:space="preserve">The Company carries its financial instruments at fair value with the </w:t>
      </w:r>
      <w:r>
        <w:rPr>
          <w:rFonts w:ascii="Arial" w:eastAsia="宋体" w:hAnsi="Arial" w:cs="Arial"/>
          <w:color w:val="000000"/>
          <w:sz w:val="20"/>
          <w:szCs w:val="20"/>
        </w:rPr>
        <w:t>exception of its long-term debt. The carrying amounts and estimated fair values of the Company’s long-term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464"/>
        <w:gridCol w:w="37"/>
        <w:gridCol w:w="133"/>
        <w:gridCol w:w="984"/>
        <w:gridCol w:w="36"/>
        <w:gridCol w:w="36"/>
        <w:gridCol w:w="36"/>
        <w:gridCol w:w="36"/>
        <w:gridCol w:w="133"/>
        <w:gridCol w:w="935"/>
        <w:gridCol w:w="36"/>
        <w:gridCol w:w="36"/>
        <w:gridCol w:w="36"/>
        <w:gridCol w:w="36"/>
        <w:gridCol w:w="133"/>
        <w:gridCol w:w="937"/>
        <w:gridCol w:w="36"/>
        <w:gridCol w:w="36"/>
        <w:gridCol w:w="36"/>
        <w:gridCol w:w="36"/>
        <w:gridCol w:w="133"/>
        <w:gridCol w:w="941"/>
        <w:gridCol w:w="36"/>
      </w:tblGrid>
      <w:tr w:rsidR="0084406A" w14:paraId="5902A971" w14:textId="77777777">
        <w:tc>
          <w:tcPr>
            <w:tcW w:w="50" w:type="pct"/>
            <w:shd w:val="clear" w:color="auto" w:fill="auto"/>
            <w:vAlign w:val="bottom"/>
          </w:tcPr>
          <w:p w14:paraId="5902A959" w14:textId="77777777" w:rsidR="0084406A" w:rsidRDefault="0084406A">
            <w:pPr>
              <w:rPr>
                <w:rFonts w:ascii="宋体"/>
              </w:rPr>
            </w:pPr>
          </w:p>
        </w:tc>
        <w:tc>
          <w:tcPr>
            <w:tcW w:w="2116" w:type="pct"/>
            <w:shd w:val="clear" w:color="auto" w:fill="auto"/>
            <w:vAlign w:val="bottom"/>
          </w:tcPr>
          <w:p w14:paraId="5902A95A" w14:textId="77777777" w:rsidR="0084406A" w:rsidRDefault="0084406A">
            <w:pPr>
              <w:rPr>
                <w:rFonts w:ascii="宋体"/>
              </w:rPr>
            </w:pPr>
          </w:p>
        </w:tc>
        <w:tc>
          <w:tcPr>
            <w:tcW w:w="5" w:type="pct"/>
            <w:shd w:val="clear" w:color="auto" w:fill="auto"/>
            <w:vAlign w:val="bottom"/>
          </w:tcPr>
          <w:p w14:paraId="5902A95B" w14:textId="77777777" w:rsidR="0084406A" w:rsidRDefault="0084406A">
            <w:pPr>
              <w:rPr>
                <w:rFonts w:ascii="宋体"/>
              </w:rPr>
            </w:pPr>
          </w:p>
        </w:tc>
        <w:tc>
          <w:tcPr>
            <w:tcW w:w="50" w:type="pct"/>
            <w:shd w:val="clear" w:color="auto" w:fill="auto"/>
            <w:vAlign w:val="bottom"/>
          </w:tcPr>
          <w:p w14:paraId="5902A95C" w14:textId="77777777" w:rsidR="0084406A" w:rsidRDefault="0084406A">
            <w:pPr>
              <w:rPr>
                <w:rFonts w:ascii="宋体"/>
              </w:rPr>
            </w:pPr>
          </w:p>
        </w:tc>
        <w:tc>
          <w:tcPr>
            <w:tcW w:w="624" w:type="pct"/>
            <w:shd w:val="clear" w:color="auto" w:fill="auto"/>
            <w:vAlign w:val="bottom"/>
          </w:tcPr>
          <w:p w14:paraId="5902A95D" w14:textId="77777777" w:rsidR="0084406A" w:rsidRDefault="0084406A">
            <w:pPr>
              <w:rPr>
                <w:rFonts w:ascii="宋体"/>
              </w:rPr>
            </w:pPr>
          </w:p>
        </w:tc>
        <w:tc>
          <w:tcPr>
            <w:tcW w:w="5" w:type="pct"/>
            <w:shd w:val="clear" w:color="auto" w:fill="auto"/>
            <w:vAlign w:val="bottom"/>
          </w:tcPr>
          <w:p w14:paraId="5902A95E" w14:textId="77777777" w:rsidR="0084406A" w:rsidRDefault="0084406A">
            <w:pPr>
              <w:rPr>
                <w:rFonts w:ascii="宋体"/>
              </w:rPr>
            </w:pPr>
          </w:p>
        </w:tc>
        <w:tc>
          <w:tcPr>
            <w:tcW w:w="5" w:type="pct"/>
            <w:shd w:val="clear" w:color="auto" w:fill="auto"/>
            <w:vAlign w:val="bottom"/>
          </w:tcPr>
          <w:p w14:paraId="5902A95F" w14:textId="77777777" w:rsidR="0084406A" w:rsidRDefault="0084406A">
            <w:pPr>
              <w:rPr>
                <w:rFonts w:ascii="宋体"/>
              </w:rPr>
            </w:pPr>
          </w:p>
        </w:tc>
        <w:tc>
          <w:tcPr>
            <w:tcW w:w="26" w:type="pct"/>
            <w:shd w:val="clear" w:color="auto" w:fill="auto"/>
            <w:vAlign w:val="bottom"/>
          </w:tcPr>
          <w:p w14:paraId="5902A960" w14:textId="77777777" w:rsidR="0084406A" w:rsidRDefault="0084406A">
            <w:pPr>
              <w:rPr>
                <w:rFonts w:ascii="宋体"/>
              </w:rPr>
            </w:pPr>
          </w:p>
        </w:tc>
        <w:tc>
          <w:tcPr>
            <w:tcW w:w="5" w:type="pct"/>
            <w:shd w:val="clear" w:color="auto" w:fill="auto"/>
            <w:vAlign w:val="bottom"/>
          </w:tcPr>
          <w:p w14:paraId="5902A961" w14:textId="77777777" w:rsidR="0084406A" w:rsidRDefault="0084406A">
            <w:pPr>
              <w:rPr>
                <w:rFonts w:ascii="宋体"/>
              </w:rPr>
            </w:pPr>
          </w:p>
        </w:tc>
        <w:tc>
          <w:tcPr>
            <w:tcW w:w="50" w:type="pct"/>
            <w:shd w:val="clear" w:color="auto" w:fill="auto"/>
            <w:vAlign w:val="bottom"/>
          </w:tcPr>
          <w:p w14:paraId="5902A962" w14:textId="77777777" w:rsidR="0084406A" w:rsidRDefault="0084406A">
            <w:pPr>
              <w:rPr>
                <w:rFonts w:ascii="宋体"/>
              </w:rPr>
            </w:pPr>
          </w:p>
        </w:tc>
        <w:tc>
          <w:tcPr>
            <w:tcW w:w="624" w:type="pct"/>
            <w:shd w:val="clear" w:color="auto" w:fill="auto"/>
            <w:vAlign w:val="bottom"/>
          </w:tcPr>
          <w:p w14:paraId="5902A963" w14:textId="77777777" w:rsidR="0084406A" w:rsidRDefault="0084406A">
            <w:pPr>
              <w:rPr>
                <w:rFonts w:ascii="宋体"/>
              </w:rPr>
            </w:pPr>
          </w:p>
        </w:tc>
        <w:tc>
          <w:tcPr>
            <w:tcW w:w="5" w:type="pct"/>
            <w:shd w:val="clear" w:color="auto" w:fill="auto"/>
            <w:vAlign w:val="bottom"/>
          </w:tcPr>
          <w:p w14:paraId="5902A964" w14:textId="77777777" w:rsidR="0084406A" w:rsidRDefault="0084406A">
            <w:pPr>
              <w:rPr>
                <w:rFonts w:ascii="宋体"/>
              </w:rPr>
            </w:pPr>
          </w:p>
        </w:tc>
        <w:tc>
          <w:tcPr>
            <w:tcW w:w="5" w:type="pct"/>
            <w:shd w:val="clear" w:color="auto" w:fill="auto"/>
            <w:vAlign w:val="bottom"/>
          </w:tcPr>
          <w:p w14:paraId="5902A965" w14:textId="77777777" w:rsidR="0084406A" w:rsidRDefault="0084406A">
            <w:pPr>
              <w:rPr>
                <w:rFonts w:ascii="宋体"/>
              </w:rPr>
            </w:pPr>
          </w:p>
        </w:tc>
        <w:tc>
          <w:tcPr>
            <w:tcW w:w="26" w:type="pct"/>
            <w:shd w:val="clear" w:color="auto" w:fill="auto"/>
            <w:vAlign w:val="bottom"/>
          </w:tcPr>
          <w:p w14:paraId="5902A966" w14:textId="77777777" w:rsidR="0084406A" w:rsidRDefault="0084406A">
            <w:pPr>
              <w:rPr>
                <w:rFonts w:ascii="宋体"/>
              </w:rPr>
            </w:pPr>
          </w:p>
        </w:tc>
        <w:tc>
          <w:tcPr>
            <w:tcW w:w="5" w:type="pct"/>
            <w:shd w:val="clear" w:color="auto" w:fill="auto"/>
            <w:vAlign w:val="bottom"/>
          </w:tcPr>
          <w:p w14:paraId="5902A967" w14:textId="77777777" w:rsidR="0084406A" w:rsidRDefault="0084406A">
            <w:pPr>
              <w:rPr>
                <w:rFonts w:ascii="宋体"/>
              </w:rPr>
            </w:pPr>
          </w:p>
        </w:tc>
        <w:tc>
          <w:tcPr>
            <w:tcW w:w="50" w:type="pct"/>
            <w:shd w:val="clear" w:color="auto" w:fill="auto"/>
            <w:vAlign w:val="bottom"/>
          </w:tcPr>
          <w:p w14:paraId="5902A968" w14:textId="77777777" w:rsidR="0084406A" w:rsidRDefault="0084406A">
            <w:pPr>
              <w:rPr>
                <w:rFonts w:ascii="宋体"/>
              </w:rPr>
            </w:pPr>
          </w:p>
        </w:tc>
        <w:tc>
          <w:tcPr>
            <w:tcW w:w="624" w:type="pct"/>
            <w:shd w:val="clear" w:color="auto" w:fill="auto"/>
            <w:vAlign w:val="bottom"/>
          </w:tcPr>
          <w:p w14:paraId="5902A969" w14:textId="77777777" w:rsidR="0084406A" w:rsidRDefault="0084406A">
            <w:pPr>
              <w:rPr>
                <w:rFonts w:ascii="宋体"/>
              </w:rPr>
            </w:pPr>
          </w:p>
        </w:tc>
        <w:tc>
          <w:tcPr>
            <w:tcW w:w="5" w:type="pct"/>
            <w:shd w:val="clear" w:color="auto" w:fill="auto"/>
            <w:vAlign w:val="bottom"/>
          </w:tcPr>
          <w:p w14:paraId="5902A96A" w14:textId="77777777" w:rsidR="0084406A" w:rsidRDefault="0084406A">
            <w:pPr>
              <w:rPr>
                <w:rFonts w:ascii="宋体"/>
              </w:rPr>
            </w:pPr>
          </w:p>
        </w:tc>
        <w:tc>
          <w:tcPr>
            <w:tcW w:w="5" w:type="pct"/>
            <w:shd w:val="clear" w:color="auto" w:fill="auto"/>
            <w:vAlign w:val="bottom"/>
          </w:tcPr>
          <w:p w14:paraId="5902A96B" w14:textId="77777777" w:rsidR="0084406A" w:rsidRDefault="0084406A">
            <w:pPr>
              <w:rPr>
                <w:rFonts w:ascii="宋体"/>
              </w:rPr>
            </w:pPr>
          </w:p>
        </w:tc>
        <w:tc>
          <w:tcPr>
            <w:tcW w:w="26" w:type="pct"/>
            <w:shd w:val="clear" w:color="auto" w:fill="auto"/>
            <w:vAlign w:val="bottom"/>
          </w:tcPr>
          <w:p w14:paraId="5902A96C" w14:textId="77777777" w:rsidR="0084406A" w:rsidRDefault="0084406A">
            <w:pPr>
              <w:rPr>
                <w:rFonts w:ascii="宋体"/>
              </w:rPr>
            </w:pPr>
          </w:p>
        </w:tc>
        <w:tc>
          <w:tcPr>
            <w:tcW w:w="5" w:type="pct"/>
            <w:shd w:val="clear" w:color="auto" w:fill="auto"/>
            <w:vAlign w:val="bottom"/>
          </w:tcPr>
          <w:p w14:paraId="5902A96D" w14:textId="77777777" w:rsidR="0084406A" w:rsidRDefault="0084406A">
            <w:pPr>
              <w:rPr>
                <w:rFonts w:ascii="宋体"/>
              </w:rPr>
            </w:pPr>
          </w:p>
        </w:tc>
        <w:tc>
          <w:tcPr>
            <w:tcW w:w="50" w:type="pct"/>
            <w:shd w:val="clear" w:color="auto" w:fill="auto"/>
            <w:vAlign w:val="bottom"/>
          </w:tcPr>
          <w:p w14:paraId="5902A96E" w14:textId="77777777" w:rsidR="0084406A" w:rsidRDefault="0084406A">
            <w:pPr>
              <w:rPr>
                <w:rFonts w:ascii="宋体"/>
              </w:rPr>
            </w:pPr>
          </w:p>
        </w:tc>
        <w:tc>
          <w:tcPr>
            <w:tcW w:w="625" w:type="pct"/>
            <w:shd w:val="clear" w:color="auto" w:fill="auto"/>
            <w:vAlign w:val="bottom"/>
          </w:tcPr>
          <w:p w14:paraId="5902A96F" w14:textId="77777777" w:rsidR="0084406A" w:rsidRDefault="0084406A">
            <w:pPr>
              <w:rPr>
                <w:rFonts w:ascii="宋体"/>
              </w:rPr>
            </w:pPr>
          </w:p>
        </w:tc>
        <w:tc>
          <w:tcPr>
            <w:tcW w:w="5" w:type="pct"/>
            <w:shd w:val="clear" w:color="auto" w:fill="auto"/>
            <w:vAlign w:val="bottom"/>
          </w:tcPr>
          <w:p w14:paraId="5902A970" w14:textId="77777777" w:rsidR="0084406A" w:rsidRDefault="0084406A">
            <w:pPr>
              <w:rPr>
                <w:rFonts w:ascii="宋体"/>
              </w:rPr>
            </w:pPr>
          </w:p>
        </w:tc>
      </w:tr>
      <w:tr w:rsidR="0084406A" w14:paraId="5902A976" w14:textId="77777777">
        <w:tc>
          <w:tcPr>
            <w:tcW w:w="0" w:type="auto"/>
            <w:gridSpan w:val="3"/>
            <w:shd w:val="clear" w:color="auto" w:fill="auto"/>
            <w:tcMar>
              <w:top w:w="40" w:type="dxa"/>
              <w:left w:w="20" w:type="dxa"/>
              <w:bottom w:w="40" w:type="dxa"/>
              <w:right w:w="20" w:type="dxa"/>
            </w:tcMar>
            <w:vAlign w:val="bottom"/>
          </w:tcPr>
          <w:p w14:paraId="5902A972" w14:textId="77777777" w:rsidR="0084406A" w:rsidRDefault="002B18AF">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5902A973"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974" w14:textId="77777777" w:rsidR="0084406A" w:rsidRDefault="0084406A">
            <w:pPr>
              <w:rPr>
                <w:rFonts w:ascii="宋体"/>
              </w:rPr>
            </w:pPr>
          </w:p>
        </w:tc>
        <w:tc>
          <w:tcPr>
            <w:tcW w:w="0" w:type="auto"/>
            <w:gridSpan w:val="9"/>
            <w:shd w:val="clear" w:color="auto" w:fill="auto"/>
            <w:tcMar>
              <w:top w:w="40" w:type="dxa"/>
              <w:left w:w="20" w:type="dxa"/>
              <w:bottom w:w="40" w:type="dxa"/>
              <w:right w:w="20" w:type="dxa"/>
            </w:tcMar>
            <w:vAlign w:val="bottom"/>
          </w:tcPr>
          <w:p w14:paraId="5902A975" w14:textId="77777777" w:rsidR="0084406A" w:rsidRDefault="002B18AF">
            <w:pPr>
              <w:jc w:val="center"/>
              <w:textAlignment w:val="bottom"/>
            </w:pPr>
            <w:r>
              <w:rPr>
                <w:rFonts w:ascii="Arial" w:eastAsia="宋体" w:hAnsi="Arial" w:cs="Arial"/>
                <w:b/>
                <w:bCs/>
                <w:color w:val="000000"/>
                <w:sz w:val="16"/>
                <w:szCs w:val="16"/>
              </w:rPr>
              <w:t>December 26, 2020</w:t>
            </w:r>
          </w:p>
        </w:tc>
      </w:tr>
      <w:tr w:rsidR="0084406A" w14:paraId="5902A97F" w14:textId="77777777">
        <w:tc>
          <w:tcPr>
            <w:tcW w:w="0" w:type="auto"/>
            <w:gridSpan w:val="3"/>
            <w:shd w:val="clear" w:color="auto" w:fill="auto"/>
            <w:tcMar>
              <w:top w:w="40" w:type="dxa"/>
              <w:left w:w="20" w:type="dxa"/>
              <w:bottom w:w="40" w:type="dxa"/>
              <w:right w:w="20" w:type="dxa"/>
            </w:tcMar>
            <w:vAlign w:val="bottom"/>
          </w:tcPr>
          <w:p w14:paraId="5902A977" w14:textId="77777777" w:rsidR="0084406A" w:rsidRDefault="002B18A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978" w14:textId="77777777" w:rsidR="0084406A" w:rsidRDefault="002B18AF">
            <w:pPr>
              <w:jc w:val="center"/>
              <w:textAlignment w:val="bottom"/>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979"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97A" w14:textId="77777777" w:rsidR="0084406A" w:rsidRDefault="002B18A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vAlign w:val="bottom"/>
          </w:tcPr>
          <w:p w14:paraId="5902A97B"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97C" w14:textId="77777777" w:rsidR="0084406A" w:rsidRDefault="002B18AF">
            <w:pPr>
              <w:jc w:val="center"/>
              <w:textAlignment w:val="bottom"/>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97D"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97E" w14:textId="77777777" w:rsidR="0084406A" w:rsidRDefault="002B18AF">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84406A" w14:paraId="5902A982" w14:textId="77777777">
        <w:tc>
          <w:tcPr>
            <w:tcW w:w="0" w:type="auto"/>
            <w:gridSpan w:val="3"/>
            <w:shd w:val="clear" w:color="auto" w:fill="auto"/>
            <w:tcMar>
              <w:top w:w="40" w:type="dxa"/>
              <w:left w:w="20" w:type="dxa"/>
              <w:bottom w:w="40" w:type="dxa"/>
              <w:right w:w="20" w:type="dxa"/>
            </w:tcMar>
            <w:vAlign w:val="bottom"/>
          </w:tcPr>
          <w:p w14:paraId="5902A980" w14:textId="77777777" w:rsidR="0084406A" w:rsidRDefault="002B18AF">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5902A981"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98B" w14:textId="77777777">
        <w:trPr>
          <w:hidden/>
        </w:trPr>
        <w:tc>
          <w:tcPr>
            <w:tcW w:w="0" w:type="auto"/>
            <w:gridSpan w:val="3"/>
            <w:shd w:val="clear" w:color="auto" w:fill="auto"/>
            <w:vAlign w:val="bottom"/>
          </w:tcPr>
          <w:p w14:paraId="5902A983" w14:textId="77777777" w:rsidR="0084406A" w:rsidRDefault="0084406A">
            <w:pPr>
              <w:rPr>
                <w:rFonts w:ascii="宋体"/>
                <w:vanish/>
              </w:rPr>
            </w:pPr>
          </w:p>
        </w:tc>
        <w:tc>
          <w:tcPr>
            <w:tcW w:w="0" w:type="auto"/>
            <w:gridSpan w:val="3"/>
            <w:shd w:val="clear" w:color="auto" w:fill="auto"/>
            <w:vAlign w:val="bottom"/>
          </w:tcPr>
          <w:p w14:paraId="5902A984" w14:textId="77777777" w:rsidR="0084406A" w:rsidRDefault="0084406A">
            <w:pPr>
              <w:rPr>
                <w:rFonts w:ascii="宋体"/>
                <w:vanish/>
              </w:rPr>
            </w:pPr>
          </w:p>
        </w:tc>
        <w:tc>
          <w:tcPr>
            <w:tcW w:w="0" w:type="auto"/>
            <w:gridSpan w:val="3"/>
            <w:shd w:val="clear" w:color="auto" w:fill="auto"/>
            <w:vAlign w:val="bottom"/>
          </w:tcPr>
          <w:p w14:paraId="5902A985" w14:textId="77777777" w:rsidR="0084406A" w:rsidRDefault="0084406A">
            <w:pPr>
              <w:rPr>
                <w:rFonts w:ascii="宋体"/>
                <w:vanish/>
              </w:rPr>
            </w:pPr>
          </w:p>
        </w:tc>
        <w:tc>
          <w:tcPr>
            <w:tcW w:w="0" w:type="auto"/>
            <w:gridSpan w:val="3"/>
            <w:shd w:val="clear" w:color="auto" w:fill="auto"/>
            <w:vAlign w:val="bottom"/>
          </w:tcPr>
          <w:p w14:paraId="5902A986" w14:textId="77777777" w:rsidR="0084406A" w:rsidRDefault="0084406A">
            <w:pPr>
              <w:rPr>
                <w:rFonts w:ascii="宋体"/>
                <w:vanish/>
              </w:rPr>
            </w:pPr>
          </w:p>
        </w:tc>
        <w:tc>
          <w:tcPr>
            <w:tcW w:w="0" w:type="auto"/>
            <w:gridSpan w:val="3"/>
            <w:shd w:val="clear" w:color="auto" w:fill="auto"/>
            <w:vAlign w:val="bottom"/>
          </w:tcPr>
          <w:p w14:paraId="5902A987" w14:textId="77777777" w:rsidR="0084406A" w:rsidRDefault="0084406A">
            <w:pPr>
              <w:rPr>
                <w:rFonts w:ascii="宋体"/>
                <w:vanish/>
              </w:rPr>
            </w:pPr>
          </w:p>
        </w:tc>
        <w:tc>
          <w:tcPr>
            <w:tcW w:w="0" w:type="auto"/>
            <w:gridSpan w:val="3"/>
            <w:shd w:val="clear" w:color="auto" w:fill="auto"/>
            <w:vAlign w:val="bottom"/>
          </w:tcPr>
          <w:p w14:paraId="5902A988" w14:textId="77777777" w:rsidR="0084406A" w:rsidRDefault="0084406A">
            <w:pPr>
              <w:rPr>
                <w:rFonts w:ascii="宋体"/>
                <w:vanish/>
              </w:rPr>
            </w:pPr>
          </w:p>
        </w:tc>
        <w:tc>
          <w:tcPr>
            <w:tcW w:w="0" w:type="auto"/>
            <w:gridSpan w:val="3"/>
            <w:shd w:val="clear" w:color="auto" w:fill="auto"/>
            <w:vAlign w:val="bottom"/>
          </w:tcPr>
          <w:p w14:paraId="5902A989" w14:textId="77777777" w:rsidR="0084406A" w:rsidRDefault="0084406A">
            <w:pPr>
              <w:rPr>
                <w:rFonts w:ascii="宋体"/>
                <w:vanish/>
              </w:rPr>
            </w:pPr>
          </w:p>
        </w:tc>
        <w:tc>
          <w:tcPr>
            <w:tcW w:w="0" w:type="auto"/>
            <w:gridSpan w:val="3"/>
            <w:shd w:val="clear" w:color="auto" w:fill="auto"/>
            <w:vAlign w:val="bottom"/>
          </w:tcPr>
          <w:p w14:paraId="5902A98A" w14:textId="77777777" w:rsidR="0084406A" w:rsidRDefault="0084406A">
            <w:pPr>
              <w:rPr>
                <w:rFonts w:ascii="宋体"/>
                <w:vanish/>
              </w:rPr>
            </w:pPr>
          </w:p>
        </w:tc>
      </w:tr>
      <w:tr w:rsidR="0084406A" w14:paraId="5902A99C" w14:textId="77777777">
        <w:tc>
          <w:tcPr>
            <w:tcW w:w="0" w:type="auto"/>
            <w:gridSpan w:val="3"/>
            <w:shd w:val="clear" w:color="auto" w:fill="CCEEFF"/>
            <w:tcMar>
              <w:top w:w="40" w:type="dxa"/>
              <w:left w:w="20" w:type="dxa"/>
              <w:bottom w:w="40" w:type="dxa"/>
              <w:right w:w="20" w:type="dxa"/>
            </w:tcMar>
            <w:vAlign w:val="bottom"/>
          </w:tcPr>
          <w:p w14:paraId="5902A98C" w14:textId="77777777" w:rsidR="0084406A" w:rsidRDefault="002B18AF">
            <w:pPr>
              <w:textAlignment w:val="bottom"/>
            </w:pPr>
            <w:r>
              <w:rPr>
                <w:rFonts w:ascii="Arial" w:eastAsia="宋体" w:hAnsi="Arial" w:cs="Arial"/>
                <w:color w:val="000000"/>
                <w:sz w:val="20"/>
                <w:szCs w:val="20"/>
              </w:rPr>
              <w:t>Current portion of long-term debt, net</w:t>
            </w:r>
          </w:p>
        </w:tc>
        <w:tc>
          <w:tcPr>
            <w:tcW w:w="0" w:type="auto"/>
            <w:shd w:val="clear" w:color="auto" w:fill="CCEEFF"/>
            <w:tcMar>
              <w:top w:w="40" w:type="dxa"/>
              <w:left w:w="20" w:type="dxa"/>
              <w:bottom w:w="40" w:type="dxa"/>
              <w:right w:w="0" w:type="dxa"/>
            </w:tcMar>
            <w:vAlign w:val="bottom"/>
          </w:tcPr>
          <w:p w14:paraId="5902A98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8E" w14:textId="77777777" w:rsidR="0084406A" w:rsidRDefault="002B18AF">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5902A98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90"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9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92" w14:textId="77777777" w:rsidR="0084406A" w:rsidRDefault="002B18AF">
            <w:pPr>
              <w:jc w:val="right"/>
              <w:textAlignment w:val="bottom"/>
            </w:pPr>
            <w:r>
              <w:rPr>
                <w:rFonts w:ascii="Arial" w:eastAsia="宋体" w:hAnsi="Arial" w:cs="Arial"/>
                <w:color w:val="000000"/>
                <w:sz w:val="20"/>
                <w:szCs w:val="20"/>
              </w:rPr>
              <w:t>326 </w:t>
            </w:r>
          </w:p>
        </w:tc>
        <w:tc>
          <w:tcPr>
            <w:tcW w:w="0" w:type="auto"/>
            <w:shd w:val="clear" w:color="auto" w:fill="CCEEFF"/>
            <w:tcMar>
              <w:top w:w="40" w:type="dxa"/>
              <w:left w:w="0" w:type="dxa"/>
              <w:bottom w:w="40" w:type="dxa"/>
              <w:right w:w="20" w:type="dxa"/>
            </w:tcMar>
            <w:vAlign w:val="bottom"/>
          </w:tcPr>
          <w:p w14:paraId="5902A99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94"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9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96"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99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98"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9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9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99B" w14:textId="77777777" w:rsidR="0084406A" w:rsidRDefault="0084406A">
            <w:pPr>
              <w:jc w:val="right"/>
              <w:rPr>
                <w:rFonts w:ascii="宋体"/>
              </w:rPr>
            </w:pPr>
          </w:p>
        </w:tc>
      </w:tr>
      <w:tr w:rsidR="0084406A" w14:paraId="5902A9A9" w14:textId="77777777">
        <w:tc>
          <w:tcPr>
            <w:tcW w:w="0" w:type="auto"/>
            <w:gridSpan w:val="3"/>
            <w:shd w:val="clear" w:color="auto" w:fill="FFFFFF"/>
            <w:tcMar>
              <w:top w:w="40" w:type="dxa"/>
              <w:left w:w="20" w:type="dxa"/>
              <w:bottom w:w="40" w:type="dxa"/>
              <w:right w:w="20" w:type="dxa"/>
            </w:tcMar>
            <w:vAlign w:val="bottom"/>
          </w:tcPr>
          <w:p w14:paraId="5902A99D" w14:textId="77777777" w:rsidR="0084406A" w:rsidRDefault="002B18AF">
            <w:pPr>
              <w:textAlignment w:val="bottom"/>
            </w:pPr>
            <w:r>
              <w:rPr>
                <w:rFonts w:ascii="Arial" w:eastAsia="宋体" w:hAnsi="Arial" w:cs="Arial"/>
                <w:color w:val="000000"/>
                <w:sz w:val="20"/>
                <w:szCs w:val="20"/>
              </w:rPr>
              <w:t>Long-term debt, net of current portion</w:t>
            </w:r>
          </w:p>
        </w:tc>
        <w:tc>
          <w:tcPr>
            <w:tcW w:w="0" w:type="auto"/>
            <w:gridSpan w:val="2"/>
            <w:shd w:val="clear" w:color="auto" w:fill="FFFFFF"/>
            <w:tcMar>
              <w:top w:w="40" w:type="dxa"/>
              <w:left w:w="20" w:type="dxa"/>
              <w:bottom w:w="40" w:type="dxa"/>
              <w:right w:w="0" w:type="dxa"/>
            </w:tcMar>
            <w:vAlign w:val="bottom"/>
          </w:tcPr>
          <w:p w14:paraId="5902A99E"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99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A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A1" w14:textId="77777777" w:rsidR="0084406A" w:rsidRDefault="002B18AF">
            <w:pPr>
              <w:jc w:val="right"/>
              <w:textAlignment w:val="bottom"/>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bottom"/>
          </w:tcPr>
          <w:p w14:paraId="5902A9A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A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A4" w14:textId="77777777" w:rsidR="0084406A" w:rsidRDefault="002B18AF">
            <w:pPr>
              <w:jc w:val="right"/>
              <w:textAlignment w:val="bottom"/>
            </w:pPr>
            <w:r>
              <w:rPr>
                <w:rFonts w:ascii="Arial" w:eastAsia="宋体" w:hAnsi="Arial" w:cs="Arial"/>
                <w:color w:val="000000"/>
                <w:sz w:val="20"/>
                <w:szCs w:val="20"/>
              </w:rPr>
              <w:t>330 </w:t>
            </w:r>
          </w:p>
        </w:tc>
        <w:tc>
          <w:tcPr>
            <w:tcW w:w="0" w:type="auto"/>
            <w:shd w:val="clear" w:color="auto" w:fill="FFFFFF"/>
            <w:tcMar>
              <w:top w:w="40" w:type="dxa"/>
              <w:left w:w="0" w:type="dxa"/>
              <w:bottom w:w="40" w:type="dxa"/>
              <w:right w:w="20" w:type="dxa"/>
            </w:tcMar>
            <w:vAlign w:val="bottom"/>
          </w:tcPr>
          <w:p w14:paraId="5902A9A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A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A7" w14:textId="77777777" w:rsidR="0084406A" w:rsidRDefault="002B18AF">
            <w:pPr>
              <w:jc w:val="right"/>
              <w:textAlignment w:val="bottom"/>
            </w:pPr>
            <w:r>
              <w:rPr>
                <w:rFonts w:ascii="Arial" w:eastAsia="宋体" w:hAnsi="Arial" w:cs="Arial"/>
                <w:color w:val="000000"/>
                <w:sz w:val="20"/>
                <w:szCs w:val="20"/>
              </w:rPr>
              <w:t>642 </w:t>
            </w:r>
          </w:p>
        </w:tc>
        <w:tc>
          <w:tcPr>
            <w:tcW w:w="0" w:type="auto"/>
            <w:shd w:val="clear" w:color="auto" w:fill="FFFFFF"/>
            <w:tcMar>
              <w:top w:w="40" w:type="dxa"/>
              <w:left w:w="0" w:type="dxa"/>
              <w:bottom w:w="40" w:type="dxa"/>
              <w:right w:w="20" w:type="dxa"/>
            </w:tcMar>
            <w:vAlign w:val="bottom"/>
          </w:tcPr>
          <w:p w14:paraId="5902A9A8" w14:textId="77777777" w:rsidR="0084406A" w:rsidRDefault="0084406A">
            <w:pPr>
              <w:jc w:val="right"/>
              <w:rPr>
                <w:rFonts w:ascii="宋体"/>
              </w:rPr>
            </w:pPr>
          </w:p>
        </w:tc>
      </w:tr>
    </w:tbl>
    <w:p w14:paraId="5902A9AA" w14:textId="77777777" w:rsidR="0084406A" w:rsidRDefault="002B18AF">
      <w:pPr>
        <w:spacing w:before="180"/>
        <w:jc w:val="both"/>
      </w:pPr>
      <w:r>
        <w:rPr>
          <w:rFonts w:ascii="Arial" w:eastAsia="宋体" w:hAnsi="Arial" w:cs="Arial"/>
          <w:color w:val="000000"/>
          <w:sz w:val="20"/>
          <w:szCs w:val="20"/>
        </w:rPr>
        <w:t>The estimated fair value of the Company’s long-term debt are based on Level 2 input</w:t>
      </w:r>
      <w:r>
        <w:rPr>
          <w:rFonts w:ascii="Arial" w:eastAsia="宋体" w:hAnsi="Arial" w:cs="Arial"/>
          <w:color w:val="000000"/>
          <w:sz w:val="20"/>
          <w:szCs w:val="20"/>
        </w:rPr>
        <w:t>s as the fair value is based on quoted prices for the Company’s debt and comparable instruments in inactive markets. The Company’s 2.125% Notes, included in Long-term debt, net, above, were convertible at the option of the holder as of December 25, 2021. T</w:t>
      </w:r>
      <w:r>
        <w:rPr>
          <w:rFonts w:ascii="Arial" w:eastAsia="宋体" w:hAnsi="Arial" w:cs="Arial"/>
          <w:color w:val="000000"/>
          <w:sz w:val="20"/>
          <w:szCs w:val="20"/>
        </w:rPr>
        <w:t>he estimated fair value of the 2.125% Notes as of December 25, 2021 takes into account the value of the Company’s stock price of $146.14 as of December 23, 2021, the last trading date for the year ended December 25, 2021 and the initial conversion price of</w:t>
      </w:r>
      <w:r>
        <w:rPr>
          <w:rFonts w:ascii="Arial" w:eastAsia="宋体" w:hAnsi="Arial" w:cs="Arial"/>
          <w:color w:val="000000"/>
          <w:sz w:val="20"/>
          <w:szCs w:val="20"/>
        </w:rPr>
        <w:t xml:space="preserve"> approximately $8.00 per share of common stock. </w:t>
      </w:r>
    </w:p>
    <w:p w14:paraId="5902A9AB" w14:textId="77777777" w:rsidR="0084406A" w:rsidRDefault="002B18AF">
      <w:pPr>
        <w:spacing w:before="180"/>
        <w:jc w:val="both"/>
      </w:pPr>
      <w:r>
        <w:rPr>
          <w:rFonts w:ascii="Arial" w:eastAsia="宋体" w:hAnsi="Arial" w:cs="Arial"/>
          <w:color w:val="000000"/>
          <w:sz w:val="20"/>
          <w:szCs w:val="20"/>
        </w:rPr>
        <w:t>The fair value of the Company’s time deposits, accounts receivable, accounts payable and other short-term obligations approximate their carrying value based on existing terms.</w:t>
      </w:r>
    </w:p>
    <w:p w14:paraId="5902A9AC" w14:textId="77777777" w:rsidR="0084406A" w:rsidRDefault="002B18AF">
      <w:pPr>
        <w:spacing w:before="180"/>
        <w:jc w:val="both"/>
      </w:pPr>
      <w:r>
        <w:rPr>
          <w:rFonts w:ascii="Arial" w:eastAsia="宋体" w:hAnsi="Arial" w:cs="Arial"/>
          <w:b/>
          <w:bCs/>
          <w:color w:val="000000"/>
          <w:sz w:val="20"/>
          <w:szCs w:val="20"/>
        </w:rPr>
        <w:t xml:space="preserve">Hedging </w:t>
      </w:r>
      <w:r>
        <w:rPr>
          <w:rFonts w:ascii="Arial" w:eastAsia="宋体" w:hAnsi="Arial" w:cs="Arial"/>
          <w:b/>
          <w:bCs/>
          <w:color w:val="000000"/>
          <w:sz w:val="20"/>
          <w:szCs w:val="20"/>
        </w:rPr>
        <w:t>Transactions and Derivative Financial Instruments</w:t>
      </w:r>
    </w:p>
    <w:p w14:paraId="5902A9AD" w14:textId="77777777" w:rsidR="0084406A" w:rsidRDefault="002B18AF">
      <w:pPr>
        <w:spacing w:before="180"/>
        <w:jc w:val="both"/>
      </w:pPr>
      <w:r>
        <w:rPr>
          <w:rFonts w:ascii="Arial" w:eastAsia="宋体" w:hAnsi="Arial" w:cs="Arial"/>
          <w:i/>
          <w:iCs/>
          <w:color w:val="000000"/>
          <w:sz w:val="20"/>
          <w:szCs w:val="20"/>
        </w:rPr>
        <w:t>Foreign Currency Forward Contracts Designated as Accounting Hedges</w:t>
      </w:r>
    </w:p>
    <w:p w14:paraId="5902A9AE" w14:textId="77777777" w:rsidR="0084406A" w:rsidRDefault="002B18AF">
      <w:pPr>
        <w:spacing w:before="180"/>
        <w:jc w:val="both"/>
      </w:pPr>
      <w:r>
        <w:rPr>
          <w:rFonts w:ascii="Arial" w:eastAsia="宋体" w:hAnsi="Arial" w:cs="Arial"/>
          <w:color w:val="000000"/>
          <w:sz w:val="20"/>
          <w:szCs w:val="20"/>
        </w:rPr>
        <w:t xml:space="preserve">The Company enters into foreign currency forward contracts to hedge its exposure to foreign currency exchange rate risk related to </w:t>
      </w:r>
      <w:r>
        <w:rPr>
          <w:rFonts w:ascii="Arial" w:eastAsia="宋体" w:hAnsi="Arial" w:cs="Arial"/>
          <w:color w:val="000000"/>
          <w:sz w:val="20"/>
          <w:szCs w:val="20"/>
        </w:rPr>
        <w:t>future forecasted transactions denominated in currencies other than the U.S. Dollar. These contracts generally mature within 18 months and are designated as accounting hedges. As of December 25, 2021 and December 26, 2020, the notional values of the Compan</w:t>
      </w:r>
      <w:r>
        <w:rPr>
          <w:rFonts w:ascii="Arial" w:eastAsia="宋体" w:hAnsi="Arial" w:cs="Arial"/>
          <w:color w:val="000000"/>
          <w:sz w:val="20"/>
          <w:szCs w:val="20"/>
        </w:rPr>
        <w:t>y’s outstanding foreign currency forward contracts designated as cash flow hedges were $894 million and $501 million, respectively. The fair value of these contracts was not material as of December 25, 2021 and December 26, 2020.</w:t>
      </w:r>
    </w:p>
    <w:p w14:paraId="5902A9AF" w14:textId="77777777" w:rsidR="0084406A" w:rsidRDefault="002B18AF">
      <w:pPr>
        <w:spacing w:before="180"/>
        <w:jc w:val="both"/>
      </w:pPr>
      <w:r>
        <w:rPr>
          <w:rFonts w:ascii="Arial" w:eastAsia="宋体" w:hAnsi="Arial" w:cs="Arial"/>
          <w:i/>
          <w:iCs/>
          <w:color w:val="000000"/>
          <w:sz w:val="20"/>
          <w:szCs w:val="20"/>
        </w:rPr>
        <w:t>Foreign Currency Forward C</w:t>
      </w:r>
      <w:r>
        <w:rPr>
          <w:rFonts w:ascii="Arial" w:eastAsia="宋体" w:hAnsi="Arial" w:cs="Arial"/>
          <w:i/>
          <w:iCs/>
          <w:color w:val="000000"/>
          <w:sz w:val="20"/>
          <w:szCs w:val="20"/>
        </w:rPr>
        <w:t>ontracts Not Designated as Accounting Hedges</w:t>
      </w:r>
    </w:p>
    <w:p w14:paraId="5902A9B0" w14:textId="77777777" w:rsidR="0084406A" w:rsidRDefault="002B18AF">
      <w:pPr>
        <w:spacing w:before="180"/>
        <w:jc w:val="both"/>
      </w:pPr>
      <w:r>
        <w:rPr>
          <w:rFonts w:ascii="Arial" w:eastAsia="宋体" w:hAnsi="Arial" w:cs="Arial"/>
          <w:color w:val="000000"/>
          <w:sz w:val="20"/>
          <w:szCs w:val="20"/>
        </w:rPr>
        <w:t xml:space="preserve">The Company also enters into foreign currency forward contracts to reduce the short-term effects of foreign currency fluctuations on certain receivables or payables denominated in currencies other than the U.S. </w:t>
      </w:r>
      <w:r>
        <w:rPr>
          <w:rFonts w:ascii="Arial" w:eastAsia="宋体" w:hAnsi="Arial" w:cs="Arial"/>
          <w:color w:val="000000"/>
          <w:sz w:val="20"/>
          <w:szCs w:val="20"/>
        </w:rPr>
        <w:t xml:space="preserve">Dollar. These forward contracts generally mature within 3 months and are not designated as accounting hedges. As of December 25, 2021 and December 26, 2020, the notional values of outstanding contracts were $291 million and $254 million, respectively. The </w:t>
      </w:r>
      <w:r>
        <w:rPr>
          <w:rFonts w:ascii="Arial" w:eastAsia="宋体" w:hAnsi="Arial" w:cs="Arial"/>
          <w:color w:val="000000"/>
          <w:sz w:val="20"/>
          <w:szCs w:val="20"/>
        </w:rPr>
        <w:t>fair value of these contracts was not material as of December 25, 2021 and December 26, 2020.</w:t>
      </w:r>
    </w:p>
    <w:p w14:paraId="5902A9B1" w14:textId="77777777" w:rsidR="0084406A" w:rsidRDefault="002B18AF">
      <w:pPr>
        <w:spacing w:before="280"/>
        <w:jc w:val="both"/>
      </w:pPr>
      <w:r>
        <w:rPr>
          <w:rFonts w:ascii="Arial" w:eastAsia="宋体" w:hAnsi="Arial" w:cs="Arial"/>
          <w:b/>
          <w:bCs/>
          <w:color w:val="000000"/>
          <w:sz w:val="20"/>
          <w:szCs w:val="20"/>
        </w:rPr>
        <w:t>NOTE 8 – Accumulated Other Comprehensive Income (Loss)</w:t>
      </w:r>
    </w:p>
    <w:p w14:paraId="5902A9B2" w14:textId="77777777" w:rsidR="0084406A" w:rsidRDefault="002B18AF">
      <w:pPr>
        <w:spacing w:before="180"/>
        <w:jc w:val="both"/>
      </w:pPr>
      <w:r>
        <w:rPr>
          <w:rFonts w:ascii="Arial" w:eastAsia="宋体" w:hAnsi="Arial" w:cs="Arial"/>
          <w:color w:val="000000"/>
          <w:sz w:val="20"/>
          <w:szCs w:val="20"/>
        </w:rPr>
        <w:t>Unrealized holding gains or losses on the Company’s available-for-sale debt securities and unrealized holdi</w:t>
      </w:r>
      <w:r>
        <w:rPr>
          <w:rFonts w:ascii="Arial" w:eastAsia="宋体" w:hAnsi="Arial" w:cs="Arial"/>
          <w:color w:val="000000"/>
          <w:sz w:val="20"/>
          <w:szCs w:val="20"/>
        </w:rPr>
        <w:t>ng gains and losses on derivative financial instruments qualifying as cash flow hedges are included in other comprehensive income (loss).</w:t>
      </w:r>
    </w:p>
    <w:p w14:paraId="5902A9B3" w14:textId="77777777" w:rsidR="0084406A" w:rsidRDefault="002B18AF">
      <w:pPr>
        <w:spacing w:before="180"/>
        <w:jc w:val="both"/>
      </w:pPr>
      <w:r>
        <w:rPr>
          <w:rFonts w:ascii="Arial" w:eastAsia="宋体" w:hAnsi="Arial" w:cs="Arial"/>
          <w:color w:val="000000"/>
          <w:sz w:val="20"/>
          <w:szCs w:val="20"/>
        </w:rPr>
        <w:t>The table below summarizes the changes in accumulated other comprehensive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389"/>
        <w:gridCol w:w="40"/>
        <w:gridCol w:w="36"/>
        <w:gridCol w:w="36"/>
        <w:gridCol w:w="36"/>
        <w:gridCol w:w="133"/>
        <w:gridCol w:w="1017"/>
        <w:gridCol w:w="36"/>
        <w:gridCol w:w="36"/>
        <w:gridCol w:w="36"/>
        <w:gridCol w:w="36"/>
        <w:gridCol w:w="133"/>
        <w:gridCol w:w="976"/>
        <w:gridCol w:w="36"/>
        <w:gridCol w:w="36"/>
        <w:gridCol w:w="36"/>
        <w:gridCol w:w="36"/>
        <w:gridCol w:w="133"/>
        <w:gridCol w:w="1042"/>
        <w:gridCol w:w="36"/>
      </w:tblGrid>
      <w:tr w:rsidR="0084406A" w14:paraId="5902A9C9" w14:textId="77777777">
        <w:trPr>
          <w:jc w:val="center"/>
        </w:trPr>
        <w:tc>
          <w:tcPr>
            <w:tcW w:w="50" w:type="pct"/>
            <w:shd w:val="clear" w:color="auto" w:fill="auto"/>
            <w:vAlign w:val="bottom"/>
          </w:tcPr>
          <w:p w14:paraId="5902A9B4" w14:textId="77777777" w:rsidR="0084406A" w:rsidRDefault="0084406A">
            <w:pPr>
              <w:rPr>
                <w:rFonts w:ascii="宋体"/>
              </w:rPr>
            </w:pPr>
          </w:p>
        </w:tc>
        <w:tc>
          <w:tcPr>
            <w:tcW w:w="2693" w:type="pct"/>
            <w:shd w:val="clear" w:color="auto" w:fill="auto"/>
            <w:vAlign w:val="bottom"/>
          </w:tcPr>
          <w:p w14:paraId="5902A9B5" w14:textId="77777777" w:rsidR="0084406A" w:rsidRDefault="0084406A">
            <w:pPr>
              <w:rPr>
                <w:rFonts w:ascii="宋体"/>
              </w:rPr>
            </w:pPr>
          </w:p>
        </w:tc>
        <w:tc>
          <w:tcPr>
            <w:tcW w:w="5" w:type="pct"/>
            <w:shd w:val="clear" w:color="auto" w:fill="auto"/>
            <w:vAlign w:val="bottom"/>
          </w:tcPr>
          <w:p w14:paraId="5902A9B6" w14:textId="77777777" w:rsidR="0084406A" w:rsidRDefault="0084406A">
            <w:pPr>
              <w:rPr>
                <w:rFonts w:ascii="宋体"/>
              </w:rPr>
            </w:pPr>
          </w:p>
        </w:tc>
        <w:tc>
          <w:tcPr>
            <w:tcW w:w="5" w:type="pct"/>
            <w:shd w:val="clear" w:color="auto" w:fill="auto"/>
            <w:vAlign w:val="bottom"/>
          </w:tcPr>
          <w:p w14:paraId="5902A9B7" w14:textId="77777777" w:rsidR="0084406A" w:rsidRDefault="0084406A">
            <w:pPr>
              <w:rPr>
                <w:rFonts w:ascii="宋体"/>
              </w:rPr>
            </w:pPr>
          </w:p>
        </w:tc>
        <w:tc>
          <w:tcPr>
            <w:tcW w:w="19" w:type="pct"/>
            <w:shd w:val="clear" w:color="auto" w:fill="auto"/>
            <w:vAlign w:val="bottom"/>
          </w:tcPr>
          <w:p w14:paraId="5902A9B8" w14:textId="77777777" w:rsidR="0084406A" w:rsidRDefault="0084406A">
            <w:pPr>
              <w:rPr>
                <w:rFonts w:ascii="宋体"/>
              </w:rPr>
            </w:pPr>
          </w:p>
        </w:tc>
        <w:tc>
          <w:tcPr>
            <w:tcW w:w="5" w:type="pct"/>
            <w:shd w:val="clear" w:color="auto" w:fill="auto"/>
            <w:vAlign w:val="bottom"/>
          </w:tcPr>
          <w:p w14:paraId="5902A9B9" w14:textId="77777777" w:rsidR="0084406A" w:rsidRDefault="0084406A">
            <w:pPr>
              <w:rPr>
                <w:rFonts w:ascii="宋体"/>
              </w:rPr>
            </w:pPr>
          </w:p>
        </w:tc>
        <w:tc>
          <w:tcPr>
            <w:tcW w:w="50" w:type="pct"/>
            <w:shd w:val="clear" w:color="auto" w:fill="auto"/>
            <w:vAlign w:val="bottom"/>
          </w:tcPr>
          <w:p w14:paraId="5902A9BA" w14:textId="77777777" w:rsidR="0084406A" w:rsidRDefault="0084406A">
            <w:pPr>
              <w:rPr>
                <w:rFonts w:ascii="宋体"/>
              </w:rPr>
            </w:pPr>
          </w:p>
        </w:tc>
        <w:tc>
          <w:tcPr>
            <w:tcW w:w="654" w:type="pct"/>
            <w:shd w:val="clear" w:color="auto" w:fill="auto"/>
            <w:vAlign w:val="bottom"/>
          </w:tcPr>
          <w:p w14:paraId="5902A9BB" w14:textId="77777777" w:rsidR="0084406A" w:rsidRDefault="0084406A">
            <w:pPr>
              <w:rPr>
                <w:rFonts w:ascii="宋体"/>
              </w:rPr>
            </w:pPr>
          </w:p>
        </w:tc>
        <w:tc>
          <w:tcPr>
            <w:tcW w:w="5" w:type="pct"/>
            <w:shd w:val="clear" w:color="auto" w:fill="auto"/>
            <w:vAlign w:val="bottom"/>
          </w:tcPr>
          <w:p w14:paraId="5902A9BC" w14:textId="77777777" w:rsidR="0084406A" w:rsidRDefault="0084406A">
            <w:pPr>
              <w:rPr>
                <w:rFonts w:ascii="宋体"/>
              </w:rPr>
            </w:pPr>
          </w:p>
        </w:tc>
        <w:tc>
          <w:tcPr>
            <w:tcW w:w="5" w:type="pct"/>
            <w:shd w:val="clear" w:color="auto" w:fill="auto"/>
            <w:vAlign w:val="bottom"/>
          </w:tcPr>
          <w:p w14:paraId="5902A9BD" w14:textId="77777777" w:rsidR="0084406A" w:rsidRDefault="0084406A">
            <w:pPr>
              <w:rPr>
                <w:rFonts w:ascii="宋体"/>
              </w:rPr>
            </w:pPr>
          </w:p>
        </w:tc>
        <w:tc>
          <w:tcPr>
            <w:tcW w:w="26" w:type="pct"/>
            <w:shd w:val="clear" w:color="auto" w:fill="auto"/>
            <w:vAlign w:val="bottom"/>
          </w:tcPr>
          <w:p w14:paraId="5902A9BE" w14:textId="77777777" w:rsidR="0084406A" w:rsidRDefault="0084406A">
            <w:pPr>
              <w:rPr>
                <w:rFonts w:ascii="宋体"/>
              </w:rPr>
            </w:pPr>
          </w:p>
        </w:tc>
        <w:tc>
          <w:tcPr>
            <w:tcW w:w="5" w:type="pct"/>
            <w:shd w:val="clear" w:color="auto" w:fill="auto"/>
            <w:vAlign w:val="bottom"/>
          </w:tcPr>
          <w:p w14:paraId="5902A9BF" w14:textId="77777777" w:rsidR="0084406A" w:rsidRDefault="0084406A">
            <w:pPr>
              <w:rPr>
                <w:rFonts w:ascii="宋体"/>
              </w:rPr>
            </w:pPr>
          </w:p>
        </w:tc>
        <w:tc>
          <w:tcPr>
            <w:tcW w:w="50" w:type="pct"/>
            <w:shd w:val="clear" w:color="auto" w:fill="auto"/>
            <w:vAlign w:val="bottom"/>
          </w:tcPr>
          <w:p w14:paraId="5902A9C0" w14:textId="77777777" w:rsidR="0084406A" w:rsidRDefault="0084406A">
            <w:pPr>
              <w:rPr>
                <w:rFonts w:ascii="宋体"/>
              </w:rPr>
            </w:pPr>
          </w:p>
        </w:tc>
        <w:tc>
          <w:tcPr>
            <w:tcW w:w="668" w:type="pct"/>
            <w:shd w:val="clear" w:color="auto" w:fill="auto"/>
            <w:vAlign w:val="bottom"/>
          </w:tcPr>
          <w:p w14:paraId="5902A9C1" w14:textId="77777777" w:rsidR="0084406A" w:rsidRDefault="0084406A">
            <w:pPr>
              <w:rPr>
                <w:rFonts w:ascii="宋体"/>
              </w:rPr>
            </w:pPr>
          </w:p>
        </w:tc>
        <w:tc>
          <w:tcPr>
            <w:tcW w:w="5" w:type="pct"/>
            <w:shd w:val="clear" w:color="auto" w:fill="auto"/>
            <w:vAlign w:val="bottom"/>
          </w:tcPr>
          <w:p w14:paraId="5902A9C2" w14:textId="77777777" w:rsidR="0084406A" w:rsidRDefault="0084406A">
            <w:pPr>
              <w:rPr>
                <w:rFonts w:ascii="宋体"/>
              </w:rPr>
            </w:pPr>
          </w:p>
        </w:tc>
        <w:tc>
          <w:tcPr>
            <w:tcW w:w="5" w:type="pct"/>
            <w:shd w:val="clear" w:color="auto" w:fill="auto"/>
            <w:vAlign w:val="bottom"/>
          </w:tcPr>
          <w:p w14:paraId="5902A9C3" w14:textId="77777777" w:rsidR="0084406A" w:rsidRDefault="0084406A">
            <w:pPr>
              <w:rPr>
                <w:rFonts w:ascii="宋体"/>
              </w:rPr>
            </w:pPr>
          </w:p>
        </w:tc>
        <w:tc>
          <w:tcPr>
            <w:tcW w:w="19" w:type="pct"/>
            <w:shd w:val="clear" w:color="auto" w:fill="auto"/>
            <w:vAlign w:val="bottom"/>
          </w:tcPr>
          <w:p w14:paraId="5902A9C4" w14:textId="77777777" w:rsidR="0084406A" w:rsidRDefault="0084406A">
            <w:pPr>
              <w:rPr>
                <w:rFonts w:ascii="宋体"/>
              </w:rPr>
            </w:pPr>
          </w:p>
        </w:tc>
        <w:tc>
          <w:tcPr>
            <w:tcW w:w="5" w:type="pct"/>
            <w:shd w:val="clear" w:color="auto" w:fill="auto"/>
            <w:vAlign w:val="bottom"/>
          </w:tcPr>
          <w:p w14:paraId="5902A9C5" w14:textId="77777777" w:rsidR="0084406A" w:rsidRDefault="0084406A">
            <w:pPr>
              <w:rPr>
                <w:rFonts w:ascii="宋体"/>
              </w:rPr>
            </w:pPr>
          </w:p>
        </w:tc>
        <w:tc>
          <w:tcPr>
            <w:tcW w:w="50" w:type="pct"/>
            <w:shd w:val="clear" w:color="auto" w:fill="auto"/>
            <w:vAlign w:val="bottom"/>
          </w:tcPr>
          <w:p w14:paraId="5902A9C6" w14:textId="77777777" w:rsidR="0084406A" w:rsidRDefault="0084406A">
            <w:pPr>
              <w:rPr>
                <w:rFonts w:ascii="宋体"/>
              </w:rPr>
            </w:pPr>
          </w:p>
        </w:tc>
        <w:tc>
          <w:tcPr>
            <w:tcW w:w="668" w:type="pct"/>
            <w:shd w:val="clear" w:color="auto" w:fill="auto"/>
            <w:vAlign w:val="bottom"/>
          </w:tcPr>
          <w:p w14:paraId="5902A9C7" w14:textId="77777777" w:rsidR="0084406A" w:rsidRDefault="0084406A">
            <w:pPr>
              <w:rPr>
                <w:rFonts w:ascii="宋体"/>
              </w:rPr>
            </w:pPr>
          </w:p>
        </w:tc>
        <w:tc>
          <w:tcPr>
            <w:tcW w:w="5" w:type="pct"/>
            <w:shd w:val="clear" w:color="auto" w:fill="auto"/>
            <w:vAlign w:val="bottom"/>
          </w:tcPr>
          <w:p w14:paraId="5902A9C8" w14:textId="77777777" w:rsidR="0084406A" w:rsidRDefault="0084406A">
            <w:pPr>
              <w:rPr>
                <w:rFonts w:ascii="宋体"/>
              </w:rPr>
            </w:pPr>
          </w:p>
        </w:tc>
      </w:tr>
      <w:tr w:rsidR="0084406A" w14:paraId="5902A9D1" w14:textId="77777777">
        <w:trPr>
          <w:jc w:val="center"/>
        </w:trPr>
        <w:tc>
          <w:tcPr>
            <w:tcW w:w="0" w:type="auto"/>
            <w:gridSpan w:val="3"/>
            <w:shd w:val="clear" w:color="auto" w:fill="auto"/>
            <w:tcMar>
              <w:top w:w="0" w:type="dxa"/>
              <w:left w:w="20" w:type="dxa"/>
              <w:bottom w:w="0" w:type="dxa"/>
              <w:right w:w="20" w:type="dxa"/>
            </w:tcMar>
            <w:vAlign w:val="bottom"/>
          </w:tcPr>
          <w:p w14:paraId="5902A9C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A9C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9CC" w14:textId="77777777" w:rsidR="0084406A" w:rsidRDefault="002B18AF">
            <w:pPr>
              <w:jc w:val="center"/>
              <w:textAlignment w:val="bottom"/>
            </w:pPr>
            <w:r>
              <w:rPr>
                <w:rFonts w:ascii="Arial" w:eastAsia="宋体" w:hAnsi="Arial" w:cs="Arial"/>
                <w:b/>
                <w:bCs/>
                <w:color w:val="000000"/>
                <w:sz w:val="16"/>
                <w:szCs w:val="16"/>
              </w:rPr>
              <w:t>Decemb</w:t>
            </w:r>
            <w:r>
              <w:rPr>
                <w:rFonts w:ascii="Arial" w:eastAsia="宋体" w:hAnsi="Arial" w:cs="Arial"/>
                <w:b/>
                <w:bCs/>
                <w:color w:val="000000"/>
                <w:sz w:val="16"/>
                <w:szCs w:val="16"/>
              </w:rPr>
              <w:t>er 25, 2021</w:t>
            </w:r>
          </w:p>
        </w:tc>
        <w:tc>
          <w:tcPr>
            <w:tcW w:w="0" w:type="auto"/>
            <w:gridSpan w:val="3"/>
            <w:shd w:val="clear" w:color="auto" w:fill="auto"/>
            <w:tcMar>
              <w:top w:w="0" w:type="dxa"/>
              <w:left w:w="20" w:type="dxa"/>
              <w:bottom w:w="0" w:type="dxa"/>
              <w:right w:w="20" w:type="dxa"/>
            </w:tcMar>
            <w:vAlign w:val="bottom"/>
          </w:tcPr>
          <w:p w14:paraId="5902A9CD"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9CE"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9CF"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9D0"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9D5" w14:textId="77777777">
        <w:trPr>
          <w:jc w:val="center"/>
        </w:trPr>
        <w:tc>
          <w:tcPr>
            <w:tcW w:w="0" w:type="auto"/>
            <w:gridSpan w:val="3"/>
            <w:shd w:val="clear" w:color="auto" w:fill="auto"/>
            <w:tcMar>
              <w:top w:w="40" w:type="dxa"/>
              <w:left w:w="20" w:type="dxa"/>
              <w:bottom w:w="40" w:type="dxa"/>
              <w:right w:w="20" w:type="dxa"/>
            </w:tcMar>
            <w:vAlign w:val="bottom"/>
          </w:tcPr>
          <w:p w14:paraId="5902A9D2" w14:textId="77777777" w:rsidR="0084406A" w:rsidRDefault="002B18AF">
            <w:pPr>
              <w:textAlignment w:val="bottom"/>
            </w:pPr>
            <w:r>
              <w:rPr>
                <w:rFonts w:ascii="Arial" w:eastAsia="宋体" w:hAnsi="Arial" w:cs="Arial"/>
                <w:color w:val="000000"/>
                <w:sz w:val="20"/>
                <w:szCs w:val="20"/>
              </w:rPr>
              <w:t>Gains (losses) on cash flow hedges:</w:t>
            </w:r>
          </w:p>
        </w:tc>
        <w:tc>
          <w:tcPr>
            <w:tcW w:w="0" w:type="auto"/>
            <w:gridSpan w:val="3"/>
            <w:shd w:val="clear" w:color="auto" w:fill="auto"/>
            <w:tcMar>
              <w:top w:w="0" w:type="dxa"/>
              <w:left w:w="20" w:type="dxa"/>
              <w:bottom w:w="0" w:type="dxa"/>
              <w:right w:w="20" w:type="dxa"/>
            </w:tcMar>
            <w:vAlign w:val="bottom"/>
          </w:tcPr>
          <w:p w14:paraId="5902A9D3" w14:textId="77777777" w:rsidR="0084406A" w:rsidRDefault="0084406A">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9D4"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9E3" w14:textId="77777777">
        <w:trPr>
          <w:jc w:val="center"/>
        </w:trPr>
        <w:tc>
          <w:tcPr>
            <w:tcW w:w="0" w:type="auto"/>
            <w:gridSpan w:val="3"/>
            <w:shd w:val="clear" w:color="auto" w:fill="CCEEFF"/>
            <w:tcMar>
              <w:top w:w="40" w:type="dxa"/>
              <w:left w:w="20" w:type="dxa"/>
              <w:bottom w:w="40" w:type="dxa"/>
              <w:right w:w="20" w:type="dxa"/>
            </w:tcMar>
            <w:vAlign w:val="bottom"/>
          </w:tcPr>
          <w:p w14:paraId="5902A9D6" w14:textId="77777777" w:rsidR="0084406A" w:rsidRDefault="002B18AF">
            <w:pPr>
              <w:textAlignment w:val="bottom"/>
            </w:pPr>
            <w:r>
              <w:rPr>
                <w:rFonts w:ascii="Arial" w:eastAsia="宋体" w:hAnsi="Arial" w:cs="Arial"/>
                <w:color w:val="000000"/>
                <w:sz w:val="20"/>
                <w:szCs w:val="20"/>
              </w:rPr>
              <w:t>Beginning balance</w:t>
            </w:r>
          </w:p>
        </w:tc>
        <w:tc>
          <w:tcPr>
            <w:tcW w:w="0" w:type="auto"/>
            <w:gridSpan w:val="3"/>
            <w:shd w:val="clear" w:color="auto" w:fill="CCEEFF"/>
            <w:tcMar>
              <w:top w:w="0" w:type="dxa"/>
              <w:left w:w="20" w:type="dxa"/>
              <w:bottom w:w="0" w:type="dxa"/>
              <w:right w:w="20" w:type="dxa"/>
            </w:tcMar>
            <w:vAlign w:val="bottom"/>
          </w:tcPr>
          <w:p w14:paraId="5902A9D7"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D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D9" w14:textId="77777777" w:rsidR="0084406A" w:rsidRDefault="002B18AF">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5902A9D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D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D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D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9D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DF"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9E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9E1" w14:textId="77777777" w:rsidR="0084406A" w:rsidRDefault="002B18AF">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5902A9E2" w14:textId="77777777" w:rsidR="0084406A" w:rsidRDefault="0084406A">
            <w:pPr>
              <w:jc w:val="right"/>
              <w:rPr>
                <w:rFonts w:ascii="宋体"/>
              </w:rPr>
            </w:pPr>
          </w:p>
        </w:tc>
      </w:tr>
      <w:tr w:rsidR="0084406A" w14:paraId="5902A9EE" w14:textId="77777777">
        <w:trPr>
          <w:jc w:val="center"/>
        </w:trPr>
        <w:tc>
          <w:tcPr>
            <w:tcW w:w="0" w:type="auto"/>
            <w:gridSpan w:val="3"/>
            <w:shd w:val="clear" w:color="auto" w:fill="FFFFFF"/>
            <w:tcMar>
              <w:top w:w="40" w:type="dxa"/>
              <w:left w:w="245" w:type="dxa"/>
              <w:bottom w:w="40" w:type="dxa"/>
              <w:right w:w="20" w:type="dxa"/>
            </w:tcMar>
            <w:vAlign w:val="bottom"/>
          </w:tcPr>
          <w:p w14:paraId="5902A9E4" w14:textId="77777777" w:rsidR="0084406A" w:rsidRDefault="002B18AF">
            <w:pPr>
              <w:textAlignment w:val="bottom"/>
            </w:pPr>
            <w:r>
              <w:rPr>
                <w:rFonts w:ascii="Arial" w:eastAsia="宋体" w:hAnsi="Arial" w:cs="Arial"/>
                <w:color w:val="000000"/>
                <w:sz w:val="20"/>
                <w:szCs w:val="20"/>
              </w:rPr>
              <w:t>Net unrealized gains (losses) arising during the period</w:t>
            </w:r>
          </w:p>
        </w:tc>
        <w:tc>
          <w:tcPr>
            <w:tcW w:w="0" w:type="auto"/>
            <w:gridSpan w:val="3"/>
            <w:shd w:val="clear" w:color="auto" w:fill="FFFFFF"/>
            <w:tcMar>
              <w:top w:w="0" w:type="dxa"/>
              <w:left w:w="20" w:type="dxa"/>
              <w:bottom w:w="0" w:type="dxa"/>
              <w:right w:w="20" w:type="dxa"/>
            </w:tcMar>
            <w:vAlign w:val="bottom"/>
          </w:tcPr>
          <w:p w14:paraId="5902A9E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E6"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5902A9E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E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E9" w14:textId="77777777" w:rsidR="0084406A" w:rsidRDefault="002B18AF">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5902A9E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9E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9EC" w14:textId="77777777" w:rsidR="0084406A" w:rsidRDefault="002B18AF">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5902A9ED" w14:textId="77777777" w:rsidR="0084406A" w:rsidRDefault="0084406A">
            <w:pPr>
              <w:jc w:val="right"/>
              <w:rPr>
                <w:rFonts w:ascii="宋体"/>
              </w:rPr>
            </w:pPr>
          </w:p>
        </w:tc>
      </w:tr>
      <w:tr w:rsidR="0084406A" w14:paraId="5902A9F9" w14:textId="77777777">
        <w:trPr>
          <w:jc w:val="center"/>
        </w:trPr>
        <w:tc>
          <w:tcPr>
            <w:tcW w:w="0" w:type="auto"/>
            <w:gridSpan w:val="3"/>
            <w:shd w:val="clear" w:color="auto" w:fill="CCEEFF"/>
            <w:tcMar>
              <w:top w:w="40" w:type="dxa"/>
              <w:left w:w="245" w:type="dxa"/>
              <w:bottom w:w="40" w:type="dxa"/>
              <w:right w:w="20" w:type="dxa"/>
            </w:tcMar>
            <w:vAlign w:val="bottom"/>
          </w:tcPr>
          <w:p w14:paraId="5902A9EF" w14:textId="77777777" w:rsidR="0084406A" w:rsidRDefault="002B18AF">
            <w:pPr>
              <w:textAlignment w:val="bottom"/>
            </w:pPr>
            <w:r>
              <w:rPr>
                <w:rFonts w:ascii="Arial" w:eastAsia="宋体" w:hAnsi="Arial" w:cs="Arial"/>
                <w:color w:val="000000"/>
                <w:sz w:val="20"/>
                <w:szCs w:val="20"/>
              </w:rPr>
              <w:t xml:space="preserve">Net losses (gains) reclassified into income during the period </w:t>
            </w:r>
          </w:p>
        </w:tc>
        <w:tc>
          <w:tcPr>
            <w:tcW w:w="0" w:type="auto"/>
            <w:gridSpan w:val="3"/>
            <w:shd w:val="clear" w:color="auto" w:fill="CCEEFF"/>
            <w:tcMar>
              <w:top w:w="0" w:type="dxa"/>
              <w:left w:w="20" w:type="dxa"/>
              <w:bottom w:w="0" w:type="dxa"/>
              <w:right w:w="20" w:type="dxa"/>
            </w:tcMar>
            <w:vAlign w:val="bottom"/>
          </w:tcPr>
          <w:p w14:paraId="5902A9F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F1" w14:textId="77777777" w:rsidR="0084406A" w:rsidRDefault="002B18AF">
            <w:pPr>
              <w:jc w:val="right"/>
              <w:textAlignment w:val="bottom"/>
            </w:pPr>
            <w:r>
              <w:rPr>
                <w:rFonts w:ascii="Arial" w:eastAsia="宋体" w:hAnsi="Arial" w:cs="Arial"/>
                <w:color w:val="000000"/>
                <w:sz w:val="20"/>
                <w:szCs w:val="20"/>
              </w:rPr>
              <w:t>(25)</w:t>
            </w:r>
          </w:p>
        </w:tc>
        <w:tc>
          <w:tcPr>
            <w:tcW w:w="0" w:type="auto"/>
            <w:shd w:val="clear" w:color="auto" w:fill="CCEEFF"/>
            <w:tcMar>
              <w:top w:w="40" w:type="dxa"/>
              <w:left w:w="0" w:type="dxa"/>
              <w:bottom w:w="40" w:type="dxa"/>
              <w:right w:w="20" w:type="dxa"/>
            </w:tcMar>
            <w:vAlign w:val="bottom"/>
          </w:tcPr>
          <w:p w14:paraId="5902A9F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F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F4"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5902A9F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9F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9F7"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5902A9F8" w14:textId="77777777" w:rsidR="0084406A" w:rsidRDefault="0084406A">
            <w:pPr>
              <w:jc w:val="right"/>
              <w:rPr>
                <w:rFonts w:ascii="宋体"/>
              </w:rPr>
            </w:pPr>
          </w:p>
        </w:tc>
      </w:tr>
      <w:tr w:rsidR="0084406A" w14:paraId="5902AA01" w14:textId="77777777">
        <w:trPr>
          <w:jc w:val="center"/>
          <w:hidden/>
        </w:trPr>
        <w:tc>
          <w:tcPr>
            <w:tcW w:w="0" w:type="auto"/>
            <w:gridSpan w:val="3"/>
            <w:shd w:val="clear" w:color="auto" w:fill="auto"/>
            <w:vAlign w:val="bottom"/>
          </w:tcPr>
          <w:p w14:paraId="5902A9FA" w14:textId="77777777" w:rsidR="0084406A" w:rsidRDefault="0084406A">
            <w:pPr>
              <w:rPr>
                <w:rFonts w:ascii="宋体"/>
                <w:vanish/>
              </w:rPr>
            </w:pPr>
          </w:p>
        </w:tc>
        <w:tc>
          <w:tcPr>
            <w:tcW w:w="0" w:type="auto"/>
            <w:gridSpan w:val="3"/>
            <w:shd w:val="clear" w:color="auto" w:fill="auto"/>
            <w:vAlign w:val="bottom"/>
          </w:tcPr>
          <w:p w14:paraId="5902A9FB" w14:textId="77777777" w:rsidR="0084406A" w:rsidRDefault="0084406A">
            <w:pPr>
              <w:rPr>
                <w:rFonts w:ascii="宋体"/>
                <w:vanish/>
              </w:rPr>
            </w:pPr>
          </w:p>
        </w:tc>
        <w:tc>
          <w:tcPr>
            <w:tcW w:w="0" w:type="auto"/>
            <w:gridSpan w:val="3"/>
            <w:shd w:val="clear" w:color="auto" w:fill="auto"/>
            <w:vAlign w:val="bottom"/>
          </w:tcPr>
          <w:p w14:paraId="5902A9FC" w14:textId="77777777" w:rsidR="0084406A" w:rsidRDefault="0084406A">
            <w:pPr>
              <w:rPr>
                <w:rFonts w:ascii="宋体"/>
                <w:vanish/>
              </w:rPr>
            </w:pPr>
          </w:p>
        </w:tc>
        <w:tc>
          <w:tcPr>
            <w:tcW w:w="0" w:type="auto"/>
            <w:gridSpan w:val="3"/>
            <w:shd w:val="clear" w:color="auto" w:fill="auto"/>
            <w:vAlign w:val="bottom"/>
          </w:tcPr>
          <w:p w14:paraId="5902A9FD" w14:textId="77777777" w:rsidR="0084406A" w:rsidRDefault="0084406A">
            <w:pPr>
              <w:rPr>
                <w:rFonts w:ascii="宋体"/>
                <w:vanish/>
              </w:rPr>
            </w:pPr>
          </w:p>
        </w:tc>
        <w:tc>
          <w:tcPr>
            <w:tcW w:w="0" w:type="auto"/>
            <w:gridSpan w:val="3"/>
            <w:shd w:val="clear" w:color="auto" w:fill="auto"/>
            <w:vAlign w:val="bottom"/>
          </w:tcPr>
          <w:p w14:paraId="5902A9FE" w14:textId="77777777" w:rsidR="0084406A" w:rsidRDefault="0084406A">
            <w:pPr>
              <w:rPr>
                <w:rFonts w:ascii="宋体"/>
                <w:vanish/>
              </w:rPr>
            </w:pPr>
          </w:p>
        </w:tc>
        <w:tc>
          <w:tcPr>
            <w:tcW w:w="0" w:type="auto"/>
            <w:gridSpan w:val="3"/>
            <w:shd w:val="clear" w:color="auto" w:fill="auto"/>
            <w:vAlign w:val="bottom"/>
          </w:tcPr>
          <w:p w14:paraId="5902A9FF" w14:textId="77777777" w:rsidR="0084406A" w:rsidRDefault="0084406A">
            <w:pPr>
              <w:rPr>
                <w:rFonts w:ascii="宋体"/>
                <w:vanish/>
              </w:rPr>
            </w:pPr>
          </w:p>
        </w:tc>
        <w:tc>
          <w:tcPr>
            <w:tcW w:w="0" w:type="auto"/>
            <w:gridSpan w:val="3"/>
            <w:shd w:val="clear" w:color="auto" w:fill="auto"/>
            <w:vAlign w:val="bottom"/>
          </w:tcPr>
          <w:p w14:paraId="5902AA00" w14:textId="77777777" w:rsidR="0084406A" w:rsidRDefault="0084406A">
            <w:pPr>
              <w:rPr>
                <w:rFonts w:ascii="宋体"/>
                <w:vanish/>
              </w:rPr>
            </w:pPr>
          </w:p>
        </w:tc>
      </w:tr>
      <w:tr w:rsidR="0084406A" w14:paraId="5902AA0C" w14:textId="77777777">
        <w:trPr>
          <w:jc w:val="center"/>
        </w:trPr>
        <w:tc>
          <w:tcPr>
            <w:tcW w:w="0" w:type="auto"/>
            <w:gridSpan w:val="3"/>
            <w:shd w:val="clear" w:color="auto" w:fill="FFFFFF"/>
            <w:tcMar>
              <w:top w:w="40" w:type="dxa"/>
              <w:left w:w="20" w:type="dxa"/>
              <w:bottom w:w="40" w:type="dxa"/>
              <w:right w:w="20" w:type="dxa"/>
            </w:tcMar>
            <w:vAlign w:val="bottom"/>
          </w:tcPr>
          <w:p w14:paraId="5902AA02" w14:textId="77777777" w:rsidR="0084406A" w:rsidRDefault="002B18AF">
            <w:pPr>
              <w:textAlignment w:val="bottom"/>
            </w:pPr>
            <w:r>
              <w:rPr>
                <w:rFonts w:ascii="Arial" w:eastAsia="宋体" w:hAnsi="Arial" w:cs="Arial"/>
                <w:color w:val="000000"/>
                <w:sz w:val="20"/>
                <w:szCs w:val="20"/>
              </w:rPr>
              <w:t>Total other comprehensive income (loss)</w:t>
            </w:r>
          </w:p>
        </w:tc>
        <w:tc>
          <w:tcPr>
            <w:tcW w:w="0" w:type="auto"/>
            <w:gridSpan w:val="3"/>
            <w:shd w:val="clear" w:color="auto" w:fill="FFFFFF"/>
            <w:tcMar>
              <w:top w:w="0" w:type="dxa"/>
              <w:left w:w="20" w:type="dxa"/>
              <w:bottom w:w="0" w:type="dxa"/>
              <w:right w:w="20" w:type="dxa"/>
            </w:tcMar>
            <w:vAlign w:val="bottom"/>
          </w:tcPr>
          <w:p w14:paraId="5902AA03"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A04" w14:textId="77777777" w:rsidR="0084406A" w:rsidRDefault="002B18AF">
            <w:pPr>
              <w:jc w:val="right"/>
              <w:textAlignment w:val="bottom"/>
            </w:pPr>
            <w:r>
              <w:rPr>
                <w:rFonts w:ascii="Arial" w:eastAsia="宋体" w:hAnsi="Arial" w:cs="Arial"/>
                <w:color w:val="000000"/>
                <w:sz w:val="20"/>
                <w:szCs w:val="20"/>
              </w:rPr>
              <w:t>(20)</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A0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06"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A07" w14:textId="77777777" w:rsidR="0084406A" w:rsidRDefault="002B18AF">
            <w:pPr>
              <w:jc w:val="right"/>
              <w:textAlignment w:val="bottom"/>
            </w:pPr>
            <w:r>
              <w:rPr>
                <w:rFonts w:ascii="Arial" w:eastAsia="宋体" w:hAnsi="Arial" w:cs="Arial"/>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A0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09"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A0A" w14:textId="77777777" w:rsidR="0084406A" w:rsidRDefault="002B18AF">
            <w:pPr>
              <w:jc w:val="right"/>
              <w:textAlignment w:val="bottom"/>
            </w:pPr>
            <w:r>
              <w:rPr>
                <w:rFonts w:ascii="Arial" w:eastAsia="宋体" w:hAnsi="Arial" w:cs="Arial"/>
                <w:color w:val="000000"/>
                <w:sz w:val="20"/>
                <w:szCs w:val="20"/>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A0B" w14:textId="77777777" w:rsidR="0084406A" w:rsidRDefault="0084406A">
            <w:pPr>
              <w:jc w:val="right"/>
              <w:rPr>
                <w:rFonts w:ascii="宋体"/>
              </w:rPr>
            </w:pPr>
          </w:p>
        </w:tc>
      </w:tr>
      <w:tr w:rsidR="0084406A" w14:paraId="5902AA1A" w14:textId="77777777">
        <w:trPr>
          <w:jc w:val="center"/>
        </w:trPr>
        <w:tc>
          <w:tcPr>
            <w:tcW w:w="0" w:type="auto"/>
            <w:gridSpan w:val="3"/>
            <w:shd w:val="clear" w:color="auto" w:fill="CCEEFF"/>
            <w:tcMar>
              <w:top w:w="40" w:type="dxa"/>
              <w:left w:w="20" w:type="dxa"/>
              <w:bottom w:w="40" w:type="dxa"/>
              <w:right w:w="20" w:type="dxa"/>
            </w:tcMar>
            <w:vAlign w:val="bottom"/>
          </w:tcPr>
          <w:p w14:paraId="5902AA0D" w14:textId="77777777" w:rsidR="0084406A" w:rsidRDefault="002B18AF">
            <w:pPr>
              <w:textAlignment w:val="bottom"/>
            </w:pPr>
            <w:r>
              <w:rPr>
                <w:rFonts w:ascii="Arial" w:eastAsia="宋体" w:hAnsi="Arial" w:cs="Arial"/>
                <w:color w:val="000000"/>
                <w:sz w:val="20"/>
                <w:szCs w:val="20"/>
              </w:rPr>
              <w:t>Ending balance</w:t>
            </w:r>
          </w:p>
        </w:tc>
        <w:tc>
          <w:tcPr>
            <w:tcW w:w="0" w:type="auto"/>
            <w:gridSpan w:val="3"/>
            <w:shd w:val="clear" w:color="auto" w:fill="CCEEFF"/>
            <w:tcMar>
              <w:top w:w="0" w:type="dxa"/>
              <w:left w:w="20" w:type="dxa"/>
              <w:bottom w:w="0" w:type="dxa"/>
              <w:right w:w="20" w:type="dxa"/>
            </w:tcMar>
            <w:vAlign w:val="bottom"/>
          </w:tcPr>
          <w:p w14:paraId="5902AA0E"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A0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A10" w14:textId="77777777" w:rsidR="0084406A" w:rsidRDefault="002B18AF">
            <w:pPr>
              <w:jc w:val="right"/>
              <w:textAlignment w:val="bottom"/>
            </w:pPr>
            <w:r>
              <w:rPr>
                <w:rFonts w:ascii="Arial" w:eastAsia="宋体" w:hAnsi="Arial" w:cs="Arial"/>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A1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12"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A1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A14" w14:textId="77777777" w:rsidR="0084406A" w:rsidRDefault="002B18AF">
            <w:pPr>
              <w:jc w:val="right"/>
              <w:textAlignment w:val="bottom"/>
            </w:pPr>
            <w:r>
              <w:rPr>
                <w:rFonts w:ascii="Arial" w:eastAsia="宋体" w:hAnsi="Arial" w:cs="Arial"/>
                <w:color w:val="000000"/>
                <w:sz w:val="20"/>
                <w:szCs w:val="20"/>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A1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16"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A1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A18" w14:textId="77777777" w:rsidR="0084406A" w:rsidRDefault="002B18AF">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A19" w14:textId="77777777" w:rsidR="0084406A" w:rsidRDefault="0084406A">
            <w:pPr>
              <w:jc w:val="right"/>
              <w:rPr>
                <w:rFonts w:ascii="宋体"/>
              </w:rPr>
            </w:pPr>
          </w:p>
        </w:tc>
      </w:tr>
    </w:tbl>
    <w:p w14:paraId="5902AA1B" w14:textId="77777777" w:rsidR="0084406A" w:rsidRDefault="002B18AF">
      <w:pPr>
        <w:jc w:val="center"/>
      </w:pPr>
      <w:r>
        <w:rPr>
          <w:rFonts w:ascii="Arial" w:eastAsia="宋体" w:hAnsi="Arial" w:cs="Arial"/>
          <w:color w:val="000000"/>
          <w:sz w:val="20"/>
          <w:szCs w:val="20"/>
        </w:rPr>
        <w:t>64</w:t>
      </w:r>
    </w:p>
    <w:p w14:paraId="5902AA1C" w14:textId="77777777" w:rsidR="0084406A" w:rsidRDefault="002B18AF">
      <w:r>
        <w:pict w14:anchorId="5902BB36">
          <v:rect id="_x0000_i1091" style="width:415.3pt;height:1.5pt" o:hralign="center" o:hrstd="t" o:hr="t" fillcolor="#a0a0a0" stroked="f"/>
        </w:pict>
      </w:r>
    </w:p>
    <w:p w14:paraId="5902AA1D" w14:textId="77777777" w:rsidR="0084406A" w:rsidRDefault="0084406A"/>
    <w:p w14:paraId="5902AA1E" w14:textId="77777777" w:rsidR="0084406A" w:rsidRDefault="002B18AF">
      <w:pPr>
        <w:spacing w:before="280"/>
        <w:jc w:val="both"/>
      </w:pPr>
      <w:r>
        <w:rPr>
          <w:rFonts w:ascii="Arial" w:eastAsia="宋体" w:hAnsi="Arial" w:cs="Arial"/>
          <w:b/>
          <w:bCs/>
          <w:color w:val="000000"/>
          <w:sz w:val="20"/>
          <w:szCs w:val="20"/>
        </w:rPr>
        <w:t>NOTE 9 – Concentrations of Credit Risk</w:t>
      </w:r>
    </w:p>
    <w:p w14:paraId="5902AA1F" w14:textId="77777777" w:rsidR="0084406A" w:rsidRDefault="002B18AF">
      <w:pPr>
        <w:spacing w:before="180"/>
        <w:jc w:val="both"/>
      </w:pPr>
      <w:r>
        <w:rPr>
          <w:rFonts w:ascii="Arial" w:eastAsia="宋体" w:hAnsi="Arial" w:cs="Arial"/>
          <w:color w:val="000000"/>
          <w:sz w:val="20"/>
          <w:szCs w:val="20"/>
        </w:rPr>
        <w:t xml:space="preserve">Financial instruments that potentially subject the Company to concentrations of credit risk </w:t>
      </w:r>
      <w:r>
        <w:rPr>
          <w:rFonts w:ascii="Arial" w:eastAsia="宋体" w:hAnsi="Arial" w:cs="Arial"/>
          <w:color w:val="000000"/>
          <w:sz w:val="20"/>
          <w:szCs w:val="20"/>
        </w:rPr>
        <w:t>consist primarily of investments in time deposits, available-for-sale debt securities and trade receivables.</w:t>
      </w:r>
    </w:p>
    <w:p w14:paraId="5902AA20" w14:textId="77777777" w:rsidR="0084406A" w:rsidRDefault="002B18AF">
      <w:pPr>
        <w:spacing w:before="180"/>
        <w:jc w:val="both"/>
      </w:pPr>
      <w:r>
        <w:rPr>
          <w:rFonts w:ascii="Arial" w:eastAsia="宋体" w:hAnsi="Arial" w:cs="Arial"/>
          <w:color w:val="000000"/>
          <w:sz w:val="20"/>
          <w:szCs w:val="20"/>
        </w:rPr>
        <w:t>The Company places its investments with high credit quality financial institutions. At the time an investment is made, investments in commercial pa</w:t>
      </w:r>
      <w:r>
        <w:rPr>
          <w:rFonts w:ascii="Arial" w:eastAsia="宋体" w:hAnsi="Arial" w:cs="Arial"/>
          <w:color w:val="000000"/>
          <w:sz w:val="20"/>
          <w:szCs w:val="20"/>
        </w:rPr>
        <w:t>per of industrial firms and financial institutions are rated A1, P1, F1 or better. The Company invests in tax-exempt securities including municipal notes and bonds and bonds that are rated A, A2 or better and repurchase agreements, each of which have secur</w:t>
      </w:r>
      <w:r>
        <w:rPr>
          <w:rFonts w:ascii="Arial" w:eastAsia="宋体" w:hAnsi="Arial" w:cs="Arial"/>
          <w:color w:val="000000"/>
          <w:sz w:val="20"/>
          <w:szCs w:val="20"/>
        </w:rPr>
        <w:t>ities of the type and quality listed above as collateral.</w:t>
      </w:r>
    </w:p>
    <w:p w14:paraId="5902AA21" w14:textId="77777777" w:rsidR="0084406A" w:rsidRDefault="002B18AF">
      <w:pPr>
        <w:spacing w:before="180"/>
        <w:jc w:val="both"/>
      </w:pPr>
      <w:r>
        <w:rPr>
          <w:rFonts w:ascii="Arial" w:eastAsia="宋体" w:hAnsi="Arial" w:cs="Arial"/>
          <w:color w:val="000000"/>
          <w:sz w:val="20"/>
          <w:szCs w:val="20"/>
        </w:rPr>
        <w:t xml:space="preserve">The Company believes that concentrations of credit risk with respect to trade receivables are limited because a large number of geographically diverse customers make up the Company’s customer base, </w:t>
      </w:r>
      <w:r>
        <w:rPr>
          <w:rFonts w:ascii="Arial" w:eastAsia="宋体" w:hAnsi="Arial" w:cs="Arial"/>
          <w:color w:val="000000"/>
          <w:sz w:val="20"/>
          <w:szCs w:val="20"/>
        </w:rPr>
        <w:t>thus diluting the trade credit risk. The Company’s top three customers with the highest accounts receivable balances each accounted for approximately 20%, 15% and 9% of the total consolidated accounts receivable balance as of December 25, 2021 and 18%, 17%</w:t>
      </w:r>
      <w:r>
        <w:rPr>
          <w:rFonts w:ascii="Arial" w:eastAsia="宋体" w:hAnsi="Arial" w:cs="Arial"/>
          <w:color w:val="000000"/>
          <w:sz w:val="20"/>
          <w:szCs w:val="20"/>
        </w:rPr>
        <w:t xml:space="preserve"> and 6%, of the total consolidated accounts receivable balance as of December 26, 2020. However, the Company does not believe the receivable balance from these customers represents a significant credit risk based on past collection experience and review of</w:t>
      </w:r>
      <w:r>
        <w:rPr>
          <w:rFonts w:ascii="Arial" w:eastAsia="宋体" w:hAnsi="Arial" w:cs="Arial"/>
          <w:color w:val="000000"/>
          <w:sz w:val="20"/>
          <w:szCs w:val="20"/>
        </w:rPr>
        <w:t xml:space="preserve"> their current credit quality. </w:t>
      </w:r>
    </w:p>
    <w:p w14:paraId="5902AA22" w14:textId="77777777" w:rsidR="0084406A" w:rsidRDefault="002B18AF">
      <w:pPr>
        <w:spacing w:before="180"/>
        <w:jc w:val="both"/>
      </w:pPr>
      <w:r>
        <w:rPr>
          <w:rFonts w:ascii="Arial" w:eastAsia="宋体" w:hAnsi="Arial" w:cs="Arial"/>
          <w:color w:val="000000"/>
          <w:sz w:val="20"/>
          <w:szCs w:val="20"/>
        </w:rPr>
        <w:t xml:space="preserve">The Company is exposed to credit losses from nonperformance by counterparties on foreign currency hedge contracts. These counterparties are large global institutions, and to date, no such counterparty has failed to meet its </w:t>
      </w:r>
      <w:r>
        <w:rPr>
          <w:rFonts w:ascii="Arial" w:eastAsia="宋体" w:hAnsi="Arial" w:cs="Arial"/>
          <w:color w:val="000000"/>
          <w:sz w:val="20"/>
          <w:szCs w:val="20"/>
        </w:rPr>
        <w:t xml:space="preserve">financial obligations to the Company. </w:t>
      </w:r>
    </w:p>
    <w:p w14:paraId="5902AA23" w14:textId="77777777" w:rsidR="0084406A" w:rsidRDefault="002B18AF">
      <w:pPr>
        <w:spacing w:before="280"/>
        <w:jc w:val="both"/>
      </w:pPr>
      <w:r>
        <w:rPr>
          <w:rFonts w:ascii="Arial" w:eastAsia="宋体" w:hAnsi="Arial" w:cs="Arial"/>
          <w:b/>
          <w:bCs/>
          <w:color w:val="000000"/>
          <w:sz w:val="20"/>
          <w:szCs w:val="20"/>
        </w:rPr>
        <w:t xml:space="preserve">NOTE 10 – Earnings Per Share </w:t>
      </w:r>
    </w:p>
    <w:p w14:paraId="5902AA24" w14:textId="77777777" w:rsidR="0084406A" w:rsidRDefault="002B18AF">
      <w:pPr>
        <w:spacing w:before="180"/>
        <w:jc w:val="both"/>
      </w:pPr>
      <w:r>
        <w:rPr>
          <w:rFonts w:ascii="Arial" w:eastAsia="宋体" w:hAnsi="Arial" w:cs="Arial"/>
          <w:color w:val="000000"/>
          <w:sz w:val="20"/>
          <w:szCs w:val="20"/>
        </w:rPr>
        <w:t xml:space="preserve">Basic earnings per share is computed based on the weighted-average number of shares outstanding. </w:t>
      </w:r>
    </w:p>
    <w:p w14:paraId="5902AA25" w14:textId="77777777" w:rsidR="0084406A" w:rsidRDefault="002B18AF">
      <w:pPr>
        <w:spacing w:before="180"/>
        <w:jc w:val="both"/>
      </w:pPr>
      <w:r>
        <w:rPr>
          <w:rFonts w:ascii="Arial" w:eastAsia="宋体" w:hAnsi="Arial" w:cs="Arial"/>
          <w:color w:val="000000"/>
          <w:sz w:val="20"/>
          <w:szCs w:val="20"/>
        </w:rPr>
        <w:t>Diluted earnings per share is computed based on the weighted-average number of shares out</w:t>
      </w:r>
      <w:r>
        <w:rPr>
          <w:rFonts w:ascii="Arial" w:eastAsia="宋体" w:hAnsi="Arial" w:cs="Arial"/>
          <w:color w:val="000000"/>
          <w:sz w:val="20"/>
          <w:szCs w:val="20"/>
        </w:rPr>
        <w:t>standing plus potentially dilutive shares outstanding during the period. Potentially dilutive shares are determined by applying the treasury stock method to the Company’s stock options, RSUs (including PRSUs), common stock to be issued under the ESPP and w</w:t>
      </w:r>
      <w:r>
        <w:rPr>
          <w:rFonts w:ascii="Arial" w:eastAsia="宋体" w:hAnsi="Arial" w:cs="Arial"/>
          <w:color w:val="000000"/>
          <w:sz w:val="20"/>
          <w:szCs w:val="20"/>
        </w:rPr>
        <w:t>arrants. Potentially dilutive shares issuable upon conversion of the 2.125% Convertible Senior Notes due 2026 (2.125% Notes) are calculated using the if-converted method.</w:t>
      </w:r>
    </w:p>
    <w:p w14:paraId="5902AA26" w14:textId="77777777" w:rsidR="0084406A" w:rsidRDefault="002B18AF">
      <w:pPr>
        <w:spacing w:before="180"/>
      </w:pPr>
      <w:r>
        <w:rPr>
          <w:rFonts w:ascii="Arial" w:eastAsia="宋体" w:hAnsi="Arial" w:cs="Arial"/>
          <w:color w:val="000000"/>
          <w:sz w:val="20"/>
          <w:szCs w:val="20"/>
        </w:rPr>
        <w:t>The following table sets forth the components of basic and diluted earnings per share</w:t>
      </w:r>
      <w:r>
        <w:rPr>
          <w:rFonts w:ascii="Arial" w:eastAsia="宋体"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4462"/>
        <w:gridCol w:w="39"/>
        <w:gridCol w:w="135"/>
        <w:gridCol w:w="1035"/>
        <w:gridCol w:w="38"/>
        <w:gridCol w:w="36"/>
        <w:gridCol w:w="36"/>
        <w:gridCol w:w="36"/>
        <w:gridCol w:w="135"/>
        <w:gridCol w:w="1011"/>
        <w:gridCol w:w="38"/>
        <w:gridCol w:w="36"/>
        <w:gridCol w:w="36"/>
        <w:gridCol w:w="36"/>
        <w:gridCol w:w="135"/>
        <w:gridCol w:w="1013"/>
        <w:gridCol w:w="38"/>
      </w:tblGrid>
      <w:tr w:rsidR="0084406A" w14:paraId="5902AA39" w14:textId="77777777">
        <w:tc>
          <w:tcPr>
            <w:tcW w:w="50" w:type="pct"/>
            <w:shd w:val="clear" w:color="auto" w:fill="auto"/>
            <w:vAlign w:val="bottom"/>
          </w:tcPr>
          <w:p w14:paraId="5902AA27" w14:textId="77777777" w:rsidR="0084406A" w:rsidRDefault="0084406A">
            <w:pPr>
              <w:rPr>
                <w:rFonts w:ascii="宋体"/>
              </w:rPr>
            </w:pPr>
          </w:p>
        </w:tc>
        <w:tc>
          <w:tcPr>
            <w:tcW w:w="2715" w:type="pct"/>
            <w:shd w:val="clear" w:color="auto" w:fill="auto"/>
            <w:vAlign w:val="bottom"/>
          </w:tcPr>
          <w:p w14:paraId="5902AA28" w14:textId="77777777" w:rsidR="0084406A" w:rsidRDefault="0084406A">
            <w:pPr>
              <w:rPr>
                <w:rFonts w:ascii="宋体"/>
              </w:rPr>
            </w:pPr>
          </w:p>
        </w:tc>
        <w:tc>
          <w:tcPr>
            <w:tcW w:w="5" w:type="pct"/>
            <w:shd w:val="clear" w:color="auto" w:fill="auto"/>
            <w:vAlign w:val="bottom"/>
          </w:tcPr>
          <w:p w14:paraId="5902AA29" w14:textId="77777777" w:rsidR="0084406A" w:rsidRDefault="0084406A">
            <w:pPr>
              <w:rPr>
                <w:rFonts w:ascii="宋体"/>
              </w:rPr>
            </w:pPr>
          </w:p>
        </w:tc>
        <w:tc>
          <w:tcPr>
            <w:tcW w:w="50" w:type="pct"/>
            <w:shd w:val="clear" w:color="auto" w:fill="auto"/>
            <w:vAlign w:val="bottom"/>
          </w:tcPr>
          <w:p w14:paraId="5902AA2A" w14:textId="77777777" w:rsidR="0084406A" w:rsidRDefault="0084406A">
            <w:pPr>
              <w:rPr>
                <w:rFonts w:ascii="宋体"/>
              </w:rPr>
            </w:pPr>
          </w:p>
        </w:tc>
        <w:tc>
          <w:tcPr>
            <w:tcW w:w="654" w:type="pct"/>
            <w:shd w:val="clear" w:color="auto" w:fill="auto"/>
            <w:vAlign w:val="bottom"/>
          </w:tcPr>
          <w:p w14:paraId="5902AA2B" w14:textId="77777777" w:rsidR="0084406A" w:rsidRDefault="0084406A">
            <w:pPr>
              <w:rPr>
                <w:rFonts w:ascii="宋体"/>
              </w:rPr>
            </w:pPr>
          </w:p>
        </w:tc>
        <w:tc>
          <w:tcPr>
            <w:tcW w:w="5" w:type="pct"/>
            <w:shd w:val="clear" w:color="auto" w:fill="auto"/>
            <w:vAlign w:val="bottom"/>
          </w:tcPr>
          <w:p w14:paraId="5902AA2C" w14:textId="77777777" w:rsidR="0084406A" w:rsidRDefault="0084406A">
            <w:pPr>
              <w:rPr>
                <w:rFonts w:ascii="宋体"/>
              </w:rPr>
            </w:pPr>
          </w:p>
        </w:tc>
        <w:tc>
          <w:tcPr>
            <w:tcW w:w="5" w:type="pct"/>
            <w:shd w:val="clear" w:color="auto" w:fill="auto"/>
            <w:vAlign w:val="bottom"/>
          </w:tcPr>
          <w:p w14:paraId="5902AA2D" w14:textId="77777777" w:rsidR="0084406A" w:rsidRDefault="0084406A">
            <w:pPr>
              <w:rPr>
                <w:rFonts w:ascii="宋体"/>
              </w:rPr>
            </w:pPr>
          </w:p>
        </w:tc>
        <w:tc>
          <w:tcPr>
            <w:tcW w:w="26" w:type="pct"/>
            <w:shd w:val="clear" w:color="auto" w:fill="auto"/>
            <w:vAlign w:val="bottom"/>
          </w:tcPr>
          <w:p w14:paraId="5902AA2E" w14:textId="77777777" w:rsidR="0084406A" w:rsidRDefault="0084406A">
            <w:pPr>
              <w:rPr>
                <w:rFonts w:ascii="宋体"/>
              </w:rPr>
            </w:pPr>
          </w:p>
        </w:tc>
        <w:tc>
          <w:tcPr>
            <w:tcW w:w="5" w:type="pct"/>
            <w:shd w:val="clear" w:color="auto" w:fill="auto"/>
            <w:vAlign w:val="bottom"/>
          </w:tcPr>
          <w:p w14:paraId="5902AA2F" w14:textId="77777777" w:rsidR="0084406A" w:rsidRDefault="0084406A">
            <w:pPr>
              <w:rPr>
                <w:rFonts w:ascii="宋体"/>
              </w:rPr>
            </w:pPr>
          </w:p>
        </w:tc>
        <w:tc>
          <w:tcPr>
            <w:tcW w:w="50" w:type="pct"/>
            <w:shd w:val="clear" w:color="auto" w:fill="auto"/>
            <w:vAlign w:val="bottom"/>
          </w:tcPr>
          <w:p w14:paraId="5902AA30" w14:textId="77777777" w:rsidR="0084406A" w:rsidRDefault="0084406A">
            <w:pPr>
              <w:rPr>
                <w:rFonts w:ascii="宋体"/>
              </w:rPr>
            </w:pPr>
          </w:p>
        </w:tc>
        <w:tc>
          <w:tcPr>
            <w:tcW w:w="668" w:type="pct"/>
            <w:shd w:val="clear" w:color="auto" w:fill="auto"/>
            <w:vAlign w:val="bottom"/>
          </w:tcPr>
          <w:p w14:paraId="5902AA31" w14:textId="77777777" w:rsidR="0084406A" w:rsidRDefault="0084406A">
            <w:pPr>
              <w:rPr>
                <w:rFonts w:ascii="宋体"/>
              </w:rPr>
            </w:pPr>
          </w:p>
        </w:tc>
        <w:tc>
          <w:tcPr>
            <w:tcW w:w="5" w:type="pct"/>
            <w:shd w:val="clear" w:color="auto" w:fill="auto"/>
            <w:vAlign w:val="bottom"/>
          </w:tcPr>
          <w:p w14:paraId="5902AA32" w14:textId="77777777" w:rsidR="0084406A" w:rsidRDefault="0084406A">
            <w:pPr>
              <w:rPr>
                <w:rFonts w:ascii="宋体"/>
              </w:rPr>
            </w:pPr>
          </w:p>
        </w:tc>
        <w:tc>
          <w:tcPr>
            <w:tcW w:w="5" w:type="pct"/>
            <w:shd w:val="clear" w:color="auto" w:fill="auto"/>
            <w:vAlign w:val="bottom"/>
          </w:tcPr>
          <w:p w14:paraId="5902AA33" w14:textId="77777777" w:rsidR="0084406A" w:rsidRDefault="0084406A">
            <w:pPr>
              <w:rPr>
                <w:rFonts w:ascii="宋体"/>
              </w:rPr>
            </w:pPr>
          </w:p>
        </w:tc>
        <w:tc>
          <w:tcPr>
            <w:tcW w:w="26" w:type="pct"/>
            <w:shd w:val="clear" w:color="auto" w:fill="auto"/>
            <w:vAlign w:val="bottom"/>
          </w:tcPr>
          <w:p w14:paraId="5902AA34" w14:textId="77777777" w:rsidR="0084406A" w:rsidRDefault="0084406A">
            <w:pPr>
              <w:rPr>
                <w:rFonts w:ascii="宋体"/>
              </w:rPr>
            </w:pPr>
          </w:p>
        </w:tc>
        <w:tc>
          <w:tcPr>
            <w:tcW w:w="5" w:type="pct"/>
            <w:shd w:val="clear" w:color="auto" w:fill="auto"/>
            <w:vAlign w:val="bottom"/>
          </w:tcPr>
          <w:p w14:paraId="5902AA35" w14:textId="77777777" w:rsidR="0084406A" w:rsidRDefault="0084406A">
            <w:pPr>
              <w:rPr>
                <w:rFonts w:ascii="宋体"/>
              </w:rPr>
            </w:pPr>
          </w:p>
        </w:tc>
        <w:tc>
          <w:tcPr>
            <w:tcW w:w="50" w:type="pct"/>
            <w:shd w:val="clear" w:color="auto" w:fill="auto"/>
            <w:vAlign w:val="bottom"/>
          </w:tcPr>
          <w:p w14:paraId="5902AA36" w14:textId="77777777" w:rsidR="0084406A" w:rsidRDefault="0084406A">
            <w:pPr>
              <w:rPr>
                <w:rFonts w:ascii="宋体"/>
              </w:rPr>
            </w:pPr>
          </w:p>
        </w:tc>
        <w:tc>
          <w:tcPr>
            <w:tcW w:w="668" w:type="pct"/>
            <w:shd w:val="clear" w:color="auto" w:fill="auto"/>
            <w:vAlign w:val="bottom"/>
          </w:tcPr>
          <w:p w14:paraId="5902AA37" w14:textId="77777777" w:rsidR="0084406A" w:rsidRDefault="0084406A">
            <w:pPr>
              <w:rPr>
                <w:rFonts w:ascii="宋体"/>
              </w:rPr>
            </w:pPr>
          </w:p>
        </w:tc>
        <w:tc>
          <w:tcPr>
            <w:tcW w:w="5" w:type="pct"/>
            <w:shd w:val="clear" w:color="auto" w:fill="auto"/>
            <w:vAlign w:val="bottom"/>
          </w:tcPr>
          <w:p w14:paraId="5902AA38" w14:textId="77777777" w:rsidR="0084406A" w:rsidRDefault="0084406A">
            <w:pPr>
              <w:rPr>
                <w:rFonts w:ascii="宋体"/>
              </w:rPr>
            </w:pPr>
          </w:p>
        </w:tc>
      </w:tr>
      <w:tr w:rsidR="0084406A" w14:paraId="5902AA40" w14:textId="77777777">
        <w:tc>
          <w:tcPr>
            <w:tcW w:w="0" w:type="auto"/>
            <w:gridSpan w:val="3"/>
            <w:shd w:val="clear" w:color="auto" w:fill="auto"/>
            <w:tcMar>
              <w:top w:w="0" w:type="dxa"/>
              <w:left w:w="20" w:type="dxa"/>
              <w:bottom w:w="0" w:type="dxa"/>
              <w:right w:w="20" w:type="dxa"/>
            </w:tcMar>
            <w:vAlign w:val="bottom"/>
          </w:tcPr>
          <w:p w14:paraId="5902AA3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A3B"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A3C"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A3D"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A3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A3F"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A43" w14:textId="77777777">
        <w:tc>
          <w:tcPr>
            <w:tcW w:w="0" w:type="auto"/>
            <w:gridSpan w:val="3"/>
            <w:shd w:val="clear" w:color="auto" w:fill="auto"/>
            <w:tcMar>
              <w:top w:w="40" w:type="dxa"/>
              <w:left w:w="20" w:type="dxa"/>
              <w:bottom w:w="40" w:type="dxa"/>
              <w:right w:w="20" w:type="dxa"/>
            </w:tcMar>
            <w:vAlign w:val="bottom"/>
          </w:tcPr>
          <w:p w14:paraId="5902AA41"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A42" w14:textId="77777777" w:rsidR="0084406A" w:rsidRDefault="002B18AF">
            <w:pPr>
              <w:jc w:val="center"/>
              <w:textAlignment w:val="bottom"/>
            </w:pPr>
            <w:r>
              <w:rPr>
                <w:rFonts w:ascii="Arial" w:eastAsia="宋体" w:hAnsi="Arial" w:cs="Arial"/>
                <w:b/>
                <w:bCs/>
                <w:color w:val="000000"/>
                <w:sz w:val="16"/>
                <w:szCs w:val="16"/>
              </w:rPr>
              <w:t>(In millions, except per share amounts)</w:t>
            </w:r>
          </w:p>
        </w:tc>
      </w:tr>
      <w:tr w:rsidR="0084406A" w14:paraId="5902AA4A" w14:textId="77777777">
        <w:tc>
          <w:tcPr>
            <w:tcW w:w="0" w:type="auto"/>
            <w:gridSpan w:val="3"/>
            <w:shd w:val="clear" w:color="auto" w:fill="CCEEFF"/>
            <w:tcMar>
              <w:top w:w="40" w:type="dxa"/>
              <w:left w:w="20" w:type="dxa"/>
              <w:bottom w:w="40" w:type="dxa"/>
              <w:right w:w="20" w:type="dxa"/>
            </w:tcMar>
            <w:vAlign w:val="bottom"/>
          </w:tcPr>
          <w:p w14:paraId="5902AA44" w14:textId="77777777" w:rsidR="0084406A" w:rsidRDefault="002B18AF">
            <w:pPr>
              <w:textAlignment w:val="bottom"/>
            </w:pPr>
            <w:r>
              <w:rPr>
                <w:rFonts w:ascii="Arial" w:eastAsia="宋体"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bottom"/>
          </w:tcPr>
          <w:p w14:paraId="5902AA4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46"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47"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4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49" w14:textId="77777777" w:rsidR="0084406A" w:rsidRDefault="0084406A">
            <w:pPr>
              <w:rPr>
                <w:rFonts w:ascii="宋体"/>
              </w:rPr>
            </w:pPr>
          </w:p>
        </w:tc>
      </w:tr>
      <w:tr w:rsidR="0084406A" w14:paraId="5902AA57" w14:textId="77777777">
        <w:tc>
          <w:tcPr>
            <w:tcW w:w="0" w:type="auto"/>
            <w:gridSpan w:val="3"/>
            <w:shd w:val="clear" w:color="auto" w:fill="FFFFFF"/>
            <w:tcMar>
              <w:top w:w="40" w:type="dxa"/>
              <w:left w:w="380" w:type="dxa"/>
              <w:bottom w:w="40" w:type="dxa"/>
              <w:right w:w="20" w:type="dxa"/>
            </w:tcMar>
            <w:vAlign w:val="bottom"/>
          </w:tcPr>
          <w:p w14:paraId="5902AA4B" w14:textId="77777777" w:rsidR="0084406A" w:rsidRDefault="002B18AF">
            <w:pPr>
              <w:textAlignment w:val="bottom"/>
            </w:pPr>
            <w:r>
              <w:rPr>
                <w:rFonts w:ascii="Arial" w:eastAsia="宋体" w:hAnsi="Arial" w:cs="Arial"/>
                <w:color w:val="000000"/>
                <w:sz w:val="20"/>
                <w:szCs w:val="20"/>
              </w:rPr>
              <w:t>Net income for basic earnings per share</w:t>
            </w:r>
          </w:p>
        </w:tc>
        <w:tc>
          <w:tcPr>
            <w:tcW w:w="0" w:type="auto"/>
            <w:shd w:val="clear" w:color="auto" w:fill="FFFFFF"/>
            <w:tcMar>
              <w:top w:w="40" w:type="dxa"/>
              <w:left w:w="20" w:type="dxa"/>
              <w:bottom w:w="40" w:type="dxa"/>
              <w:right w:w="0" w:type="dxa"/>
            </w:tcMar>
            <w:vAlign w:val="bottom"/>
          </w:tcPr>
          <w:p w14:paraId="5902AA4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4D" w14:textId="77777777" w:rsidR="0084406A" w:rsidRDefault="002B18AF">
            <w:pPr>
              <w:jc w:val="right"/>
              <w:textAlignment w:val="bottom"/>
            </w:pPr>
            <w:r>
              <w:rPr>
                <w:rFonts w:ascii="Arial" w:eastAsia="宋体" w:hAnsi="Arial" w:cs="Arial"/>
                <w:color w:val="000000"/>
                <w:sz w:val="20"/>
                <w:szCs w:val="20"/>
              </w:rPr>
              <w:t>3,162 </w:t>
            </w:r>
          </w:p>
        </w:tc>
        <w:tc>
          <w:tcPr>
            <w:tcW w:w="0" w:type="auto"/>
            <w:shd w:val="clear" w:color="auto" w:fill="FFFFFF"/>
            <w:tcMar>
              <w:top w:w="40" w:type="dxa"/>
              <w:left w:w="0" w:type="dxa"/>
              <w:bottom w:w="40" w:type="dxa"/>
              <w:right w:w="20" w:type="dxa"/>
            </w:tcMar>
            <w:vAlign w:val="bottom"/>
          </w:tcPr>
          <w:p w14:paraId="5902AA4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4F"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A5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51" w14:textId="77777777" w:rsidR="0084406A" w:rsidRDefault="002B18AF">
            <w:pPr>
              <w:jc w:val="right"/>
              <w:textAlignment w:val="bottom"/>
            </w:pPr>
            <w:r>
              <w:rPr>
                <w:rFonts w:ascii="Arial" w:eastAsia="宋体" w:hAnsi="Arial" w:cs="Arial"/>
                <w:color w:val="000000"/>
                <w:sz w:val="20"/>
                <w:szCs w:val="20"/>
              </w:rPr>
              <w:t>2,490 </w:t>
            </w:r>
          </w:p>
        </w:tc>
        <w:tc>
          <w:tcPr>
            <w:tcW w:w="0" w:type="auto"/>
            <w:shd w:val="clear" w:color="auto" w:fill="FFFFFF"/>
            <w:tcMar>
              <w:top w:w="40" w:type="dxa"/>
              <w:left w:w="0" w:type="dxa"/>
              <w:bottom w:w="40" w:type="dxa"/>
              <w:right w:w="20" w:type="dxa"/>
            </w:tcMar>
            <w:vAlign w:val="bottom"/>
          </w:tcPr>
          <w:p w14:paraId="5902AA5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5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A5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55" w14:textId="77777777" w:rsidR="0084406A" w:rsidRDefault="002B18AF">
            <w:pPr>
              <w:jc w:val="right"/>
              <w:textAlignment w:val="bottom"/>
            </w:pPr>
            <w:r>
              <w:rPr>
                <w:rFonts w:ascii="Arial" w:eastAsia="宋体" w:hAnsi="Arial" w:cs="Arial"/>
                <w:color w:val="000000"/>
                <w:sz w:val="20"/>
                <w:szCs w:val="20"/>
              </w:rPr>
              <w:t>341 </w:t>
            </w:r>
          </w:p>
        </w:tc>
        <w:tc>
          <w:tcPr>
            <w:tcW w:w="0" w:type="auto"/>
            <w:shd w:val="clear" w:color="auto" w:fill="FFFFFF"/>
            <w:tcMar>
              <w:top w:w="40" w:type="dxa"/>
              <w:left w:w="0" w:type="dxa"/>
              <w:bottom w:w="40" w:type="dxa"/>
              <w:right w:w="20" w:type="dxa"/>
            </w:tcMar>
            <w:vAlign w:val="bottom"/>
          </w:tcPr>
          <w:p w14:paraId="5902AA56" w14:textId="77777777" w:rsidR="0084406A" w:rsidRDefault="0084406A">
            <w:pPr>
              <w:jc w:val="right"/>
              <w:rPr>
                <w:rFonts w:ascii="宋体"/>
              </w:rPr>
            </w:pPr>
          </w:p>
        </w:tc>
      </w:tr>
      <w:tr w:rsidR="0084406A" w14:paraId="5902AA5E" w14:textId="77777777">
        <w:tc>
          <w:tcPr>
            <w:tcW w:w="0" w:type="auto"/>
            <w:gridSpan w:val="3"/>
            <w:shd w:val="clear" w:color="auto" w:fill="CCEEFF"/>
            <w:tcMar>
              <w:top w:w="40" w:type="dxa"/>
              <w:left w:w="380" w:type="dxa"/>
              <w:bottom w:w="40" w:type="dxa"/>
              <w:right w:w="20" w:type="dxa"/>
            </w:tcMar>
            <w:vAlign w:val="bottom"/>
          </w:tcPr>
          <w:p w14:paraId="5902AA58" w14:textId="77777777" w:rsidR="0084406A" w:rsidRDefault="002B18AF">
            <w:pPr>
              <w:textAlignment w:val="bottom"/>
            </w:pPr>
            <w:r>
              <w:rPr>
                <w:rFonts w:ascii="Arial" w:eastAsia="宋体" w:hAnsi="Arial" w:cs="Arial"/>
                <w:color w:val="000000"/>
                <w:sz w:val="20"/>
                <w:szCs w:val="20"/>
              </w:rPr>
              <w:t>Effect of potentially dilutive shares:</w:t>
            </w:r>
          </w:p>
        </w:tc>
        <w:tc>
          <w:tcPr>
            <w:tcW w:w="0" w:type="auto"/>
            <w:gridSpan w:val="3"/>
            <w:shd w:val="clear" w:color="auto" w:fill="CCEEFF"/>
            <w:tcMar>
              <w:top w:w="0" w:type="dxa"/>
              <w:left w:w="20" w:type="dxa"/>
              <w:bottom w:w="0" w:type="dxa"/>
              <w:right w:w="20" w:type="dxa"/>
            </w:tcMar>
            <w:vAlign w:val="bottom"/>
          </w:tcPr>
          <w:p w14:paraId="5902AA5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5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5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5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A5D" w14:textId="77777777" w:rsidR="0084406A" w:rsidRDefault="0084406A">
            <w:pPr>
              <w:rPr>
                <w:rFonts w:ascii="宋体"/>
              </w:rPr>
            </w:pPr>
          </w:p>
        </w:tc>
      </w:tr>
      <w:tr w:rsidR="0084406A" w14:paraId="5902AA68" w14:textId="77777777">
        <w:tc>
          <w:tcPr>
            <w:tcW w:w="0" w:type="auto"/>
            <w:gridSpan w:val="3"/>
            <w:shd w:val="clear" w:color="auto" w:fill="FFFFFF"/>
            <w:tcMar>
              <w:top w:w="40" w:type="dxa"/>
              <w:left w:w="620" w:type="dxa"/>
              <w:bottom w:w="40" w:type="dxa"/>
              <w:right w:w="20" w:type="dxa"/>
            </w:tcMar>
            <w:vAlign w:val="bottom"/>
          </w:tcPr>
          <w:p w14:paraId="5902AA5F" w14:textId="77777777" w:rsidR="0084406A" w:rsidRDefault="002B18AF">
            <w:pPr>
              <w:textAlignment w:val="bottom"/>
            </w:pPr>
            <w:r>
              <w:rPr>
                <w:rFonts w:ascii="Arial" w:eastAsia="宋体" w:hAnsi="Arial" w:cs="Arial"/>
                <w:color w:val="000000"/>
                <w:sz w:val="20"/>
                <w:szCs w:val="20"/>
              </w:rPr>
              <w:t>Interest expense related to the 2.125% Notes</w:t>
            </w:r>
          </w:p>
        </w:tc>
        <w:tc>
          <w:tcPr>
            <w:tcW w:w="0" w:type="auto"/>
            <w:gridSpan w:val="2"/>
            <w:shd w:val="clear" w:color="auto" w:fill="FFFFFF"/>
            <w:tcMar>
              <w:top w:w="40" w:type="dxa"/>
              <w:left w:w="20" w:type="dxa"/>
              <w:bottom w:w="40" w:type="dxa"/>
              <w:right w:w="0" w:type="dxa"/>
            </w:tcMar>
            <w:vAlign w:val="bottom"/>
          </w:tcPr>
          <w:p w14:paraId="5902AA6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A6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6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A63"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A6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6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A66"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A67" w14:textId="77777777" w:rsidR="0084406A" w:rsidRDefault="0084406A">
            <w:pPr>
              <w:jc w:val="right"/>
              <w:rPr>
                <w:rFonts w:ascii="宋体"/>
              </w:rPr>
            </w:pPr>
          </w:p>
        </w:tc>
      </w:tr>
      <w:tr w:rsidR="0084406A" w14:paraId="5902AA75" w14:textId="77777777">
        <w:tc>
          <w:tcPr>
            <w:tcW w:w="0" w:type="auto"/>
            <w:gridSpan w:val="3"/>
            <w:shd w:val="clear" w:color="auto" w:fill="CCEEFF"/>
            <w:tcMar>
              <w:top w:w="40" w:type="dxa"/>
              <w:left w:w="380" w:type="dxa"/>
              <w:bottom w:w="40" w:type="dxa"/>
              <w:right w:w="20" w:type="dxa"/>
            </w:tcMar>
            <w:vAlign w:val="bottom"/>
          </w:tcPr>
          <w:p w14:paraId="5902AA69" w14:textId="77777777" w:rsidR="0084406A" w:rsidRDefault="002B18AF">
            <w:pPr>
              <w:textAlignment w:val="bottom"/>
            </w:pPr>
            <w:r>
              <w:rPr>
                <w:rFonts w:ascii="Arial" w:eastAsia="宋体" w:hAnsi="Arial" w:cs="Arial"/>
                <w:color w:val="000000"/>
                <w:sz w:val="20"/>
                <w:szCs w:val="20"/>
              </w:rPr>
              <w:t>Net income for diluted earnings per share</w:t>
            </w:r>
          </w:p>
        </w:tc>
        <w:tc>
          <w:tcPr>
            <w:tcW w:w="0" w:type="auto"/>
            <w:tcBorders>
              <w:top w:val="single" w:sz="8" w:space="0" w:color="000000"/>
            </w:tcBorders>
            <w:shd w:val="clear" w:color="auto" w:fill="CCEEFF"/>
            <w:tcMar>
              <w:top w:w="40" w:type="dxa"/>
              <w:left w:w="20" w:type="dxa"/>
              <w:bottom w:w="40" w:type="dxa"/>
              <w:right w:w="0" w:type="dxa"/>
            </w:tcMar>
            <w:vAlign w:val="bottom"/>
          </w:tcPr>
          <w:p w14:paraId="5902AA6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A6B" w14:textId="77777777" w:rsidR="0084406A" w:rsidRDefault="002B18AF">
            <w:pPr>
              <w:jc w:val="right"/>
              <w:textAlignment w:val="bottom"/>
            </w:pPr>
            <w:r>
              <w:rPr>
                <w:rFonts w:ascii="Arial" w:eastAsia="宋体" w:hAnsi="Arial" w:cs="Arial"/>
                <w:color w:val="000000"/>
                <w:sz w:val="20"/>
                <w:szCs w:val="20"/>
              </w:rPr>
              <w:t>3,162 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6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6D"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A6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A6F" w14:textId="77777777" w:rsidR="0084406A" w:rsidRDefault="002B18AF">
            <w:pPr>
              <w:jc w:val="right"/>
              <w:textAlignment w:val="bottom"/>
            </w:pPr>
            <w:r>
              <w:rPr>
                <w:rFonts w:ascii="Arial" w:eastAsia="宋体" w:hAnsi="Arial" w:cs="Arial"/>
                <w:color w:val="000000"/>
                <w:sz w:val="20"/>
                <w:szCs w:val="20"/>
              </w:rPr>
              <w:t>2,491 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7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71" w14:textId="77777777" w:rsidR="0084406A" w:rsidRDefault="0084406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902AA7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902AA73" w14:textId="77777777" w:rsidR="0084406A" w:rsidRDefault="002B18AF">
            <w:pPr>
              <w:jc w:val="right"/>
              <w:textAlignment w:val="bottom"/>
            </w:pPr>
            <w:r>
              <w:rPr>
                <w:rFonts w:ascii="Arial" w:eastAsia="宋体" w:hAnsi="Arial" w:cs="Arial"/>
                <w:color w:val="000000"/>
                <w:sz w:val="20"/>
                <w:szCs w:val="20"/>
              </w:rPr>
              <w:t>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74" w14:textId="77777777" w:rsidR="0084406A" w:rsidRDefault="0084406A">
            <w:pPr>
              <w:jc w:val="right"/>
              <w:rPr>
                <w:rFonts w:ascii="宋体"/>
              </w:rPr>
            </w:pPr>
          </w:p>
        </w:tc>
      </w:tr>
      <w:tr w:rsidR="0084406A" w14:paraId="5902AA7C" w14:textId="77777777">
        <w:tc>
          <w:tcPr>
            <w:tcW w:w="0" w:type="auto"/>
            <w:gridSpan w:val="3"/>
            <w:shd w:val="clear" w:color="auto" w:fill="FFFFFF"/>
            <w:tcMar>
              <w:top w:w="40" w:type="dxa"/>
              <w:left w:w="20" w:type="dxa"/>
              <w:bottom w:w="40" w:type="dxa"/>
              <w:right w:w="20" w:type="dxa"/>
            </w:tcMar>
            <w:vAlign w:val="bottom"/>
          </w:tcPr>
          <w:p w14:paraId="5902AA76" w14:textId="77777777" w:rsidR="0084406A" w:rsidRDefault="002B18AF">
            <w:pPr>
              <w:textAlignment w:val="bottom"/>
            </w:pPr>
            <w:r>
              <w:rPr>
                <w:rFonts w:ascii="Arial" w:eastAsia="宋体" w:hAnsi="Arial" w:cs="Arial"/>
                <w:color w:val="00000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7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78"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7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7A"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7B" w14:textId="77777777" w:rsidR="0084406A" w:rsidRDefault="0084406A">
            <w:pPr>
              <w:rPr>
                <w:rFonts w:ascii="宋体"/>
              </w:rPr>
            </w:pPr>
          </w:p>
        </w:tc>
      </w:tr>
      <w:tr w:rsidR="0084406A" w14:paraId="5902AA86" w14:textId="77777777">
        <w:tc>
          <w:tcPr>
            <w:tcW w:w="0" w:type="auto"/>
            <w:gridSpan w:val="3"/>
            <w:shd w:val="clear" w:color="auto" w:fill="CCEEFF"/>
            <w:tcMar>
              <w:top w:w="40" w:type="dxa"/>
              <w:left w:w="380" w:type="dxa"/>
              <w:bottom w:w="40" w:type="dxa"/>
              <w:right w:w="20" w:type="dxa"/>
            </w:tcMar>
            <w:vAlign w:val="bottom"/>
          </w:tcPr>
          <w:p w14:paraId="5902AA7D" w14:textId="77777777" w:rsidR="0084406A" w:rsidRDefault="002B18AF">
            <w:pPr>
              <w:textAlignment w:val="bottom"/>
            </w:pPr>
            <w:r>
              <w:rPr>
                <w:rFonts w:ascii="Arial" w:eastAsia="宋体" w:hAnsi="Arial" w:cs="Arial"/>
                <w:color w:val="000000"/>
                <w:sz w:val="20"/>
                <w:szCs w:val="20"/>
              </w:rPr>
              <w:t>Basic weighted-average shares</w:t>
            </w:r>
          </w:p>
        </w:tc>
        <w:tc>
          <w:tcPr>
            <w:tcW w:w="0" w:type="auto"/>
            <w:gridSpan w:val="2"/>
            <w:shd w:val="clear" w:color="auto" w:fill="CCEEFF"/>
            <w:tcMar>
              <w:top w:w="40" w:type="dxa"/>
              <w:left w:w="20" w:type="dxa"/>
              <w:bottom w:w="40" w:type="dxa"/>
              <w:right w:w="0" w:type="dxa"/>
            </w:tcMar>
            <w:vAlign w:val="bottom"/>
          </w:tcPr>
          <w:p w14:paraId="5902AA7E" w14:textId="77777777" w:rsidR="0084406A" w:rsidRDefault="002B18AF">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5902AA7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8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81" w14:textId="77777777" w:rsidR="0084406A" w:rsidRDefault="002B18AF">
            <w:pPr>
              <w:jc w:val="right"/>
              <w:textAlignment w:val="bottom"/>
            </w:pPr>
            <w:r>
              <w:rPr>
                <w:rFonts w:ascii="Arial" w:eastAsia="宋体" w:hAnsi="Arial" w:cs="Arial"/>
                <w:color w:val="000000"/>
                <w:sz w:val="20"/>
                <w:szCs w:val="20"/>
              </w:rPr>
              <w:t>1,184 </w:t>
            </w:r>
          </w:p>
        </w:tc>
        <w:tc>
          <w:tcPr>
            <w:tcW w:w="0" w:type="auto"/>
            <w:shd w:val="clear" w:color="auto" w:fill="CCEEFF"/>
            <w:tcMar>
              <w:top w:w="40" w:type="dxa"/>
              <w:left w:w="0" w:type="dxa"/>
              <w:bottom w:w="40" w:type="dxa"/>
              <w:right w:w="20" w:type="dxa"/>
            </w:tcMar>
            <w:vAlign w:val="bottom"/>
          </w:tcPr>
          <w:p w14:paraId="5902AA8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8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84" w14:textId="77777777" w:rsidR="0084406A" w:rsidRDefault="002B18AF">
            <w:pPr>
              <w:jc w:val="right"/>
              <w:textAlignment w:val="bottom"/>
            </w:pPr>
            <w:r>
              <w:rPr>
                <w:rFonts w:ascii="Arial" w:eastAsia="宋体" w:hAnsi="Arial" w:cs="Arial"/>
                <w:color w:val="000000"/>
                <w:sz w:val="20"/>
                <w:szCs w:val="20"/>
              </w:rPr>
              <w:t>1,091 </w:t>
            </w:r>
          </w:p>
        </w:tc>
        <w:tc>
          <w:tcPr>
            <w:tcW w:w="0" w:type="auto"/>
            <w:shd w:val="clear" w:color="auto" w:fill="CCEEFF"/>
            <w:tcMar>
              <w:top w:w="40" w:type="dxa"/>
              <w:left w:w="0" w:type="dxa"/>
              <w:bottom w:w="40" w:type="dxa"/>
              <w:right w:w="20" w:type="dxa"/>
            </w:tcMar>
            <w:vAlign w:val="bottom"/>
          </w:tcPr>
          <w:p w14:paraId="5902AA85" w14:textId="77777777" w:rsidR="0084406A" w:rsidRDefault="0084406A">
            <w:pPr>
              <w:jc w:val="right"/>
              <w:rPr>
                <w:rFonts w:ascii="宋体"/>
              </w:rPr>
            </w:pPr>
          </w:p>
        </w:tc>
      </w:tr>
      <w:tr w:rsidR="0084406A" w14:paraId="5902AA8D" w14:textId="77777777">
        <w:tc>
          <w:tcPr>
            <w:tcW w:w="0" w:type="auto"/>
            <w:gridSpan w:val="3"/>
            <w:shd w:val="clear" w:color="auto" w:fill="FFFFFF"/>
            <w:tcMar>
              <w:top w:w="40" w:type="dxa"/>
              <w:left w:w="380" w:type="dxa"/>
              <w:bottom w:w="40" w:type="dxa"/>
              <w:right w:w="20" w:type="dxa"/>
            </w:tcMar>
            <w:vAlign w:val="bottom"/>
          </w:tcPr>
          <w:p w14:paraId="5902AA87" w14:textId="77777777" w:rsidR="0084406A" w:rsidRDefault="002B18AF">
            <w:pPr>
              <w:textAlignment w:val="bottom"/>
            </w:pPr>
            <w:r>
              <w:rPr>
                <w:rFonts w:ascii="Arial" w:eastAsia="宋体" w:hAnsi="Arial" w:cs="Arial"/>
                <w:color w:val="000000"/>
                <w:sz w:val="20"/>
                <w:szCs w:val="20"/>
              </w:rPr>
              <w:t>Effect of potentially dilutive shares:</w:t>
            </w:r>
          </w:p>
        </w:tc>
        <w:tc>
          <w:tcPr>
            <w:tcW w:w="0" w:type="auto"/>
            <w:gridSpan w:val="3"/>
            <w:shd w:val="clear" w:color="auto" w:fill="FFFFFF"/>
            <w:tcMar>
              <w:top w:w="0" w:type="dxa"/>
              <w:left w:w="20" w:type="dxa"/>
              <w:bottom w:w="0" w:type="dxa"/>
              <w:right w:w="20" w:type="dxa"/>
            </w:tcMar>
            <w:vAlign w:val="bottom"/>
          </w:tcPr>
          <w:p w14:paraId="5902AA8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8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8A"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8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8C" w14:textId="77777777" w:rsidR="0084406A" w:rsidRDefault="0084406A">
            <w:pPr>
              <w:rPr>
                <w:rFonts w:ascii="宋体"/>
              </w:rPr>
            </w:pPr>
          </w:p>
        </w:tc>
      </w:tr>
      <w:tr w:rsidR="0084406A" w14:paraId="5902AA97" w14:textId="77777777">
        <w:tc>
          <w:tcPr>
            <w:tcW w:w="0" w:type="auto"/>
            <w:gridSpan w:val="3"/>
            <w:shd w:val="clear" w:color="auto" w:fill="CCEEFF"/>
            <w:tcMar>
              <w:top w:w="40" w:type="dxa"/>
              <w:left w:w="620" w:type="dxa"/>
              <w:bottom w:w="40" w:type="dxa"/>
              <w:right w:w="20" w:type="dxa"/>
            </w:tcMar>
            <w:vAlign w:val="bottom"/>
          </w:tcPr>
          <w:p w14:paraId="5902AA8E" w14:textId="77777777" w:rsidR="0084406A" w:rsidRDefault="002B18AF">
            <w:pPr>
              <w:textAlignment w:val="bottom"/>
            </w:pPr>
            <w:r>
              <w:rPr>
                <w:rFonts w:ascii="Arial" w:eastAsia="宋体" w:hAnsi="Arial" w:cs="Arial"/>
                <w:color w:val="000000"/>
                <w:sz w:val="20"/>
                <w:szCs w:val="20"/>
              </w:rPr>
              <w:t>Employee equity plans and warrants</w:t>
            </w:r>
          </w:p>
        </w:tc>
        <w:tc>
          <w:tcPr>
            <w:tcW w:w="0" w:type="auto"/>
            <w:gridSpan w:val="2"/>
            <w:shd w:val="clear" w:color="auto" w:fill="CCEEFF"/>
            <w:tcMar>
              <w:top w:w="40" w:type="dxa"/>
              <w:left w:w="20" w:type="dxa"/>
              <w:bottom w:w="40" w:type="dxa"/>
              <w:right w:w="0" w:type="dxa"/>
            </w:tcMar>
            <w:vAlign w:val="bottom"/>
          </w:tcPr>
          <w:p w14:paraId="5902AA8F" w14:textId="77777777" w:rsidR="0084406A" w:rsidRDefault="002B18AF">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5902AA9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9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92" w14:textId="77777777" w:rsidR="0084406A" w:rsidRDefault="002B18AF">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5902AA9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9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95" w14:textId="77777777" w:rsidR="0084406A" w:rsidRDefault="002B18AF">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5902AA96" w14:textId="77777777" w:rsidR="0084406A" w:rsidRDefault="0084406A">
            <w:pPr>
              <w:jc w:val="right"/>
              <w:rPr>
                <w:rFonts w:ascii="宋体"/>
              </w:rPr>
            </w:pPr>
          </w:p>
        </w:tc>
      </w:tr>
      <w:tr w:rsidR="0084406A" w14:paraId="5902AAA1" w14:textId="77777777">
        <w:tc>
          <w:tcPr>
            <w:tcW w:w="0" w:type="auto"/>
            <w:gridSpan w:val="3"/>
            <w:shd w:val="clear" w:color="auto" w:fill="FFFFFF"/>
            <w:tcMar>
              <w:top w:w="40" w:type="dxa"/>
              <w:left w:w="620" w:type="dxa"/>
              <w:bottom w:w="40" w:type="dxa"/>
              <w:right w:w="20" w:type="dxa"/>
            </w:tcMar>
            <w:vAlign w:val="bottom"/>
          </w:tcPr>
          <w:p w14:paraId="5902AA98" w14:textId="77777777" w:rsidR="0084406A" w:rsidRDefault="002B18AF">
            <w:pPr>
              <w:textAlignment w:val="bottom"/>
            </w:pPr>
            <w:r>
              <w:rPr>
                <w:rFonts w:ascii="Arial" w:eastAsia="宋体" w:hAnsi="Arial" w:cs="Arial"/>
                <w:color w:val="000000"/>
                <w:sz w:val="20"/>
                <w:szCs w:val="20"/>
              </w:rPr>
              <w:t>2.125% Notes</w:t>
            </w:r>
          </w:p>
        </w:tc>
        <w:tc>
          <w:tcPr>
            <w:tcW w:w="0" w:type="auto"/>
            <w:gridSpan w:val="2"/>
            <w:shd w:val="clear" w:color="auto" w:fill="FFFFFF"/>
            <w:tcMar>
              <w:top w:w="40" w:type="dxa"/>
              <w:left w:w="20" w:type="dxa"/>
              <w:bottom w:w="40" w:type="dxa"/>
              <w:right w:w="0" w:type="dxa"/>
            </w:tcMar>
            <w:vAlign w:val="bottom"/>
          </w:tcPr>
          <w:p w14:paraId="5902AA9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A9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9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A9C"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5902AA9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9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A9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AA0" w14:textId="77777777" w:rsidR="0084406A" w:rsidRDefault="0084406A">
            <w:pPr>
              <w:jc w:val="right"/>
              <w:rPr>
                <w:rFonts w:ascii="宋体"/>
              </w:rPr>
            </w:pPr>
          </w:p>
        </w:tc>
      </w:tr>
      <w:tr w:rsidR="0084406A" w14:paraId="5902AAAB" w14:textId="77777777">
        <w:tc>
          <w:tcPr>
            <w:tcW w:w="0" w:type="auto"/>
            <w:gridSpan w:val="3"/>
            <w:shd w:val="clear" w:color="auto" w:fill="CCEEFF"/>
            <w:tcMar>
              <w:top w:w="40" w:type="dxa"/>
              <w:left w:w="380" w:type="dxa"/>
              <w:bottom w:w="40" w:type="dxa"/>
              <w:right w:w="20" w:type="dxa"/>
            </w:tcMar>
            <w:vAlign w:val="bottom"/>
          </w:tcPr>
          <w:p w14:paraId="5902AAA2" w14:textId="77777777" w:rsidR="0084406A" w:rsidRDefault="002B18AF">
            <w:pPr>
              <w:textAlignment w:val="bottom"/>
            </w:pPr>
            <w:r>
              <w:rPr>
                <w:rFonts w:ascii="Arial" w:eastAsia="宋体" w:hAnsi="Arial" w:cs="Arial"/>
                <w:color w:val="000000"/>
                <w:sz w:val="20"/>
                <w:szCs w:val="20"/>
              </w:rPr>
              <w:t xml:space="preserve">Diluted </w:t>
            </w:r>
            <w:r>
              <w:rPr>
                <w:rFonts w:ascii="Arial" w:eastAsia="宋体" w:hAnsi="Arial" w:cs="Arial"/>
                <w:color w:val="000000"/>
                <w:sz w:val="20"/>
                <w:szCs w:val="20"/>
              </w:rPr>
              <w:t>weighted-average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AA3" w14:textId="77777777" w:rsidR="0084406A" w:rsidRDefault="002B18AF">
            <w:pPr>
              <w:jc w:val="right"/>
              <w:textAlignment w:val="bottom"/>
            </w:pPr>
            <w:r>
              <w:rPr>
                <w:rFonts w:ascii="Arial" w:eastAsia="宋体" w:hAnsi="Arial" w:cs="Arial"/>
                <w:color w:val="000000"/>
                <w:sz w:val="20"/>
                <w:szCs w:val="20"/>
              </w:rPr>
              <w:t>1,229 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A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A5"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AA6" w14:textId="77777777" w:rsidR="0084406A" w:rsidRDefault="002B18AF">
            <w:pPr>
              <w:jc w:val="right"/>
              <w:textAlignment w:val="bottom"/>
            </w:pPr>
            <w:r>
              <w:rPr>
                <w:rFonts w:ascii="Arial" w:eastAsia="宋体" w:hAnsi="Arial" w:cs="Arial"/>
                <w:color w:val="000000"/>
                <w:sz w:val="20"/>
                <w:szCs w:val="20"/>
              </w:rPr>
              <w:t>1,207 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A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A8"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AA9" w14:textId="77777777" w:rsidR="0084406A" w:rsidRDefault="002B18AF">
            <w:pPr>
              <w:jc w:val="right"/>
              <w:textAlignment w:val="bottom"/>
            </w:pPr>
            <w:r>
              <w:rPr>
                <w:rFonts w:ascii="Arial" w:eastAsia="宋体" w:hAnsi="Arial" w:cs="Arial"/>
                <w:color w:val="000000"/>
                <w:sz w:val="20"/>
                <w:szCs w:val="20"/>
              </w:rPr>
              <w:t>1,120 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AAA" w14:textId="77777777" w:rsidR="0084406A" w:rsidRDefault="0084406A">
            <w:pPr>
              <w:jc w:val="right"/>
              <w:rPr>
                <w:rFonts w:ascii="宋体"/>
              </w:rPr>
            </w:pPr>
          </w:p>
        </w:tc>
      </w:tr>
      <w:tr w:rsidR="0084406A" w14:paraId="5902AAB2" w14:textId="77777777">
        <w:tc>
          <w:tcPr>
            <w:tcW w:w="0" w:type="auto"/>
            <w:gridSpan w:val="3"/>
            <w:shd w:val="clear" w:color="auto" w:fill="FFFFFF"/>
            <w:tcMar>
              <w:top w:w="40" w:type="dxa"/>
              <w:left w:w="20" w:type="dxa"/>
              <w:bottom w:w="40" w:type="dxa"/>
              <w:right w:w="20" w:type="dxa"/>
            </w:tcMar>
            <w:vAlign w:val="bottom"/>
          </w:tcPr>
          <w:p w14:paraId="5902AAAC" w14:textId="77777777" w:rsidR="0084406A" w:rsidRDefault="002B18AF">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A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AE"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A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AB0" w14:textId="77777777" w:rsidR="0084406A" w:rsidRDefault="0084406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902AAB1" w14:textId="77777777" w:rsidR="0084406A" w:rsidRDefault="0084406A">
            <w:pPr>
              <w:rPr>
                <w:rFonts w:ascii="宋体"/>
              </w:rPr>
            </w:pPr>
          </w:p>
        </w:tc>
      </w:tr>
      <w:tr w:rsidR="0084406A" w14:paraId="5902AABF" w14:textId="77777777">
        <w:tc>
          <w:tcPr>
            <w:tcW w:w="0" w:type="auto"/>
            <w:gridSpan w:val="3"/>
            <w:shd w:val="clear" w:color="auto" w:fill="CCEEFF"/>
            <w:tcMar>
              <w:top w:w="40" w:type="dxa"/>
              <w:left w:w="380" w:type="dxa"/>
              <w:bottom w:w="40" w:type="dxa"/>
              <w:right w:w="20" w:type="dxa"/>
            </w:tcMar>
            <w:vAlign w:val="bottom"/>
          </w:tcPr>
          <w:p w14:paraId="5902AAB3" w14:textId="77777777" w:rsidR="0084406A" w:rsidRDefault="002B18AF">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5902AAB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AB5" w14:textId="77777777" w:rsidR="0084406A" w:rsidRDefault="002B18AF">
            <w:pPr>
              <w:jc w:val="right"/>
              <w:textAlignment w:val="bottom"/>
            </w:pPr>
            <w:r>
              <w:rPr>
                <w:rFonts w:ascii="Arial" w:eastAsia="宋体" w:hAnsi="Arial" w:cs="Arial"/>
                <w:color w:val="000000"/>
                <w:sz w:val="20"/>
                <w:szCs w:val="20"/>
              </w:rPr>
              <w:t>2.61 </w:t>
            </w:r>
          </w:p>
        </w:tc>
        <w:tc>
          <w:tcPr>
            <w:tcW w:w="0" w:type="auto"/>
            <w:shd w:val="clear" w:color="auto" w:fill="CCEEFF"/>
            <w:tcMar>
              <w:top w:w="40" w:type="dxa"/>
              <w:left w:w="0" w:type="dxa"/>
              <w:bottom w:w="40" w:type="dxa"/>
              <w:right w:w="20" w:type="dxa"/>
            </w:tcMar>
            <w:vAlign w:val="bottom"/>
          </w:tcPr>
          <w:p w14:paraId="5902AAB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B7"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AB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AB9" w14:textId="77777777" w:rsidR="0084406A" w:rsidRDefault="002B18AF">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5902AAB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B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AB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ABD" w14:textId="77777777" w:rsidR="0084406A" w:rsidRDefault="002B18AF">
            <w:pPr>
              <w:jc w:val="right"/>
              <w:textAlignment w:val="bottom"/>
            </w:pPr>
            <w:r>
              <w:rPr>
                <w:rFonts w:ascii="Arial" w:eastAsia="宋体" w:hAnsi="Arial" w:cs="Arial"/>
                <w:color w:val="000000"/>
                <w:sz w:val="20"/>
                <w:szCs w:val="20"/>
              </w:rPr>
              <w:t>0.31 </w:t>
            </w:r>
          </w:p>
        </w:tc>
        <w:tc>
          <w:tcPr>
            <w:tcW w:w="0" w:type="auto"/>
            <w:shd w:val="clear" w:color="auto" w:fill="CCEEFF"/>
            <w:tcMar>
              <w:top w:w="40" w:type="dxa"/>
              <w:left w:w="0" w:type="dxa"/>
              <w:bottom w:w="40" w:type="dxa"/>
              <w:right w:w="20" w:type="dxa"/>
            </w:tcMar>
            <w:vAlign w:val="bottom"/>
          </w:tcPr>
          <w:p w14:paraId="5902AABE" w14:textId="77777777" w:rsidR="0084406A" w:rsidRDefault="0084406A">
            <w:pPr>
              <w:jc w:val="right"/>
              <w:rPr>
                <w:rFonts w:ascii="宋体"/>
              </w:rPr>
            </w:pPr>
          </w:p>
        </w:tc>
      </w:tr>
      <w:tr w:rsidR="0084406A" w14:paraId="5902AACC" w14:textId="77777777">
        <w:tc>
          <w:tcPr>
            <w:tcW w:w="0" w:type="auto"/>
            <w:gridSpan w:val="3"/>
            <w:shd w:val="clear" w:color="auto" w:fill="FFFFFF"/>
            <w:tcMar>
              <w:top w:w="40" w:type="dxa"/>
              <w:left w:w="380" w:type="dxa"/>
              <w:bottom w:w="40" w:type="dxa"/>
              <w:right w:w="20" w:type="dxa"/>
            </w:tcMar>
            <w:vAlign w:val="bottom"/>
          </w:tcPr>
          <w:p w14:paraId="5902AAC0" w14:textId="77777777" w:rsidR="0084406A" w:rsidRDefault="002B18AF">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5902AAC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C2" w14:textId="77777777" w:rsidR="0084406A" w:rsidRDefault="002B18AF">
            <w:pPr>
              <w:jc w:val="right"/>
              <w:textAlignment w:val="bottom"/>
            </w:pPr>
            <w:r>
              <w:rPr>
                <w:rFonts w:ascii="Arial" w:eastAsia="宋体" w:hAnsi="Arial" w:cs="Arial"/>
                <w:color w:val="000000"/>
                <w:sz w:val="20"/>
                <w:szCs w:val="20"/>
              </w:rPr>
              <w:t>2.57 </w:t>
            </w:r>
          </w:p>
        </w:tc>
        <w:tc>
          <w:tcPr>
            <w:tcW w:w="0" w:type="auto"/>
            <w:shd w:val="clear" w:color="auto" w:fill="FFFFFF"/>
            <w:tcMar>
              <w:top w:w="40" w:type="dxa"/>
              <w:left w:w="0" w:type="dxa"/>
              <w:bottom w:w="40" w:type="dxa"/>
              <w:right w:w="20" w:type="dxa"/>
            </w:tcMar>
            <w:vAlign w:val="bottom"/>
          </w:tcPr>
          <w:p w14:paraId="5902AAC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C4"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AC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C6" w14:textId="77777777" w:rsidR="0084406A" w:rsidRDefault="002B18AF">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5902AAC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AC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AC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ACA" w14:textId="77777777" w:rsidR="0084406A" w:rsidRDefault="002B18AF">
            <w:pPr>
              <w:jc w:val="right"/>
              <w:textAlignment w:val="bottom"/>
            </w:pPr>
            <w:r>
              <w:rPr>
                <w:rFonts w:ascii="Arial" w:eastAsia="宋体" w:hAnsi="Arial" w:cs="Arial"/>
                <w:color w:val="000000"/>
                <w:sz w:val="20"/>
                <w:szCs w:val="20"/>
              </w:rPr>
              <w:t>0.30 </w:t>
            </w:r>
          </w:p>
        </w:tc>
        <w:tc>
          <w:tcPr>
            <w:tcW w:w="0" w:type="auto"/>
            <w:shd w:val="clear" w:color="auto" w:fill="FFFFFF"/>
            <w:tcMar>
              <w:top w:w="40" w:type="dxa"/>
              <w:left w:w="0" w:type="dxa"/>
              <w:bottom w:w="40" w:type="dxa"/>
              <w:right w:w="20" w:type="dxa"/>
            </w:tcMar>
            <w:vAlign w:val="bottom"/>
          </w:tcPr>
          <w:p w14:paraId="5902AACB" w14:textId="77777777" w:rsidR="0084406A" w:rsidRDefault="0084406A">
            <w:pPr>
              <w:jc w:val="right"/>
              <w:rPr>
                <w:rFonts w:ascii="宋体"/>
              </w:rPr>
            </w:pPr>
          </w:p>
        </w:tc>
      </w:tr>
    </w:tbl>
    <w:p w14:paraId="5902AACD" w14:textId="77777777" w:rsidR="0084406A" w:rsidRDefault="002B18AF">
      <w:pPr>
        <w:spacing w:before="180"/>
        <w:jc w:val="both"/>
      </w:pPr>
      <w:r>
        <w:rPr>
          <w:rFonts w:ascii="Arial" w:eastAsia="宋体" w:hAnsi="Arial" w:cs="Arial"/>
          <w:color w:val="000000"/>
          <w:sz w:val="20"/>
          <w:szCs w:val="20"/>
        </w:rPr>
        <w:t xml:space="preserve">Potential shares from employee equity plans and the impact from the conversion of the 2.125% Notes up to the conversion date, totaling 2 million and 22 million shares for 2021 and </w:t>
      </w:r>
      <w:r>
        <w:rPr>
          <w:rFonts w:ascii="Arial" w:eastAsia="宋体" w:hAnsi="Arial" w:cs="Arial"/>
          <w:color w:val="000000"/>
          <w:sz w:val="20"/>
          <w:szCs w:val="20"/>
        </w:rPr>
        <w:t>2020, respectively, were not included in the earnings per share calculation because their inclusion would have been anti-dilutive.</w:t>
      </w:r>
    </w:p>
    <w:p w14:paraId="5902AACE" w14:textId="77777777" w:rsidR="0084406A" w:rsidRDefault="002B18AF">
      <w:pPr>
        <w:jc w:val="center"/>
      </w:pPr>
      <w:r>
        <w:rPr>
          <w:rFonts w:ascii="Arial" w:eastAsia="宋体" w:hAnsi="Arial" w:cs="Arial"/>
          <w:color w:val="000000"/>
          <w:sz w:val="20"/>
          <w:szCs w:val="20"/>
        </w:rPr>
        <w:t>65</w:t>
      </w:r>
    </w:p>
    <w:p w14:paraId="5902AACF" w14:textId="77777777" w:rsidR="0084406A" w:rsidRDefault="002B18AF">
      <w:r>
        <w:pict w14:anchorId="5902BB37">
          <v:rect id="_x0000_i1092" style="width:415.3pt;height:1.5pt" o:hralign="center" o:hrstd="t" o:hr="t" fillcolor="#a0a0a0" stroked="f"/>
        </w:pict>
      </w:r>
    </w:p>
    <w:p w14:paraId="5902AAD0" w14:textId="77777777" w:rsidR="0084406A" w:rsidRDefault="0084406A"/>
    <w:p w14:paraId="5902AAD1" w14:textId="77777777" w:rsidR="0084406A" w:rsidRDefault="002B18AF">
      <w:pPr>
        <w:spacing w:before="280"/>
        <w:jc w:val="both"/>
      </w:pPr>
      <w:r>
        <w:rPr>
          <w:rFonts w:ascii="Arial" w:eastAsia="宋体" w:hAnsi="Arial" w:cs="Arial"/>
          <w:b/>
          <w:bCs/>
          <w:color w:val="000000"/>
          <w:sz w:val="20"/>
          <w:szCs w:val="20"/>
        </w:rPr>
        <w:t>NOTE 11 – Common Stock and Stock-Based Compensation</w:t>
      </w:r>
    </w:p>
    <w:p w14:paraId="5902AAD2" w14:textId="77777777" w:rsidR="0084406A" w:rsidRDefault="002B18AF">
      <w:pPr>
        <w:spacing w:before="180"/>
      </w:pPr>
      <w:r>
        <w:rPr>
          <w:rFonts w:ascii="Arial" w:eastAsia="宋体" w:hAnsi="Arial" w:cs="Arial"/>
          <w:b/>
          <w:bCs/>
          <w:color w:val="000000"/>
          <w:sz w:val="20"/>
          <w:szCs w:val="20"/>
        </w:rPr>
        <w:t>Common Stock</w:t>
      </w:r>
    </w:p>
    <w:p w14:paraId="5902AAD3" w14:textId="77777777" w:rsidR="0084406A" w:rsidRDefault="002B18AF">
      <w:pPr>
        <w:spacing w:before="180"/>
      </w:pPr>
      <w:r>
        <w:rPr>
          <w:rFonts w:ascii="Arial" w:eastAsia="宋体" w:hAnsi="Arial" w:cs="Arial"/>
          <w:color w:val="000000"/>
          <w:sz w:val="20"/>
          <w:szCs w:val="20"/>
        </w:rPr>
        <w:t xml:space="preserve">Shares of common stock outstanding were as </w:t>
      </w:r>
      <w:r>
        <w:rPr>
          <w:rFonts w:ascii="Arial" w:eastAsia="宋体" w:hAnsi="Arial" w:cs="Arial"/>
          <w:color w:val="000000"/>
          <w:sz w:val="20"/>
          <w:szCs w:val="20"/>
        </w:rPr>
        <w:t>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4519"/>
        <w:gridCol w:w="37"/>
        <w:gridCol w:w="61"/>
        <w:gridCol w:w="1080"/>
        <w:gridCol w:w="36"/>
        <w:gridCol w:w="36"/>
        <w:gridCol w:w="36"/>
        <w:gridCol w:w="36"/>
        <w:gridCol w:w="57"/>
        <w:gridCol w:w="1069"/>
        <w:gridCol w:w="36"/>
        <w:gridCol w:w="36"/>
        <w:gridCol w:w="36"/>
        <w:gridCol w:w="36"/>
        <w:gridCol w:w="57"/>
        <w:gridCol w:w="1071"/>
        <w:gridCol w:w="36"/>
      </w:tblGrid>
      <w:tr w:rsidR="0084406A" w14:paraId="5902AAE6" w14:textId="77777777">
        <w:tc>
          <w:tcPr>
            <w:tcW w:w="50" w:type="pct"/>
            <w:shd w:val="clear" w:color="auto" w:fill="auto"/>
            <w:vAlign w:val="bottom"/>
          </w:tcPr>
          <w:p w14:paraId="5902AAD4" w14:textId="77777777" w:rsidR="0084406A" w:rsidRDefault="0084406A">
            <w:pPr>
              <w:rPr>
                <w:rFonts w:ascii="宋体"/>
              </w:rPr>
            </w:pPr>
          </w:p>
        </w:tc>
        <w:tc>
          <w:tcPr>
            <w:tcW w:w="2722" w:type="pct"/>
            <w:shd w:val="clear" w:color="auto" w:fill="auto"/>
            <w:vAlign w:val="bottom"/>
          </w:tcPr>
          <w:p w14:paraId="5902AAD5" w14:textId="77777777" w:rsidR="0084406A" w:rsidRDefault="0084406A">
            <w:pPr>
              <w:rPr>
                <w:rFonts w:ascii="宋体"/>
              </w:rPr>
            </w:pPr>
          </w:p>
        </w:tc>
        <w:tc>
          <w:tcPr>
            <w:tcW w:w="5" w:type="pct"/>
            <w:shd w:val="clear" w:color="auto" w:fill="auto"/>
            <w:vAlign w:val="bottom"/>
          </w:tcPr>
          <w:p w14:paraId="5902AAD6" w14:textId="77777777" w:rsidR="0084406A" w:rsidRDefault="0084406A">
            <w:pPr>
              <w:rPr>
                <w:rFonts w:ascii="宋体"/>
              </w:rPr>
            </w:pPr>
          </w:p>
        </w:tc>
        <w:tc>
          <w:tcPr>
            <w:tcW w:w="50" w:type="pct"/>
            <w:shd w:val="clear" w:color="auto" w:fill="auto"/>
            <w:vAlign w:val="bottom"/>
          </w:tcPr>
          <w:p w14:paraId="5902AAD7" w14:textId="77777777" w:rsidR="0084406A" w:rsidRDefault="0084406A">
            <w:pPr>
              <w:rPr>
                <w:rFonts w:ascii="宋体"/>
              </w:rPr>
            </w:pPr>
          </w:p>
        </w:tc>
        <w:tc>
          <w:tcPr>
            <w:tcW w:w="661" w:type="pct"/>
            <w:shd w:val="clear" w:color="auto" w:fill="auto"/>
            <w:vAlign w:val="bottom"/>
          </w:tcPr>
          <w:p w14:paraId="5902AAD8" w14:textId="77777777" w:rsidR="0084406A" w:rsidRDefault="0084406A">
            <w:pPr>
              <w:rPr>
                <w:rFonts w:ascii="宋体"/>
              </w:rPr>
            </w:pPr>
          </w:p>
        </w:tc>
        <w:tc>
          <w:tcPr>
            <w:tcW w:w="5" w:type="pct"/>
            <w:shd w:val="clear" w:color="auto" w:fill="auto"/>
            <w:vAlign w:val="bottom"/>
          </w:tcPr>
          <w:p w14:paraId="5902AAD9" w14:textId="77777777" w:rsidR="0084406A" w:rsidRDefault="0084406A">
            <w:pPr>
              <w:rPr>
                <w:rFonts w:ascii="宋体"/>
              </w:rPr>
            </w:pPr>
          </w:p>
        </w:tc>
        <w:tc>
          <w:tcPr>
            <w:tcW w:w="5" w:type="pct"/>
            <w:shd w:val="clear" w:color="auto" w:fill="auto"/>
            <w:vAlign w:val="bottom"/>
          </w:tcPr>
          <w:p w14:paraId="5902AADA" w14:textId="77777777" w:rsidR="0084406A" w:rsidRDefault="0084406A">
            <w:pPr>
              <w:rPr>
                <w:rFonts w:ascii="宋体"/>
              </w:rPr>
            </w:pPr>
          </w:p>
        </w:tc>
        <w:tc>
          <w:tcPr>
            <w:tcW w:w="26" w:type="pct"/>
            <w:shd w:val="clear" w:color="auto" w:fill="auto"/>
            <w:vAlign w:val="bottom"/>
          </w:tcPr>
          <w:p w14:paraId="5902AADB" w14:textId="77777777" w:rsidR="0084406A" w:rsidRDefault="0084406A">
            <w:pPr>
              <w:rPr>
                <w:rFonts w:ascii="宋体"/>
              </w:rPr>
            </w:pPr>
          </w:p>
        </w:tc>
        <w:tc>
          <w:tcPr>
            <w:tcW w:w="5" w:type="pct"/>
            <w:shd w:val="clear" w:color="auto" w:fill="auto"/>
            <w:vAlign w:val="bottom"/>
          </w:tcPr>
          <w:p w14:paraId="5902AADC" w14:textId="77777777" w:rsidR="0084406A" w:rsidRDefault="0084406A">
            <w:pPr>
              <w:rPr>
                <w:rFonts w:ascii="宋体"/>
              </w:rPr>
            </w:pPr>
          </w:p>
        </w:tc>
        <w:tc>
          <w:tcPr>
            <w:tcW w:w="50" w:type="pct"/>
            <w:shd w:val="clear" w:color="auto" w:fill="auto"/>
            <w:vAlign w:val="bottom"/>
          </w:tcPr>
          <w:p w14:paraId="5902AADD" w14:textId="77777777" w:rsidR="0084406A" w:rsidRDefault="0084406A">
            <w:pPr>
              <w:rPr>
                <w:rFonts w:ascii="宋体"/>
              </w:rPr>
            </w:pPr>
          </w:p>
        </w:tc>
        <w:tc>
          <w:tcPr>
            <w:tcW w:w="661" w:type="pct"/>
            <w:shd w:val="clear" w:color="auto" w:fill="auto"/>
            <w:vAlign w:val="bottom"/>
          </w:tcPr>
          <w:p w14:paraId="5902AADE" w14:textId="77777777" w:rsidR="0084406A" w:rsidRDefault="0084406A">
            <w:pPr>
              <w:rPr>
                <w:rFonts w:ascii="宋体"/>
              </w:rPr>
            </w:pPr>
          </w:p>
        </w:tc>
        <w:tc>
          <w:tcPr>
            <w:tcW w:w="5" w:type="pct"/>
            <w:shd w:val="clear" w:color="auto" w:fill="auto"/>
            <w:vAlign w:val="bottom"/>
          </w:tcPr>
          <w:p w14:paraId="5902AADF" w14:textId="77777777" w:rsidR="0084406A" w:rsidRDefault="0084406A">
            <w:pPr>
              <w:rPr>
                <w:rFonts w:ascii="宋体"/>
              </w:rPr>
            </w:pPr>
          </w:p>
        </w:tc>
        <w:tc>
          <w:tcPr>
            <w:tcW w:w="5" w:type="pct"/>
            <w:shd w:val="clear" w:color="auto" w:fill="auto"/>
            <w:vAlign w:val="bottom"/>
          </w:tcPr>
          <w:p w14:paraId="5902AAE0" w14:textId="77777777" w:rsidR="0084406A" w:rsidRDefault="0084406A">
            <w:pPr>
              <w:rPr>
                <w:rFonts w:ascii="宋体"/>
              </w:rPr>
            </w:pPr>
          </w:p>
        </w:tc>
        <w:tc>
          <w:tcPr>
            <w:tcW w:w="26" w:type="pct"/>
            <w:shd w:val="clear" w:color="auto" w:fill="auto"/>
            <w:vAlign w:val="bottom"/>
          </w:tcPr>
          <w:p w14:paraId="5902AAE1" w14:textId="77777777" w:rsidR="0084406A" w:rsidRDefault="0084406A">
            <w:pPr>
              <w:rPr>
                <w:rFonts w:ascii="宋体"/>
              </w:rPr>
            </w:pPr>
          </w:p>
        </w:tc>
        <w:tc>
          <w:tcPr>
            <w:tcW w:w="5" w:type="pct"/>
            <w:shd w:val="clear" w:color="auto" w:fill="auto"/>
            <w:vAlign w:val="bottom"/>
          </w:tcPr>
          <w:p w14:paraId="5902AAE2" w14:textId="77777777" w:rsidR="0084406A" w:rsidRDefault="0084406A">
            <w:pPr>
              <w:rPr>
                <w:rFonts w:ascii="宋体"/>
              </w:rPr>
            </w:pPr>
          </w:p>
        </w:tc>
        <w:tc>
          <w:tcPr>
            <w:tcW w:w="50" w:type="pct"/>
            <w:shd w:val="clear" w:color="auto" w:fill="auto"/>
            <w:vAlign w:val="bottom"/>
          </w:tcPr>
          <w:p w14:paraId="5902AAE3" w14:textId="77777777" w:rsidR="0084406A" w:rsidRDefault="0084406A">
            <w:pPr>
              <w:rPr>
                <w:rFonts w:ascii="宋体"/>
              </w:rPr>
            </w:pPr>
          </w:p>
        </w:tc>
        <w:tc>
          <w:tcPr>
            <w:tcW w:w="661" w:type="pct"/>
            <w:shd w:val="clear" w:color="auto" w:fill="auto"/>
            <w:vAlign w:val="bottom"/>
          </w:tcPr>
          <w:p w14:paraId="5902AAE4" w14:textId="77777777" w:rsidR="0084406A" w:rsidRDefault="0084406A">
            <w:pPr>
              <w:rPr>
                <w:rFonts w:ascii="宋体"/>
              </w:rPr>
            </w:pPr>
          </w:p>
        </w:tc>
        <w:tc>
          <w:tcPr>
            <w:tcW w:w="5" w:type="pct"/>
            <w:shd w:val="clear" w:color="auto" w:fill="auto"/>
            <w:vAlign w:val="bottom"/>
          </w:tcPr>
          <w:p w14:paraId="5902AAE5" w14:textId="77777777" w:rsidR="0084406A" w:rsidRDefault="0084406A">
            <w:pPr>
              <w:rPr>
                <w:rFonts w:ascii="宋体"/>
              </w:rPr>
            </w:pPr>
          </w:p>
        </w:tc>
      </w:tr>
      <w:tr w:rsidR="0084406A" w14:paraId="5902AAE9" w14:textId="77777777">
        <w:tc>
          <w:tcPr>
            <w:tcW w:w="0" w:type="auto"/>
            <w:gridSpan w:val="3"/>
            <w:shd w:val="clear" w:color="auto" w:fill="auto"/>
            <w:tcMar>
              <w:top w:w="0" w:type="dxa"/>
              <w:left w:w="20" w:type="dxa"/>
              <w:bottom w:w="0" w:type="dxa"/>
              <w:right w:w="20" w:type="dxa"/>
            </w:tcMar>
            <w:vAlign w:val="bottom"/>
          </w:tcPr>
          <w:p w14:paraId="5902AAE7" w14:textId="77777777" w:rsidR="0084406A" w:rsidRDefault="0084406A">
            <w:pPr>
              <w:rPr>
                <w:rFonts w:ascii="宋体"/>
              </w:rPr>
            </w:pPr>
          </w:p>
        </w:tc>
        <w:tc>
          <w:tcPr>
            <w:tcW w:w="0" w:type="auto"/>
            <w:gridSpan w:val="15"/>
            <w:shd w:val="clear" w:color="auto" w:fill="auto"/>
            <w:tcMar>
              <w:top w:w="40" w:type="dxa"/>
              <w:left w:w="20" w:type="dxa"/>
              <w:bottom w:w="40" w:type="dxa"/>
              <w:right w:w="20" w:type="dxa"/>
            </w:tcMar>
            <w:vAlign w:val="bottom"/>
          </w:tcPr>
          <w:p w14:paraId="5902AAE8" w14:textId="77777777" w:rsidR="0084406A" w:rsidRDefault="002B18AF">
            <w:pPr>
              <w:jc w:val="center"/>
              <w:textAlignment w:val="bottom"/>
            </w:pPr>
            <w:r>
              <w:rPr>
                <w:rFonts w:ascii="Arial" w:eastAsia="宋体" w:hAnsi="Arial" w:cs="Arial"/>
                <w:b/>
                <w:bCs/>
                <w:color w:val="000000"/>
                <w:sz w:val="16"/>
                <w:szCs w:val="16"/>
              </w:rPr>
              <w:t>Year Ended</w:t>
            </w:r>
          </w:p>
        </w:tc>
      </w:tr>
      <w:tr w:rsidR="0084406A" w14:paraId="5902AAF0" w14:textId="77777777">
        <w:tc>
          <w:tcPr>
            <w:tcW w:w="0" w:type="auto"/>
            <w:gridSpan w:val="3"/>
            <w:shd w:val="clear" w:color="auto" w:fill="auto"/>
            <w:tcMar>
              <w:top w:w="0" w:type="dxa"/>
              <w:left w:w="20" w:type="dxa"/>
              <w:bottom w:w="0" w:type="dxa"/>
              <w:right w:w="20" w:type="dxa"/>
            </w:tcMar>
            <w:vAlign w:val="bottom"/>
          </w:tcPr>
          <w:p w14:paraId="5902AAEA"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AAEB"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AEC"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AED"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AEE" w14:textId="77777777" w:rsidR="0084406A" w:rsidRDefault="0084406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902AAEF" w14:textId="77777777" w:rsidR="0084406A" w:rsidRDefault="002B18AF">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84406A" w14:paraId="5902AAF3" w14:textId="77777777">
        <w:tc>
          <w:tcPr>
            <w:tcW w:w="0" w:type="auto"/>
            <w:gridSpan w:val="3"/>
            <w:shd w:val="clear" w:color="auto" w:fill="auto"/>
            <w:tcMar>
              <w:top w:w="0" w:type="dxa"/>
              <w:left w:w="20" w:type="dxa"/>
              <w:bottom w:w="0" w:type="dxa"/>
              <w:right w:w="20" w:type="dxa"/>
            </w:tcMar>
            <w:vAlign w:val="bottom"/>
          </w:tcPr>
          <w:p w14:paraId="5902AAF1" w14:textId="77777777" w:rsidR="0084406A" w:rsidRDefault="0084406A">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AF2"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AFD" w14:textId="77777777">
        <w:tc>
          <w:tcPr>
            <w:tcW w:w="0" w:type="auto"/>
            <w:gridSpan w:val="3"/>
            <w:shd w:val="clear" w:color="auto" w:fill="CCEEFF"/>
            <w:tcMar>
              <w:top w:w="40" w:type="dxa"/>
              <w:left w:w="20" w:type="dxa"/>
              <w:bottom w:w="40" w:type="dxa"/>
              <w:right w:w="20" w:type="dxa"/>
            </w:tcMar>
            <w:vAlign w:val="bottom"/>
          </w:tcPr>
          <w:p w14:paraId="5902AAF4" w14:textId="77777777" w:rsidR="0084406A" w:rsidRDefault="002B18AF">
            <w:pPr>
              <w:textAlignment w:val="bottom"/>
            </w:pPr>
            <w:r>
              <w:rPr>
                <w:rFonts w:ascii="Arial" w:eastAsia="宋体" w:hAnsi="Arial" w:cs="Arial"/>
                <w:color w:val="000000"/>
                <w:sz w:val="20"/>
                <w:szCs w:val="20"/>
              </w:rPr>
              <w:t>Balance, beginning of period</w:t>
            </w:r>
          </w:p>
        </w:tc>
        <w:tc>
          <w:tcPr>
            <w:tcW w:w="0" w:type="auto"/>
            <w:gridSpan w:val="2"/>
            <w:shd w:val="clear" w:color="auto" w:fill="CCEEFF"/>
            <w:tcMar>
              <w:top w:w="40" w:type="dxa"/>
              <w:left w:w="20" w:type="dxa"/>
              <w:bottom w:w="40" w:type="dxa"/>
              <w:right w:w="0" w:type="dxa"/>
            </w:tcMar>
            <w:vAlign w:val="bottom"/>
          </w:tcPr>
          <w:p w14:paraId="5902AAF5" w14:textId="77777777" w:rsidR="0084406A" w:rsidRDefault="002B18AF">
            <w:pPr>
              <w:jc w:val="right"/>
              <w:textAlignment w:val="bottom"/>
            </w:pPr>
            <w:r>
              <w:rPr>
                <w:rFonts w:ascii="Arial" w:eastAsia="宋体"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5902AAF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F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F8" w14:textId="77777777" w:rsidR="0084406A" w:rsidRDefault="002B18AF">
            <w:pPr>
              <w:jc w:val="right"/>
              <w:textAlignment w:val="bottom"/>
            </w:pPr>
            <w:r>
              <w:rPr>
                <w:rFonts w:ascii="Arial" w:eastAsia="宋体" w:hAnsi="Arial" w:cs="Arial"/>
                <w:color w:val="000000"/>
                <w:sz w:val="20"/>
                <w:szCs w:val="20"/>
              </w:rPr>
              <w:t>1,170 </w:t>
            </w:r>
          </w:p>
        </w:tc>
        <w:tc>
          <w:tcPr>
            <w:tcW w:w="0" w:type="auto"/>
            <w:shd w:val="clear" w:color="auto" w:fill="CCEEFF"/>
            <w:tcMar>
              <w:top w:w="40" w:type="dxa"/>
              <w:left w:w="0" w:type="dxa"/>
              <w:bottom w:w="40" w:type="dxa"/>
              <w:right w:w="20" w:type="dxa"/>
            </w:tcMar>
            <w:vAlign w:val="bottom"/>
          </w:tcPr>
          <w:p w14:paraId="5902AAF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AF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AFB" w14:textId="77777777" w:rsidR="0084406A" w:rsidRDefault="002B18AF">
            <w:pPr>
              <w:jc w:val="right"/>
              <w:textAlignment w:val="bottom"/>
            </w:pPr>
            <w:r>
              <w:rPr>
                <w:rFonts w:ascii="Arial" w:eastAsia="宋体" w:hAnsi="Arial" w:cs="Arial"/>
                <w:color w:val="000000"/>
                <w:sz w:val="20"/>
                <w:szCs w:val="20"/>
              </w:rPr>
              <w:t>1,005 </w:t>
            </w:r>
          </w:p>
        </w:tc>
        <w:tc>
          <w:tcPr>
            <w:tcW w:w="0" w:type="auto"/>
            <w:shd w:val="clear" w:color="auto" w:fill="CCEEFF"/>
            <w:tcMar>
              <w:top w:w="40" w:type="dxa"/>
              <w:left w:w="0" w:type="dxa"/>
              <w:bottom w:w="40" w:type="dxa"/>
              <w:right w:w="20" w:type="dxa"/>
            </w:tcMar>
            <w:vAlign w:val="bottom"/>
          </w:tcPr>
          <w:p w14:paraId="5902AAFC" w14:textId="77777777" w:rsidR="0084406A" w:rsidRDefault="0084406A">
            <w:pPr>
              <w:jc w:val="right"/>
              <w:rPr>
                <w:rFonts w:ascii="宋体"/>
              </w:rPr>
            </w:pPr>
          </w:p>
        </w:tc>
      </w:tr>
      <w:tr w:rsidR="0084406A" w14:paraId="5902AB07" w14:textId="77777777">
        <w:tc>
          <w:tcPr>
            <w:tcW w:w="0" w:type="auto"/>
            <w:gridSpan w:val="3"/>
            <w:shd w:val="clear" w:color="auto" w:fill="FFFFFF"/>
            <w:tcMar>
              <w:top w:w="40" w:type="dxa"/>
              <w:left w:w="20" w:type="dxa"/>
              <w:bottom w:w="40" w:type="dxa"/>
              <w:right w:w="20" w:type="dxa"/>
            </w:tcMar>
            <w:vAlign w:val="bottom"/>
          </w:tcPr>
          <w:p w14:paraId="5902AAFE" w14:textId="77777777" w:rsidR="0084406A" w:rsidRDefault="002B18AF">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5902AAFF"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5902AB0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0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02" w14:textId="77777777" w:rsidR="0084406A" w:rsidRDefault="002B18AF">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5902AB0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0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05" w14:textId="77777777" w:rsidR="0084406A" w:rsidRDefault="002B18AF">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5902AB06" w14:textId="77777777" w:rsidR="0084406A" w:rsidRDefault="0084406A">
            <w:pPr>
              <w:jc w:val="right"/>
              <w:rPr>
                <w:rFonts w:ascii="宋体"/>
              </w:rPr>
            </w:pPr>
          </w:p>
        </w:tc>
      </w:tr>
      <w:tr w:rsidR="0084406A" w14:paraId="5902AB11" w14:textId="77777777">
        <w:tc>
          <w:tcPr>
            <w:tcW w:w="0" w:type="auto"/>
            <w:gridSpan w:val="3"/>
            <w:shd w:val="clear" w:color="auto" w:fill="CCEEFF"/>
            <w:tcMar>
              <w:top w:w="40" w:type="dxa"/>
              <w:left w:w="20" w:type="dxa"/>
              <w:bottom w:w="40" w:type="dxa"/>
              <w:right w:w="20" w:type="dxa"/>
            </w:tcMar>
            <w:vAlign w:val="bottom"/>
          </w:tcPr>
          <w:p w14:paraId="5902AB08" w14:textId="77777777" w:rsidR="0084406A" w:rsidRDefault="002B18AF">
            <w:pPr>
              <w:textAlignment w:val="bottom"/>
            </w:pPr>
            <w:r>
              <w:rPr>
                <w:rFonts w:ascii="Arial" w:eastAsia="宋体" w:hAnsi="Arial" w:cs="Arial"/>
                <w:color w:val="000000"/>
                <w:sz w:val="20"/>
                <w:szCs w:val="20"/>
              </w:rPr>
              <w:t>Repurchases of common stock</w:t>
            </w:r>
          </w:p>
        </w:tc>
        <w:tc>
          <w:tcPr>
            <w:tcW w:w="0" w:type="auto"/>
            <w:gridSpan w:val="2"/>
            <w:shd w:val="clear" w:color="auto" w:fill="CCEEFF"/>
            <w:tcMar>
              <w:top w:w="40" w:type="dxa"/>
              <w:left w:w="20" w:type="dxa"/>
              <w:bottom w:w="40" w:type="dxa"/>
              <w:right w:w="0" w:type="dxa"/>
            </w:tcMar>
            <w:vAlign w:val="bottom"/>
          </w:tcPr>
          <w:p w14:paraId="5902AB09" w14:textId="77777777" w:rsidR="0084406A" w:rsidRDefault="002B18AF">
            <w:pPr>
              <w:jc w:val="right"/>
              <w:textAlignment w:val="bottom"/>
            </w:pPr>
            <w:r>
              <w:rPr>
                <w:rFonts w:ascii="Arial" w:eastAsia="宋体" w:hAnsi="Arial" w:cs="Arial"/>
                <w:color w:val="000000"/>
                <w:sz w:val="20"/>
                <w:szCs w:val="20"/>
              </w:rPr>
              <w:t>(17)</w:t>
            </w:r>
          </w:p>
        </w:tc>
        <w:tc>
          <w:tcPr>
            <w:tcW w:w="0" w:type="auto"/>
            <w:shd w:val="clear" w:color="auto" w:fill="CCEEFF"/>
            <w:tcMar>
              <w:top w:w="40" w:type="dxa"/>
              <w:left w:w="0" w:type="dxa"/>
              <w:bottom w:w="40" w:type="dxa"/>
              <w:right w:w="20" w:type="dxa"/>
            </w:tcMar>
            <w:vAlign w:val="bottom"/>
          </w:tcPr>
          <w:p w14:paraId="5902AB0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0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0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0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0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0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10" w14:textId="77777777" w:rsidR="0084406A" w:rsidRDefault="0084406A">
            <w:pPr>
              <w:jc w:val="right"/>
              <w:rPr>
                <w:rFonts w:ascii="宋体"/>
              </w:rPr>
            </w:pPr>
          </w:p>
        </w:tc>
      </w:tr>
      <w:tr w:rsidR="0084406A" w14:paraId="5902AB1B" w14:textId="77777777">
        <w:tc>
          <w:tcPr>
            <w:tcW w:w="0" w:type="auto"/>
            <w:gridSpan w:val="3"/>
            <w:shd w:val="clear" w:color="auto" w:fill="FFFFFF"/>
            <w:tcMar>
              <w:top w:w="40" w:type="dxa"/>
              <w:left w:w="20" w:type="dxa"/>
              <w:bottom w:w="40" w:type="dxa"/>
              <w:right w:w="20" w:type="dxa"/>
            </w:tcMar>
            <w:vAlign w:val="bottom"/>
          </w:tcPr>
          <w:p w14:paraId="5902AB12" w14:textId="77777777" w:rsidR="0084406A" w:rsidRDefault="002B18AF">
            <w:pPr>
              <w:textAlignment w:val="bottom"/>
            </w:pPr>
            <w:r>
              <w:rPr>
                <w:rFonts w:ascii="Arial" w:eastAsia="宋体" w:hAnsi="Arial" w:cs="Arial"/>
                <w:color w:val="000000"/>
                <w:sz w:val="20"/>
                <w:szCs w:val="20"/>
              </w:rPr>
              <w:t>Common stock repurchases for tax withholding on equity awards</w:t>
            </w:r>
          </w:p>
        </w:tc>
        <w:tc>
          <w:tcPr>
            <w:tcW w:w="0" w:type="auto"/>
            <w:gridSpan w:val="2"/>
            <w:shd w:val="clear" w:color="auto" w:fill="FFFFFF"/>
            <w:tcMar>
              <w:top w:w="40" w:type="dxa"/>
              <w:left w:w="20" w:type="dxa"/>
              <w:bottom w:w="40" w:type="dxa"/>
              <w:right w:w="0" w:type="dxa"/>
            </w:tcMar>
            <w:vAlign w:val="bottom"/>
          </w:tcPr>
          <w:p w14:paraId="5902AB13" w14:textId="77777777" w:rsidR="0084406A" w:rsidRDefault="002B18AF">
            <w:pPr>
              <w:jc w:val="right"/>
              <w:textAlignment w:val="bottom"/>
            </w:pPr>
            <w:r>
              <w:rPr>
                <w:rFonts w:ascii="Arial" w:eastAsia="宋体" w:hAnsi="Arial" w:cs="Arial"/>
                <w:color w:val="000000"/>
                <w:sz w:val="20"/>
                <w:szCs w:val="20"/>
              </w:rPr>
              <w:t>(2)</w:t>
            </w:r>
          </w:p>
        </w:tc>
        <w:tc>
          <w:tcPr>
            <w:tcW w:w="0" w:type="auto"/>
            <w:shd w:val="clear" w:color="auto" w:fill="FFFFFF"/>
            <w:tcMar>
              <w:top w:w="40" w:type="dxa"/>
              <w:left w:w="0" w:type="dxa"/>
              <w:bottom w:w="40" w:type="dxa"/>
              <w:right w:w="20" w:type="dxa"/>
            </w:tcMar>
            <w:vAlign w:val="bottom"/>
          </w:tcPr>
          <w:p w14:paraId="5902AB1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1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16"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5902AB1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1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1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B1A" w14:textId="77777777" w:rsidR="0084406A" w:rsidRDefault="0084406A">
            <w:pPr>
              <w:jc w:val="right"/>
              <w:rPr>
                <w:rFonts w:ascii="宋体"/>
              </w:rPr>
            </w:pPr>
          </w:p>
        </w:tc>
      </w:tr>
      <w:tr w:rsidR="0084406A" w14:paraId="5902AB25" w14:textId="77777777">
        <w:tc>
          <w:tcPr>
            <w:tcW w:w="0" w:type="auto"/>
            <w:gridSpan w:val="3"/>
            <w:shd w:val="clear" w:color="auto" w:fill="CCEEFF"/>
            <w:tcMar>
              <w:top w:w="40" w:type="dxa"/>
              <w:left w:w="20" w:type="dxa"/>
              <w:bottom w:w="40" w:type="dxa"/>
              <w:right w:w="20" w:type="dxa"/>
            </w:tcMar>
            <w:vAlign w:val="bottom"/>
          </w:tcPr>
          <w:p w14:paraId="5902AB1C" w14:textId="77777777" w:rsidR="0084406A" w:rsidRDefault="002B18AF">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CCEEFF"/>
            <w:tcMar>
              <w:top w:w="40" w:type="dxa"/>
              <w:left w:w="20" w:type="dxa"/>
              <w:bottom w:w="40" w:type="dxa"/>
              <w:right w:w="0" w:type="dxa"/>
            </w:tcMar>
            <w:vAlign w:val="bottom"/>
          </w:tcPr>
          <w:p w14:paraId="5902AB1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1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1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2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2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2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23" w14:textId="77777777" w:rsidR="0084406A" w:rsidRDefault="002B18AF">
            <w:pPr>
              <w:jc w:val="right"/>
              <w:textAlignment w:val="bottom"/>
            </w:pPr>
            <w:r>
              <w:rPr>
                <w:rFonts w:ascii="Arial" w:eastAsia="宋体" w:hAnsi="Arial" w:cs="Arial"/>
                <w:color w:val="000000"/>
                <w:sz w:val="20"/>
                <w:szCs w:val="20"/>
              </w:rPr>
              <w:t>75 </w:t>
            </w:r>
          </w:p>
        </w:tc>
        <w:tc>
          <w:tcPr>
            <w:tcW w:w="0" w:type="auto"/>
            <w:shd w:val="clear" w:color="auto" w:fill="CCEEFF"/>
            <w:tcMar>
              <w:top w:w="40" w:type="dxa"/>
              <w:left w:w="0" w:type="dxa"/>
              <w:bottom w:w="40" w:type="dxa"/>
              <w:right w:w="20" w:type="dxa"/>
            </w:tcMar>
            <w:vAlign w:val="bottom"/>
          </w:tcPr>
          <w:p w14:paraId="5902AB24" w14:textId="77777777" w:rsidR="0084406A" w:rsidRDefault="0084406A">
            <w:pPr>
              <w:jc w:val="right"/>
              <w:rPr>
                <w:rFonts w:ascii="宋体"/>
              </w:rPr>
            </w:pPr>
          </w:p>
        </w:tc>
      </w:tr>
      <w:tr w:rsidR="0084406A" w14:paraId="5902AB2F" w14:textId="77777777">
        <w:tc>
          <w:tcPr>
            <w:tcW w:w="0" w:type="auto"/>
            <w:gridSpan w:val="3"/>
            <w:shd w:val="clear" w:color="auto" w:fill="FFFFFF"/>
            <w:tcMar>
              <w:top w:w="40" w:type="dxa"/>
              <w:left w:w="20" w:type="dxa"/>
              <w:bottom w:w="40" w:type="dxa"/>
              <w:right w:w="20" w:type="dxa"/>
            </w:tcMar>
            <w:vAlign w:val="bottom"/>
          </w:tcPr>
          <w:p w14:paraId="5902AB26" w14:textId="77777777" w:rsidR="0084406A" w:rsidRDefault="002B18AF">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5902AB27"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5902AB2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2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2A" w14:textId="77777777" w:rsidR="0084406A" w:rsidRDefault="002B18AF">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5902AB2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2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2D" w14:textId="77777777" w:rsidR="0084406A" w:rsidRDefault="002B18AF">
            <w:pPr>
              <w:jc w:val="right"/>
              <w:textAlignment w:val="bottom"/>
            </w:pPr>
            <w:r>
              <w:rPr>
                <w:rFonts w:ascii="Arial" w:eastAsia="宋体" w:hAnsi="Arial" w:cs="Arial"/>
                <w:color w:val="000000"/>
                <w:sz w:val="20"/>
                <w:szCs w:val="20"/>
              </w:rPr>
              <w:t>69 </w:t>
            </w:r>
          </w:p>
        </w:tc>
        <w:tc>
          <w:tcPr>
            <w:tcW w:w="0" w:type="auto"/>
            <w:shd w:val="clear" w:color="auto" w:fill="FFFFFF"/>
            <w:tcMar>
              <w:top w:w="40" w:type="dxa"/>
              <w:left w:w="0" w:type="dxa"/>
              <w:bottom w:w="40" w:type="dxa"/>
              <w:right w:w="20" w:type="dxa"/>
            </w:tcMar>
            <w:vAlign w:val="bottom"/>
          </w:tcPr>
          <w:p w14:paraId="5902AB2E" w14:textId="77777777" w:rsidR="0084406A" w:rsidRDefault="0084406A">
            <w:pPr>
              <w:jc w:val="right"/>
              <w:rPr>
                <w:rFonts w:ascii="宋体"/>
              </w:rPr>
            </w:pPr>
          </w:p>
        </w:tc>
      </w:tr>
      <w:tr w:rsidR="0084406A" w14:paraId="5902AB39" w14:textId="77777777">
        <w:tc>
          <w:tcPr>
            <w:tcW w:w="0" w:type="auto"/>
            <w:gridSpan w:val="3"/>
            <w:shd w:val="clear" w:color="auto" w:fill="CCEEFF"/>
            <w:tcMar>
              <w:top w:w="40" w:type="dxa"/>
              <w:left w:w="20" w:type="dxa"/>
              <w:bottom w:w="40" w:type="dxa"/>
              <w:right w:w="20" w:type="dxa"/>
            </w:tcMar>
            <w:vAlign w:val="bottom"/>
          </w:tcPr>
          <w:p w14:paraId="5902AB30" w14:textId="77777777" w:rsidR="0084406A" w:rsidRDefault="002B18AF">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CCEEFF"/>
            <w:tcMar>
              <w:top w:w="40" w:type="dxa"/>
              <w:left w:w="20" w:type="dxa"/>
              <w:bottom w:w="40" w:type="dxa"/>
              <w:right w:w="0" w:type="dxa"/>
            </w:tcMar>
            <w:vAlign w:val="bottom"/>
          </w:tcPr>
          <w:p w14:paraId="5902AB31"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3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3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3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3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3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37"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AB38" w14:textId="77777777" w:rsidR="0084406A" w:rsidRDefault="0084406A">
            <w:pPr>
              <w:jc w:val="right"/>
              <w:rPr>
                <w:rFonts w:ascii="宋体"/>
              </w:rPr>
            </w:pPr>
          </w:p>
        </w:tc>
      </w:tr>
      <w:tr w:rsidR="0084406A" w14:paraId="5902AB43" w14:textId="77777777">
        <w:tc>
          <w:tcPr>
            <w:tcW w:w="0" w:type="auto"/>
            <w:gridSpan w:val="3"/>
            <w:shd w:val="clear" w:color="auto" w:fill="FFFFFF"/>
            <w:tcMar>
              <w:top w:w="40" w:type="dxa"/>
              <w:left w:w="20" w:type="dxa"/>
              <w:bottom w:w="40" w:type="dxa"/>
              <w:right w:w="20" w:type="dxa"/>
            </w:tcMar>
            <w:vAlign w:val="bottom"/>
          </w:tcPr>
          <w:p w14:paraId="5902AB3A" w14:textId="77777777" w:rsidR="0084406A" w:rsidRDefault="002B18AF">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3B" w14:textId="77777777" w:rsidR="0084406A" w:rsidRDefault="002B18AF">
            <w:pPr>
              <w:jc w:val="right"/>
              <w:textAlignment w:val="bottom"/>
            </w:pPr>
            <w:r>
              <w:rPr>
                <w:rFonts w:ascii="Arial" w:eastAsia="宋体" w:hAnsi="Arial" w:cs="Arial"/>
                <w:color w:val="000000"/>
                <w:sz w:val="20"/>
                <w:szCs w:val="20"/>
              </w:rPr>
              <w:t>1,207 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3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3D" w14:textId="77777777" w:rsidR="0084406A" w:rsidRDefault="0084406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3E" w14:textId="77777777" w:rsidR="0084406A" w:rsidRDefault="002B18AF">
            <w:pPr>
              <w:jc w:val="right"/>
              <w:textAlignment w:val="bottom"/>
            </w:pPr>
            <w:r>
              <w:rPr>
                <w:rFonts w:ascii="Arial" w:eastAsia="宋体" w:hAnsi="Arial" w:cs="Arial"/>
                <w:color w:val="000000"/>
                <w:sz w:val="20"/>
                <w:szCs w:val="20"/>
              </w:rPr>
              <w:t>1,211 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3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40" w14:textId="77777777" w:rsidR="0084406A" w:rsidRDefault="0084406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41" w14:textId="77777777" w:rsidR="0084406A" w:rsidRDefault="002B18AF">
            <w:pPr>
              <w:jc w:val="right"/>
              <w:textAlignment w:val="bottom"/>
            </w:pPr>
            <w:r>
              <w:rPr>
                <w:rFonts w:ascii="Arial" w:eastAsia="宋体" w:hAnsi="Arial" w:cs="Arial"/>
                <w:color w:val="000000"/>
                <w:sz w:val="20"/>
                <w:szCs w:val="20"/>
              </w:rPr>
              <w:t>1,170 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42" w14:textId="77777777" w:rsidR="0084406A" w:rsidRDefault="0084406A">
            <w:pPr>
              <w:jc w:val="right"/>
              <w:rPr>
                <w:rFonts w:ascii="宋体"/>
              </w:rPr>
            </w:pPr>
          </w:p>
        </w:tc>
      </w:tr>
    </w:tbl>
    <w:p w14:paraId="5902AB44" w14:textId="77777777" w:rsidR="0084406A" w:rsidRDefault="002B18AF">
      <w:pPr>
        <w:spacing w:before="180"/>
        <w:jc w:val="both"/>
      </w:pPr>
      <w:r>
        <w:rPr>
          <w:rFonts w:ascii="Arial" w:eastAsia="宋体" w:hAnsi="Arial" w:cs="Arial"/>
          <w:i/>
          <w:iCs/>
          <w:color w:val="000000"/>
          <w:sz w:val="20"/>
          <w:szCs w:val="20"/>
        </w:rPr>
        <w:t>Stock Repurchase Program</w:t>
      </w:r>
    </w:p>
    <w:p w14:paraId="5902AB45" w14:textId="77777777" w:rsidR="0084406A" w:rsidRDefault="002B18AF">
      <w:pPr>
        <w:spacing w:before="180"/>
        <w:jc w:val="both"/>
      </w:pPr>
      <w:r>
        <w:rPr>
          <w:rFonts w:ascii="Arial" w:eastAsia="宋体" w:hAnsi="Arial" w:cs="Arial"/>
          <w:color w:val="000000"/>
          <w:sz w:val="20"/>
          <w:szCs w:val="20"/>
        </w:rPr>
        <w:t>In May 2021, the Company’s Board of Directors approved a stock repurchase program authorizing up to $4 billion of repurchases of the Company’s outstanding common stock (the Repurchase Program). During the year ended December 25,</w:t>
      </w:r>
      <w:r>
        <w:rPr>
          <w:rFonts w:ascii="Arial" w:eastAsia="宋体" w:hAnsi="Arial" w:cs="Arial"/>
          <w:color w:val="000000"/>
          <w:sz w:val="20"/>
          <w:szCs w:val="20"/>
        </w:rPr>
        <w:t xml:space="preserve"> 2021, the Company repurchased 16.7 million shares of its common stock under the Repurchase Program for $1.8 billion. As of December 25, 2021, $2.2 billion remained available for future stock repurchases under this program. This Repurchase Program does not</w:t>
      </w:r>
      <w:r>
        <w:rPr>
          <w:rFonts w:ascii="Arial" w:eastAsia="宋体" w:hAnsi="Arial" w:cs="Arial"/>
          <w:color w:val="000000"/>
          <w:sz w:val="20"/>
          <w:szCs w:val="20"/>
        </w:rPr>
        <w:t xml:space="preserve"> obligate the Company to acquire any common stock, has no termination date and may be suspended or discontinued at any time.</w:t>
      </w:r>
    </w:p>
    <w:p w14:paraId="5902AB46" w14:textId="77777777" w:rsidR="0084406A" w:rsidRDefault="002B18AF">
      <w:pPr>
        <w:spacing w:before="180"/>
        <w:jc w:val="both"/>
      </w:pPr>
      <w:r>
        <w:rPr>
          <w:rFonts w:ascii="Arial" w:eastAsia="宋体" w:hAnsi="Arial" w:cs="Arial"/>
          <w:b/>
          <w:bCs/>
          <w:color w:val="000000"/>
          <w:sz w:val="20"/>
          <w:szCs w:val="20"/>
        </w:rPr>
        <w:t>Stock-Based Compensation</w:t>
      </w:r>
    </w:p>
    <w:p w14:paraId="5902AB47" w14:textId="77777777" w:rsidR="0084406A" w:rsidRDefault="002B18AF">
      <w:pPr>
        <w:spacing w:before="180"/>
        <w:jc w:val="both"/>
      </w:pPr>
      <w:r>
        <w:rPr>
          <w:rFonts w:ascii="Arial" w:eastAsia="宋体" w:hAnsi="Arial" w:cs="Arial"/>
          <w:color w:val="000000"/>
          <w:sz w:val="20"/>
          <w:szCs w:val="20"/>
        </w:rPr>
        <w:t>The Company’s employee equity programs are intended to attract, retain and motivate highly qualified emplo</w:t>
      </w:r>
      <w:r>
        <w:rPr>
          <w:rFonts w:ascii="Arial" w:eastAsia="宋体" w:hAnsi="Arial" w:cs="Arial"/>
          <w:color w:val="000000"/>
          <w:sz w:val="20"/>
          <w:szCs w:val="20"/>
        </w:rPr>
        <w:t xml:space="preserve">yees. On April 29, 2004, the Company’s stockholders approved the 2004 Equity Incentive Plan, as amended and restated (the 2004 Plan). In the fourth quarter of 2017, the Company introduced the 2017 ESPP, as amended and restated (the 2017 Plan). </w:t>
      </w:r>
    </w:p>
    <w:p w14:paraId="5902AB48" w14:textId="77777777" w:rsidR="0084406A" w:rsidRDefault="002B18AF">
      <w:pPr>
        <w:spacing w:before="180"/>
        <w:jc w:val="both"/>
      </w:pPr>
      <w:r>
        <w:rPr>
          <w:rFonts w:ascii="Arial" w:eastAsia="宋体" w:hAnsi="Arial" w:cs="Arial"/>
          <w:color w:val="000000"/>
          <w:sz w:val="20"/>
          <w:szCs w:val="20"/>
        </w:rPr>
        <w:t>Under the 2</w:t>
      </w:r>
      <w:r>
        <w:rPr>
          <w:rFonts w:ascii="Arial" w:eastAsia="宋体" w:hAnsi="Arial" w:cs="Arial"/>
          <w:color w:val="000000"/>
          <w:sz w:val="20"/>
          <w:szCs w:val="20"/>
        </w:rPr>
        <w:t>004 Plan, stock options generally vest and become exercisable over a three-year period from the date of grant and expire within seven years after the grant date. Unvested shares that are reacquired by the Company from forfeited outstanding equity awards be</w:t>
      </w:r>
      <w:r>
        <w:rPr>
          <w:rFonts w:ascii="Arial" w:eastAsia="宋体" w:hAnsi="Arial" w:cs="Arial"/>
          <w:color w:val="000000"/>
          <w:sz w:val="20"/>
          <w:szCs w:val="20"/>
        </w:rPr>
        <w:t>come available for grant and may be reissued as new awards.</w:t>
      </w:r>
    </w:p>
    <w:p w14:paraId="5902AB49" w14:textId="77777777" w:rsidR="0084406A" w:rsidRDefault="002B18AF">
      <w:pPr>
        <w:spacing w:before="180"/>
        <w:jc w:val="both"/>
      </w:pPr>
      <w:r>
        <w:rPr>
          <w:rFonts w:ascii="Arial" w:eastAsia="宋体" w:hAnsi="Arial" w:cs="Arial"/>
          <w:color w:val="000000"/>
          <w:sz w:val="20"/>
          <w:szCs w:val="20"/>
        </w:rPr>
        <w:t xml:space="preserve">Under the 2004 Plan, the Company can grant (i) stock options, and (ii) RSUs, including time-based RSUs and PRSUs. </w:t>
      </w:r>
    </w:p>
    <w:p w14:paraId="5902AB4A" w14:textId="77777777" w:rsidR="0084406A" w:rsidRDefault="002B18AF">
      <w:pPr>
        <w:spacing w:before="180"/>
        <w:jc w:val="both"/>
      </w:pPr>
      <w:r>
        <w:rPr>
          <w:rFonts w:ascii="Arial" w:eastAsia="宋体" w:hAnsi="Arial" w:cs="Arial"/>
          <w:i/>
          <w:iCs/>
          <w:color w:val="000000"/>
          <w:sz w:val="20"/>
          <w:szCs w:val="20"/>
        </w:rPr>
        <w:t xml:space="preserve">Stock Options. </w:t>
      </w:r>
      <w:r>
        <w:rPr>
          <w:rFonts w:ascii="Arial" w:eastAsia="宋体" w:hAnsi="Arial" w:cs="Arial"/>
          <w:color w:val="000000"/>
          <w:sz w:val="20"/>
          <w:szCs w:val="20"/>
        </w:rPr>
        <w:t xml:space="preserve">Under the 2004 Plan, nonstatutory and incentive stock options may </w:t>
      </w:r>
      <w:r>
        <w:rPr>
          <w:rFonts w:ascii="Arial" w:eastAsia="宋体" w:hAnsi="Arial" w:cs="Arial"/>
          <w:color w:val="000000"/>
          <w:sz w:val="20"/>
          <w:szCs w:val="20"/>
        </w:rPr>
        <w:t>be granted. The exercise price of the shares subject to each nonstatutory stock option and incentive stock option cannot be less than 100% of the fair market value of the Company’s common stock on the date of the grant. The exercise price of each option gr</w:t>
      </w:r>
      <w:r>
        <w:rPr>
          <w:rFonts w:ascii="Arial" w:eastAsia="宋体" w:hAnsi="Arial" w:cs="Arial"/>
          <w:color w:val="000000"/>
          <w:sz w:val="20"/>
          <w:szCs w:val="20"/>
        </w:rPr>
        <w:t>anted under the 2004 Plan must be paid in full at the time of the exercise.</w:t>
      </w:r>
    </w:p>
    <w:p w14:paraId="5902AB4B" w14:textId="77777777" w:rsidR="0084406A" w:rsidRDefault="002B18AF">
      <w:pPr>
        <w:spacing w:before="180"/>
        <w:jc w:val="both"/>
      </w:pPr>
      <w:r>
        <w:rPr>
          <w:rFonts w:ascii="Arial" w:eastAsia="宋体" w:hAnsi="Arial" w:cs="Arial"/>
          <w:i/>
          <w:iCs/>
          <w:color w:val="000000"/>
          <w:sz w:val="20"/>
          <w:szCs w:val="20"/>
        </w:rPr>
        <w:t xml:space="preserve">Time-based RSUs. </w:t>
      </w:r>
      <w:r>
        <w:rPr>
          <w:rFonts w:ascii="Arial" w:eastAsia="宋体" w:hAnsi="Arial" w:cs="Arial"/>
          <w:color w:val="000000"/>
          <w:sz w:val="20"/>
          <w:szCs w:val="20"/>
        </w:rPr>
        <w:t>Time-based RSUs are awards that can be granted to any employee, director or consultant and that obligate the Company to issue a specific number of shares of the Co</w:t>
      </w:r>
      <w:r>
        <w:rPr>
          <w:rFonts w:ascii="Arial" w:eastAsia="宋体" w:hAnsi="Arial" w:cs="Arial"/>
          <w:color w:val="000000"/>
          <w:sz w:val="20"/>
          <w:szCs w:val="20"/>
        </w:rPr>
        <w:t xml:space="preserve">mpany’s common stock in the future if the vesting terms and conditions are satisfied. </w:t>
      </w:r>
    </w:p>
    <w:p w14:paraId="5902AB4C" w14:textId="77777777" w:rsidR="0084406A" w:rsidRDefault="002B18AF">
      <w:pPr>
        <w:spacing w:before="180"/>
        <w:jc w:val="both"/>
      </w:pPr>
      <w:r>
        <w:rPr>
          <w:rFonts w:ascii="Arial" w:eastAsia="宋体" w:hAnsi="Arial" w:cs="Arial"/>
          <w:i/>
          <w:iCs/>
          <w:color w:val="000000"/>
          <w:sz w:val="20"/>
          <w:szCs w:val="20"/>
        </w:rPr>
        <w:t xml:space="preserve">PRSUs. </w:t>
      </w:r>
      <w:r>
        <w:rPr>
          <w:rFonts w:ascii="Arial" w:eastAsia="宋体" w:hAnsi="Arial" w:cs="Arial"/>
          <w:color w:val="000000"/>
          <w:sz w:val="20"/>
          <w:szCs w:val="20"/>
        </w:rPr>
        <w:t xml:space="preserve">PRSUs can be granted to certain of the Company’s senior executives. The performance metrics can be financial performance, non-financial performance and/or market </w:t>
      </w:r>
      <w:r>
        <w:rPr>
          <w:rFonts w:ascii="Arial" w:eastAsia="宋体" w:hAnsi="Arial" w:cs="Arial"/>
          <w:color w:val="000000"/>
          <w:sz w:val="20"/>
          <w:szCs w:val="20"/>
        </w:rPr>
        <w:t xml:space="preserve">conditions. Each PRSU award reflects a target number of shares (Target Shares) that may be issued to an award recipient before adjusting based on the Company’s financial performance, non-financial performance and/or market conditions. The actual number of </w:t>
      </w:r>
      <w:r>
        <w:rPr>
          <w:rFonts w:ascii="Arial" w:eastAsia="宋体" w:hAnsi="Arial" w:cs="Arial"/>
          <w:color w:val="000000"/>
          <w:sz w:val="20"/>
          <w:szCs w:val="20"/>
        </w:rPr>
        <w:t>shares that a grant recipient receives at the end of the period may range from 0% to 250% of the Target Shares granted, depending upon the degree of achievement of the performance target designated by each individual award.</w:t>
      </w:r>
    </w:p>
    <w:p w14:paraId="5902AB4D" w14:textId="77777777" w:rsidR="0084406A" w:rsidRDefault="002B18AF">
      <w:pPr>
        <w:jc w:val="center"/>
      </w:pPr>
      <w:r>
        <w:rPr>
          <w:rFonts w:ascii="Arial" w:eastAsia="宋体" w:hAnsi="Arial" w:cs="Arial"/>
          <w:color w:val="000000"/>
          <w:sz w:val="20"/>
          <w:szCs w:val="20"/>
        </w:rPr>
        <w:t>66</w:t>
      </w:r>
    </w:p>
    <w:p w14:paraId="5902AB4E" w14:textId="77777777" w:rsidR="0084406A" w:rsidRDefault="002B18AF">
      <w:r>
        <w:pict w14:anchorId="5902BB38">
          <v:rect id="_x0000_i1093" style="width:415.3pt;height:1.5pt" o:hralign="center" o:hrstd="t" o:hr="t" fillcolor="#a0a0a0" stroked="f"/>
        </w:pict>
      </w:r>
    </w:p>
    <w:p w14:paraId="5902AB4F" w14:textId="77777777" w:rsidR="0084406A" w:rsidRDefault="0084406A"/>
    <w:p w14:paraId="5902AB50" w14:textId="77777777" w:rsidR="0084406A" w:rsidRDefault="002B18AF">
      <w:pPr>
        <w:spacing w:before="180"/>
        <w:jc w:val="both"/>
      </w:pPr>
      <w:r>
        <w:rPr>
          <w:rFonts w:ascii="Arial" w:eastAsia="宋体" w:hAnsi="Arial" w:cs="Arial"/>
          <w:i/>
          <w:iCs/>
          <w:color w:val="000000"/>
          <w:sz w:val="20"/>
          <w:szCs w:val="20"/>
        </w:rPr>
        <w:t xml:space="preserve">ESPP. </w:t>
      </w:r>
      <w:r>
        <w:rPr>
          <w:rFonts w:ascii="Arial" w:eastAsia="宋体" w:hAnsi="Arial" w:cs="Arial"/>
          <w:color w:val="000000"/>
          <w:sz w:val="20"/>
          <w:szCs w:val="20"/>
        </w:rPr>
        <w:t>Under the 2017 Plan,</w:t>
      </w:r>
      <w:r>
        <w:rPr>
          <w:rFonts w:ascii="Arial" w:eastAsia="宋体" w:hAnsi="Arial" w:cs="Arial"/>
          <w:color w:val="000000"/>
          <w:sz w:val="20"/>
          <w:szCs w:val="20"/>
        </w:rPr>
        <w:t xml:space="preserve"> eligible employees who participate in an offering period may have up to 15% of their eligible earnings withheld, up to certain limitations, to purchase shares of common stock at 85% of the lower of the fair market value on the first or the last business d</w:t>
      </w:r>
      <w:r>
        <w:rPr>
          <w:rFonts w:ascii="Arial" w:eastAsia="宋体" w:hAnsi="Arial" w:cs="Arial"/>
          <w:color w:val="000000"/>
          <w:sz w:val="20"/>
          <w:szCs w:val="20"/>
        </w:rPr>
        <w:t xml:space="preserve">ay of the six-month offering period. The offering periods commence in May and November each year. </w:t>
      </w:r>
    </w:p>
    <w:p w14:paraId="5902AB51" w14:textId="77777777" w:rsidR="0084406A" w:rsidRDefault="002B18AF">
      <w:pPr>
        <w:spacing w:before="180"/>
        <w:jc w:val="both"/>
      </w:pPr>
      <w:r>
        <w:rPr>
          <w:rFonts w:ascii="Arial" w:eastAsia="宋体" w:hAnsi="Arial" w:cs="Arial"/>
          <w:color w:val="000000"/>
          <w:sz w:val="20"/>
          <w:szCs w:val="20"/>
        </w:rPr>
        <w:t>As of December 25, 2021, the Company had 50 million shares of common stock that were available for future grants and 17 million shares reserved for issuance upon the exercise of outstanding stock options or the vesting of unvested RSUs, including PRSUs, un</w:t>
      </w:r>
      <w:r>
        <w:rPr>
          <w:rFonts w:ascii="Arial" w:eastAsia="宋体" w:hAnsi="Arial" w:cs="Arial"/>
          <w:color w:val="000000"/>
          <w:sz w:val="20"/>
          <w:szCs w:val="20"/>
        </w:rPr>
        <w:t xml:space="preserve">der the 2004 Plan. In addition, the Company had 39 million shares of common stock that were available for issuance under the 2017 plan. </w:t>
      </w:r>
    </w:p>
    <w:p w14:paraId="5902AB52" w14:textId="77777777" w:rsidR="0084406A" w:rsidRDefault="002B18AF">
      <w:pPr>
        <w:spacing w:before="180"/>
        <w:jc w:val="both"/>
      </w:pPr>
      <w:r>
        <w:rPr>
          <w:rFonts w:ascii="Arial" w:eastAsia="宋体" w:hAnsi="Arial" w:cs="Arial"/>
          <w:i/>
          <w:iCs/>
          <w:color w:val="000000"/>
          <w:sz w:val="20"/>
          <w:szCs w:val="20"/>
        </w:rPr>
        <w:t>Valuation and Expense</w:t>
      </w:r>
    </w:p>
    <w:p w14:paraId="5902AB53" w14:textId="77777777" w:rsidR="0084406A" w:rsidRDefault="002B18AF">
      <w:pPr>
        <w:spacing w:before="180"/>
      </w:pPr>
      <w:r>
        <w:rPr>
          <w:rFonts w:ascii="Arial" w:eastAsia="宋体" w:hAnsi="Arial" w:cs="Arial"/>
          <w:color w:val="000000"/>
          <w:sz w:val="20"/>
          <w:szCs w:val="20"/>
        </w:rPr>
        <w:t>Stock-based compensation expense was allocated in the consolidated statements of operations as fo</w:t>
      </w:r>
      <w:r>
        <w:rPr>
          <w:rFonts w:ascii="Arial" w:eastAsia="宋体" w:hAnsi="Arial" w:cs="Arial"/>
          <w:color w:val="000000"/>
          <w:sz w:val="20"/>
          <w:szCs w:val="20"/>
        </w:rPr>
        <w:t>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479"/>
        <w:gridCol w:w="38"/>
        <w:gridCol w:w="133"/>
        <w:gridCol w:w="1049"/>
        <w:gridCol w:w="36"/>
        <w:gridCol w:w="36"/>
        <w:gridCol w:w="36"/>
        <w:gridCol w:w="36"/>
        <w:gridCol w:w="133"/>
        <w:gridCol w:w="1003"/>
        <w:gridCol w:w="36"/>
        <w:gridCol w:w="36"/>
        <w:gridCol w:w="36"/>
        <w:gridCol w:w="36"/>
        <w:gridCol w:w="133"/>
        <w:gridCol w:w="1005"/>
        <w:gridCol w:w="36"/>
      </w:tblGrid>
      <w:tr w:rsidR="0084406A" w14:paraId="5902AB66" w14:textId="77777777">
        <w:tc>
          <w:tcPr>
            <w:tcW w:w="50" w:type="pct"/>
            <w:shd w:val="clear" w:color="auto" w:fill="auto"/>
            <w:vAlign w:val="bottom"/>
          </w:tcPr>
          <w:p w14:paraId="5902AB54" w14:textId="77777777" w:rsidR="0084406A" w:rsidRDefault="0084406A">
            <w:pPr>
              <w:rPr>
                <w:rFonts w:ascii="宋体"/>
              </w:rPr>
            </w:pPr>
          </w:p>
        </w:tc>
        <w:tc>
          <w:tcPr>
            <w:tcW w:w="2722" w:type="pct"/>
            <w:shd w:val="clear" w:color="auto" w:fill="auto"/>
            <w:vAlign w:val="bottom"/>
          </w:tcPr>
          <w:p w14:paraId="5902AB55" w14:textId="77777777" w:rsidR="0084406A" w:rsidRDefault="0084406A">
            <w:pPr>
              <w:rPr>
                <w:rFonts w:ascii="宋体"/>
              </w:rPr>
            </w:pPr>
          </w:p>
        </w:tc>
        <w:tc>
          <w:tcPr>
            <w:tcW w:w="5" w:type="pct"/>
            <w:shd w:val="clear" w:color="auto" w:fill="auto"/>
            <w:vAlign w:val="bottom"/>
          </w:tcPr>
          <w:p w14:paraId="5902AB56" w14:textId="77777777" w:rsidR="0084406A" w:rsidRDefault="0084406A">
            <w:pPr>
              <w:rPr>
                <w:rFonts w:ascii="宋体"/>
              </w:rPr>
            </w:pPr>
          </w:p>
        </w:tc>
        <w:tc>
          <w:tcPr>
            <w:tcW w:w="50" w:type="pct"/>
            <w:shd w:val="clear" w:color="auto" w:fill="auto"/>
            <w:vAlign w:val="bottom"/>
          </w:tcPr>
          <w:p w14:paraId="5902AB57" w14:textId="77777777" w:rsidR="0084406A" w:rsidRDefault="0084406A">
            <w:pPr>
              <w:rPr>
                <w:rFonts w:ascii="宋体"/>
              </w:rPr>
            </w:pPr>
          </w:p>
        </w:tc>
        <w:tc>
          <w:tcPr>
            <w:tcW w:w="661" w:type="pct"/>
            <w:shd w:val="clear" w:color="auto" w:fill="auto"/>
            <w:vAlign w:val="bottom"/>
          </w:tcPr>
          <w:p w14:paraId="5902AB58" w14:textId="77777777" w:rsidR="0084406A" w:rsidRDefault="0084406A">
            <w:pPr>
              <w:rPr>
                <w:rFonts w:ascii="宋体"/>
              </w:rPr>
            </w:pPr>
          </w:p>
        </w:tc>
        <w:tc>
          <w:tcPr>
            <w:tcW w:w="5" w:type="pct"/>
            <w:shd w:val="clear" w:color="auto" w:fill="auto"/>
            <w:vAlign w:val="bottom"/>
          </w:tcPr>
          <w:p w14:paraId="5902AB59" w14:textId="77777777" w:rsidR="0084406A" w:rsidRDefault="0084406A">
            <w:pPr>
              <w:rPr>
                <w:rFonts w:ascii="宋体"/>
              </w:rPr>
            </w:pPr>
          </w:p>
        </w:tc>
        <w:tc>
          <w:tcPr>
            <w:tcW w:w="5" w:type="pct"/>
            <w:shd w:val="clear" w:color="auto" w:fill="auto"/>
            <w:vAlign w:val="bottom"/>
          </w:tcPr>
          <w:p w14:paraId="5902AB5A" w14:textId="77777777" w:rsidR="0084406A" w:rsidRDefault="0084406A">
            <w:pPr>
              <w:rPr>
                <w:rFonts w:ascii="宋体"/>
              </w:rPr>
            </w:pPr>
          </w:p>
        </w:tc>
        <w:tc>
          <w:tcPr>
            <w:tcW w:w="26" w:type="pct"/>
            <w:shd w:val="clear" w:color="auto" w:fill="auto"/>
            <w:vAlign w:val="bottom"/>
          </w:tcPr>
          <w:p w14:paraId="5902AB5B" w14:textId="77777777" w:rsidR="0084406A" w:rsidRDefault="0084406A">
            <w:pPr>
              <w:rPr>
                <w:rFonts w:ascii="宋体"/>
              </w:rPr>
            </w:pPr>
          </w:p>
        </w:tc>
        <w:tc>
          <w:tcPr>
            <w:tcW w:w="5" w:type="pct"/>
            <w:shd w:val="clear" w:color="auto" w:fill="auto"/>
            <w:vAlign w:val="bottom"/>
          </w:tcPr>
          <w:p w14:paraId="5902AB5C" w14:textId="77777777" w:rsidR="0084406A" w:rsidRDefault="0084406A">
            <w:pPr>
              <w:rPr>
                <w:rFonts w:ascii="宋体"/>
              </w:rPr>
            </w:pPr>
          </w:p>
        </w:tc>
        <w:tc>
          <w:tcPr>
            <w:tcW w:w="50" w:type="pct"/>
            <w:shd w:val="clear" w:color="auto" w:fill="auto"/>
            <w:vAlign w:val="bottom"/>
          </w:tcPr>
          <w:p w14:paraId="5902AB5D" w14:textId="77777777" w:rsidR="0084406A" w:rsidRDefault="0084406A">
            <w:pPr>
              <w:rPr>
                <w:rFonts w:ascii="宋体"/>
              </w:rPr>
            </w:pPr>
          </w:p>
        </w:tc>
        <w:tc>
          <w:tcPr>
            <w:tcW w:w="661" w:type="pct"/>
            <w:shd w:val="clear" w:color="auto" w:fill="auto"/>
            <w:vAlign w:val="bottom"/>
          </w:tcPr>
          <w:p w14:paraId="5902AB5E" w14:textId="77777777" w:rsidR="0084406A" w:rsidRDefault="0084406A">
            <w:pPr>
              <w:rPr>
                <w:rFonts w:ascii="宋体"/>
              </w:rPr>
            </w:pPr>
          </w:p>
        </w:tc>
        <w:tc>
          <w:tcPr>
            <w:tcW w:w="5" w:type="pct"/>
            <w:shd w:val="clear" w:color="auto" w:fill="auto"/>
            <w:vAlign w:val="bottom"/>
          </w:tcPr>
          <w:p w14:paraId="5902AB5F" w14:textId="77777777" w:rsidR="0084406A" w:rsidRDefault="0084406A">
            <w:pPr>
              <w:rPr>
                <w:rFonts w:ascii="宋体"/>
              </w:rPr>
            </w:pPr>
          </w:p>
        </w:tc>
        <w:tc>
          <w:tcPr>
            <w:tcW w:w="5" w:type="pct"/>
            <w:shd w:val="clear" w:color="auto" w:fill="auto"/>
            <w:vAlign w:val="bottom"/>
          </w:tcPr>
          <w:p w14:paraId="5902AB60" w14:textId="77777777" w:rsidR="0084406A" w:rsidRDefault="0084406A">
            <w:pPr>
              <w:rPr>
                <w:rFonts w:ascii="宋体"/>
              </w:rPr>
            </w:pPr>
          </w:p>
        </w:tc>
        <w:tc>
          <w:tcPr>
            <w:tcW w:w="26" w:type="pct"/>
            <w:shd w:val="clear" w:color="auto" w:fill="auto"/>
            <w:vAlign w:val="bottom"/>
          </w:tcPr>
          <w:p w14:paraId="5902AB61" w14:textId="77777777" w:rsidR="0084406A" w:rsidRDefault="0084406A">
            <w:pPr>
              <w:rPr>
                <w:rFonts w:ascii="宋体"/>
              </w:rPr>
            </w:pPr>
          </w:p>
        </w:tc>
        <w:tc>
          <w:tcPr>
            <w:tcW w:w="5" w:type="pct"/>
            <w:shd w:val="clear" w:color="auto" w:fill="auto"/>
            <w:vAlign w:val="bottom"/>
          </w:tcPr>
          <w:p w14:paraId="5902AB62" w14:textId="77777777" w:rsidR="0084406A" w:rsidRDefault="0084406A">
            <w:pPr>
              <w:rPr>
                <w:rFonts w:ascii="宋体"/>
              </w:rPr>
            </w:pPr>
          </w:p>
        </w:tc>
        <w:tc>
          <w:tcPr>
            <w:tcW w:w="50" w:type="pct"/>
            <w:shd w:val="clear" w:color="auto" w:fill="auto"/>
            <w:vAlign w:val="bottom"/>
          </w:tcPr>
          <w:p w14:paraId="5902AB63" w14:textId="77777777" w:rsidR="0084406A" w:rsidRDefault="0084406A">
            <w:pPr>
              <w:rPr>
                <w:rFonts w:ascii="宋体"/>
              </w:rPr>
            </w:pPr>
          </w:p>
        </w:tc>
        <w:tc>
          <w:tcPr>
            <w:tcW w:w="661" w:type="pct"/>
            <w:shd w:val="clear" w:color="auto" w:fill="auto"/>
            <w:vAlign w:val="bottom"/>
          </w:tcPr>
          <w:p w14:paraId="5902AB64" w14:textId="77777777" w:rsidR="0084406A" w:rsidRDefault="0084406A">
            <w:pPr>
              <w:rPr>
                <w:rFonts w:ascii="宋体"/>
              </w:rPr>
            </w:pPr>
          </w:p>
        </w:tc>
        <w:tc>
          <w:tcPr>
            <w:tcW w:w="5" w:type="pct"/>
            <w:shd w:val="clear" w:color="auto" w:fill="auto"/>
            <w:vAlign w:val="bottom"/>
          </w:tcPr>
          <w:p w14:paraId="5902AB65" w14:textId="77777777" w:rsidR="0084406A" w:rsidRDefault="0084406A">
            <w:pPr>
              <w:rPr>
                <w:rFonts w:ascii="宋体"/>
              </w:rPr>
            </w:pPr>
          </w:p>
        </w:tc>
      </w:tr>
      <w:tr w:rsidR="0084406A" w14:paraId="5902AB6D" w14:textId="77777777">
        <w:tc>
          <w:tcPr>
            <w:tcW w:w="0" w:type="auto"/>
            <w:gridSpan w:val="3"/>
            <w:shd w:val="clear" w:color="auto" w:fill="auto"/>
            <w:tcMar>
              <w:top w:w="0" w:type="dxa"/>
              <w:left w:w="20" w:type="dxa"/>
              <w:bottom w:w="0" w:type="dxa"/>
              <w:right w:w="20" w:type="dxa"/>
            </w:tcMar>
            <w:vAlign w:val="bottom"/>
          </w:tcPr>
          <w:p w14:paraId="5902AB6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68"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B69"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B6A"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B6B"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B6C"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B70" w14:textId="77777777">
        <w:tc>
          <w:tcPr>
            <w:tcW w:w="0" w:type="auto"/>
            <w:gridSpan w:val="3"/>
            <w:shd w:val="clear" w:color="auto" w:fill="auto"/>
            <w:tcMar>
              <w:top w:w="40" w:type="dxa"/>
              <w:left w:w="20" w:type="dxa"/>
              <w:bottom w:w="40" w:type="dxa"/>
              <w:right w:w="20" w:type="dxa"/>
            </w:tcMar>
            <w:vAlign w:val="bottom"/>
          </w:tcPr>
          <w:p w14:paraId="5902AB6E"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B6F"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B7D" w14:textId="77777777">
        <w:tc>
          <w:tcPr>
            <w:tcW w:w="0" w:type="auto"/>
            <w:gridSpan w:val="3"/>
            <w:shd w:val="clear" w:color="auto" w:fill="CCEEFF"/>
            <w:tcMar>
              <w:top w:w="40" w:type="dxa"/>
              <w:left w:w="20" w:type="dxa"/>
              <w:bottom w:w="40" w:type="dxa"/>
              <w:right w:w="20" w:type="dxa"/>
            </w:tcMar>
            <w:vAlign w:val="bottom"/>
          </w:tcPr>
          <w:p w14:paraId="5902AB71" w14:textId="77777777" w:rsidR="0084406A" w:rsidRDefault="002B18AF">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5902AB7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B73"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5902AB7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7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B7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B77"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5902AB7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7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B7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B7B" w14:textId="77777777" w:rsidR="0084406A" w:rsidRDefault="002B18AF">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5902AB7C" w14:textId="77777777" w:rsidR="0084406A" w:rsidRDefault="0084406A">
            <w:pPr>
              <w:jc w:val="right"/>
              <w:rPr>
                <w:rFonts w:ascii="宋体"/>
              </w:rPr>
            </w:pPr>
          </w:p>
        </w:tc>
      </w:tr>
      <w:tr w:rsidR="0084406A" w14:paraId="5902AB87" w14:textId="77777777">
        <w:tc>
          <w:tcPr>
            <w:tcW w:w="0" w:type="auto"/>
            <w:gridSpan w:val="3"/>
            <w:shd w:val="clear" w:color="auto" w:fill="FFFFFF"/>
            <w:tcMar>
              <w:top w:w="40" w:type="dxa"/>
              <w:left w:w="20" w:type="dxa"/>
              <w:bottom w:w="40" w:type="dxa"/>
              <w:right w:w="20" w:type="dxa"/>
            </w:tcMar>
            <w:vAlign w:val="bottom"/>
          </w:tcPr>
          <w:p w14:paraId="5902AB7E" w14:textId="77777777" w:rsidR="0084406A" w:rsidRDefault="002B18AF">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5902AB7F" w14:textId="77777777" w:rsidR="0084406A" w:rsidRDefault="002B18AF">
            <w:pPr>
              <w:jc w:val="right"/>
              <w:textAlignment w:val="bottom"/>
            </w:pPr>
            <w:r>
              <w:rPr>
                <w:rFonts w:ascii="Arial" w:eastAsia="宋体" w:hAnsi="Arial" w:cs="Arial"/>
                <w:color w:val="000000"/>
                <w:sz w:val="20"/>
                <w:szCs w:val="20"/>
              </w:rPr>
              <w:t>246 </w:t>
            </w:r>
          </w:p>
        </w:tc>
        <w:tc>
          <w:tcPr>
            <w:tcW w:w="0" w:type="auto"/>
            <w:shd w:val="clear" w:color="auto" w:fill="FFFFFF"/>
            <w:tcMar>
              <w:top w:w="40" w:type="dxa"/>
              <w:left w:w="0" w:type="dxa"/>
              <w:bottom w:w="40" w:type="dxa"/>
              <w:right w:w="20" w:type="dxa"/>
            </w:tcMar>
            <w:vAlign w:val="bottom"/>
          </w:tcPr>
          <w:p w14:paraId="5902AB8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8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82" w14:textId="77777777" w:rsidR="0084406A" w:rsidRDefault="002B18AF">
            <w:pPr>
              <w:jc w:val="right"/>
              <w:textAlignment w:val="bottom"/>
            </w:pPr>
            <w:r>
              <w:rPr>
                <w:rFonts w:ascii="Arial" w:eastAsia="宋体" w:hAnsi="Arial" w:cs="Arial"/>
                <w:color w:val="000000"/>
                <w:sz w:val="20"/>
                <w:szCs w:val="20"/>
              </w:rPr>
              <w:t>173 </w:t>
            </w:r>
          </w:p>
        </w:tc>
        <w:tc>
          <w:tcPr>
            <w:tcW w:w="0" w:type="auto"/>
            <w:shd w:val="clear" w:color="auto" w:fill="FFFFFF"/>
            <w:tcMar>
              <w:top w:w="40" w:type="dxa"/>
              <w:left w:w="0" w:type="dxa"/>
              <w:bottom w:w="40" w:type="dxa"/>
              <w:right w:w="20" w:type="dxa"/>
            </w:tcMar>
            <w:vAlign w:val="bottom"/>
          </w:tcPr>
          <w:p w14:paraId="5902AB8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8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B85" w14:textId="77777777" w:rsidR="0084406A" w:rsidRDefault="002B18AF">
            <w:pPr>
              <w:jc w:val="right"/>
              <w:textAlignment w:val="bottom"/>
            </w:pPr>
            <w:r>
              <w:rPr>
                <w:rFonts w:ascii="Arial" w:eastAsia="宋体" w:hAnsi="Arial" w:cs="Arial"/>
                <w:color w:val="000000"/>
                <w:sz w:val="20"/>
                <w:szCs w:val="20"/>
              </w:rPr>
              <w:t>129 </w:t>
            </w:r>
          </w:p>
        </w:tc>
        <w:tc>
          <w:tcPr>
            <w:tcW w:w="0" w:type="auto"/>
            <w:shd w:val="clear" w:color="auto" w:fill="FFFFFF"/>
            <w:tcMar>
              <w:top w:w="40" w:type="dxa"/>
              <w:left w:w="0" w:type="dxa"/>
              <w:bottom w:w="40" w:type="dxa"/>
              <w:right w:w="20" w:type="dxa"/>
            </w:tcMar>
            <w:vAlign w:val="bottom"/>
          </w:tcPr>
          <w:p w14:paraId="5902AB86" w14:textId="77777777" w:rsidR="0084406A" w:rsidRDefault="0084406A">
            <w:pPr>
              <w:jc w:val="right"/>
              <w:rPr>
                <w:rFonts w:ascii="宋体"/>
              </w:rPr>
            </w:pPr>
          </w:p>
        </w:tc>
      </w:tr>
      <w:tr w:rsidR="0084406A" w14:paraId="5902AB91" w14:textId="77777777">
        <w:tc>
          <w:tcPr>
            <w:tcW w:w="0" w:type="auto"/>
            <w:gridSpan w:val="3"/>
            <w:shd w:val="clear" w:color="auto" w:fill="CCEEFF"/>
            <w:tcMar>
              <w:top w:w="40" w:type="dxa"/>
              <w:left w:w="20" w:type="dxa"/>
              <w:bottom w:w="40" w:type="dxa"/>
              <w:right w:w="20" w:type="dxa"/>
            </w:tcMar>
            <w:vAlign w:val="bottom"/>
          </w:tcPr>
          <w:p w14:paraId="5902AB88" w14:textId="77777777" w:rsidR="0084406A" w:rsidRDefault="002B18AF">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5902AB89" w14:textId="77777777" w:rsidR="0084406A" w:rsidRDefault="002B18AF">
            <w:pPr>
              <w:jc w:val="right"/>
              <w:textAlignment w:val="bottom"/>
            </w:pPr>
            <w:r>
              <w:rPr>
                <w:rFonts w:ascii="Arial" w:eastAsia="宋体" w:hAnsi="Arial" w:cs="Arial"/>
                <w:color w:val="000000"/>
                <w:sz w:val="20"/>
                <w:szCs w:val="20"/>
              </w:rPr>
              <w:t>128 </w:t>
            </w:r>
          </w:p>
        </w:tc>
        <w:tc>
          <w:tcPr>
            <w:tcW w:w="0" w:type="auto"/>
            <w:shd w:val="clear" w:color="auto" w:fill="CCEEFF"/>
            <w:tcMar>
              <w:top w:w="40" w:type="dxa"/>
              <w:left w:w="0" w:type="dxa"/>
              <w:bottom w:w="40" w:type="dxa"/>
              <w:right w:w="20" w:type="dxa"/>
            </w:tcMar>
            <w:vAlign w:val="bottom"/>
          </w:tcPr>
          <w:p w14:paraId="5902AB8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8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8C" w14:textId="77777777" w:rsidR="0084406A" w:rsidRDefault="002B18AF">
            <w:pPr>
              <w:jc w:val="right"/>
              <w:textAlignment w:val="bottom"/>
            </w:pPr>
            <w:r>
              <w:rPr>
                <w:rFonts w:ascii="Arial" w:eastAsia="宋体" w:hAnsi="Arial" w:cs="Arial"/>
                <w:color w:val="000000"/>
                <w:sz w:val="20"/>
                <w:szCs w:val="20"/>
              </w:rPr>
              <w:t>95 </w:t>
            </w:r>
          </w:p>
        </w:tc>
        <w:tc>
          <w:tcPr>
            <w:tcW w:w="0" w:type="auto"/>
            <w:shd w:val="clear" w:color="auto" w:fill="CCEEFF"/>
            <w:tcMar>
              <w:top w:w="40" w:type="dxa"/>
              <w:left w:w="0" w:type="dxa"/>
              <w:bottom w:w="40" w:type="dxa"/>
              <w:right w:w="20" w:type="dxa"/>
            </w:tcMar>
            <w:vAlign w:val="bottom"/>
          </w:tcPr>
          <w:p w14:paraId="5902AB8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8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8F" w14:textId="77777777" w:rsidR="0084406A" w:rsidRDefault="002B18AF">
            <w:pPr>
              <w:jc w:val="right"/>
              <w:textAlignment w:val="bottom"/>
            </w:pPr>
            <w:r>
              <w:rPr>
                <w:rFonts w:ascii="Arial" w:eastAsia="宋体"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5902AB90" w14:textId="77777777" w:rsidR="0084406A" w:rsidRDefault="0084406A">
            <w:pPr>
              <w:jc w:val="right"/>
              <w:rPr>
                <w:rFonts w:ascii="宋体"/>
              </w:rPr>
            </w:pPr>
          </w:p>
        </w:tc>
      </w:tr>
      <w:tr w:rsidR="0084406A" w14:paraId="5902AB9B" w14:textId="77777777">
        <w:tc>
          <w:tcPr>
            <w:tcW w:w="0" w:type="auto"/>
            <w:gridSpan w:val="3"/>
            <w:shd w:val="clear" w:color="auto" w:fill="FFFFFF"/>
            <w:tcMar>
              <w:top w:w="40" w:type="dxa"/>
              <w:left w:w="20" w:type="dxa"/>
              <w:bottom w:w="40" w:type="dxa"/>
              <w:right w:w="20" w:type="dxa"/>
            </w:tcMar>
            <w:vAlign w:val="bottom"/>
          </w:tcPr>
          <w:p w14:paraId="5902AB92" w14:textId="77777777" w:rsidR="0084406A" w:rsidRDefault="002B18AF">
            <w:pPr>
              <w:textAlignment w:val="bottom"/>
            </w:pPr>
            <w:r>
              <w:rPr>
                <w:rFonts w:ascii="Arial" w:eastAsia="宋体" w:hAnsi="Arial" w:cs="Arial"/>
                <w:color w:val="000000"/>
                <w:sz w:val="20"/>
                <w:szCs w:val="20"/>
              </w:rPr>
              <w:t>Total stock-based compensation expense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B93" w14:textId="77777777" w:rsidR="0084406A" w:rsidRDefault="002B18AF">
            <w:pPr>
              <w:jc w:val="right"/>
              <w:textAlignment w:val="bottom"/>
            </w:pPr>
            <w:r>
              <w:rPr>
                <w:rFonts w:ascii="Arial" w:eastAsia="宋体" w:hAnsi="Arial" w:cs="Arial"/>
                <w:color w:val="000000"/>
                <w:sz w:val="20"/>
                <w:szCs w:val="20"/>
              </w:rPr>
              <w:t>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B9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95"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B96" w14:textId="77777777" w:rsidR="0084406A" w:rsidRDefault="002B18AF">
            <w:pPr>
              <w:jc w:val="right"/>
              <w:textAlignment w:val="bottom"/>
            </w:pPr>
            <w:r>
              <w:rPr>
                <w:rFonts w:ascii="Arial" w:eastAsia="宋体" w:hAnsi="Arial" w:cs="Arial"/>
                <w:color w:val="000000"/>
                <w:sz w:val="20"/>
                <w:szCs w:val="20"/>
              </w:rPr>
              <w:t>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B9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98"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B99" w14:textId="77777777" w:rsidR="0084406A" w:rsidRDefault="002B18AF">
            <w:pPr>
              <w:jc w:val="right"/>
              <w:textAlignment w:val="bottom"/>
            </w:pPr>
            <w:r>
              <w:rPr>
                <w:rFonts w:ascii="Arial" w:eastAsia="宋体" w:hAnsi="Arial" w:cs="Arial"/>
                <w:color w:val="000000"/>
                <w:sz w:val="20"/>
                <w:szCs w:val="20"/>
              </w:rPr>
              <w:t>197 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B9A" w14:textId="77777777" w:rsidR="0084406A" w:rsidRDefault="0084406A">
            <w:pPr>
              <w:jc w:val="right"/>
              <w:rPr>
                <w:rFonts w:ascii="宋体"/>
              </w:rPr>
            </w:pPr>
          </w:p>
        </w:tc>
      </w:tr>
      <w:tr w:rsidR="0084406A" w14:paraId="5902ABA5" w14:textId="77777777">
        <w:tc>
          <w:tcPr>
            <w:tcW w:w="0" w:type="auto"/>
            <w:gridSpan w:val="3"/>
            <w:shd w:val="clear" w:color="auto" w:fill="CCEEFF"/>
            <w:tcMar>
              <w:top w:w="40" w:type="dxa"/>
              <w:left w:w="20" w:type="dxa"/>
              <w:bottom w:w="40" w:type="dxa"/>
              <w:right w:w="20" w:type="dxa"/>
            </w:tcMar>
            <w:vAlign w:val="bottom"/>
          </w:tcPr>
          <w:p w14:paraId="5902AB9C" w14:textId="77777777" w:rsidR="0084406A" w:rsidRDefault="002B18AF">
            <w:pPr>
              <w:textAlignment w:val="bottom"/>
            </w:pPr>
            <w:r>
              <w:rPr>
                <w:rFonts w:ascii="Arial" w:eastAsia="宋体" w:hAnsi="Arial" w:cs="Arial"/>
                <w:color w:val="000000"/>
                <w:sz w:val="20"/>
                <w:szCs w:val="20"/>
              </w:rPr>
              <w:t>Income tax benefit</w:t>
            </w:r>
          </w:p>
        </w:tc>
        <w:tc>
          <w:tcPr>
            <w:tcW w:w="0" w:type="auto"/>
            <w:gridSpan w:val="2"/>
            <w:shd w:val="clear" w:color="auto" w:fill="CCEEFF"/>
            <w:tcMar>
              <w:top w:w="40" w:type="dxa"/>
              <w:left w:w="20" w:type="dxa"/>
              <w:bottom w:w="40" w:type="dxa"/>
              <w:right w:w="0" w:type="dxa"/>
            </w:tcMar>
            <w:vAlign w:val="bottom"/>
          </w:tcPr>
          <w:p w14:paraId="5902AB9D" w14:textId="77777777" w:rsidR="0084406A" w:rsidRDefault="002B18AF">
            <w:pPr>
              <w:jc w:val="right"/>
              <w:textAlignment w:val="bottom"/>
            </w:pPr>
            <w:r>
              <w:rPr>
                <w:rFonts w:ascii="Arial" w:eastAsia="宋体" w:hAnsi="Arial" w:cs="Arial"/>
                <w:color w:val="000000"/>
                <w:sz w:val="20"/>
                <w:szCs w:val="20"/>
              </w:rPr>
              <w:t>(58)</w:t>
            </w:r>
          </w:p>
        </w:tc>
        <w:tc>
          <w:tcPr>
            <w:tcW w:w="0" w:type="auto"/>
            <w:shd w:val="clear" w:color="auto" w:fill="CCEEFF"/>
            <w:tcMar>
              <w:top w:w="40" w:type="dxa"/>
              <w:left w:w="0" w:type="dxa"/>
              <w:bottom w:w="40" w:type="dxa"/>
              <w:right w:w="20" w:type="dxa"/>
            </w:tcMar>
            <w:vAlign w:val="bottom"/>
          </w:tcPr>
          <w:p w14:paraId="5902AB9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9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A0" w14:textId="77777777" w:rsidR="0084406A" w:rsidRDefault="002B18AF">
            <w:pPr>
              <w:jc w:val="right"/>
              <w:textAlignment w:val="bottom"/>
            </w:pPr>
            <w:r>
              <w:rPr>
                <w:rFonts w:ascii="Arial" w:eastAsia="宋体" w:hAnsi="Arial" w:cs="Arial"/>
                <w:color w:val="000000"/>
                <w:sz w:val="20"/>
                <w:szCs w:val="20"/>
              </w:rPr>
              <w:t>(42)</w:t>
            </w:r>
          </w:p>
        </w:tc>
        <w:tc>
          <w:tcPr>
            <w:tcW w:w="0" w:type="auto"/>
            <w:shd w:val="clear" w:color="auto" w:fill="CCEEFF"/>
            <w:tcMar>
              <w:top w:w="40" w:type="dxa"/>
              <w:left w:w="0" w:type="dxa"/>
              <w:bottom w:w="40" w:type="dxa"/>
              <w:right w:w="20" w:type="dxa"/>
            </w:tcMar>
            <w:vAlign w:val="bottom"/>
          </w:tcPr>
          <w:p w14:paraId="5902ABA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BA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A3"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A4" w14:textId="77777777" w:rsidR="0084406A" w:rsidRDefault="0084406A">
            <w:pPr>
              <w:jc w:val="right"/>
              <w:rPr>
                <w:rFonts w:ascii="宋体"/>
              </w:rPr>
            </w:pPr>
          </w:p>
        </w:tc>
      </w:tr>
      <w:tr w:rsidR="0084406A" w14:paraId="5902ABB2" w14:textId="77777777">
        <w:tc>
          <w:tcPr>
            <w:tcW w:w="0" w:type="auto"/>
            <w:gridSpan w:val="3"/>
            <w:shd w:val="clear" w:color="auto" w:fill="FFFFFF"/>
            <w:tcMar>
              <w:top w:w="40" w:type="dxa"/>
              <w:left w:w="20" w:type="dxa"/>
              <w:bottom w:w="40" w:type="dxa"/>
              <w:right w:w="20" w:type="dxa"/>
            </w:tcMar>
            <w:vAlign w:val="bottom"/>
          </w:tcPr>
          <w:p w14:paraId="5902ABA6" w14:textId="77777777" w:rsidR="0084406A" w:rsidRDefault="002B18AF">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stock-based compensation expense,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A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BA8" w14:textId="77777777" w:rsidR="0084406A" w:rsidRDefault="002B18AF">
            <w:pPr>
              <w:jc w:val="right"/>
              <w:textAlignment w:val="bottom"/>
            </w:pPr>
            <w:r>
              <w:rPr>
                <w:rFonts w:ascii="Arial" w:eastAsia="宋体" w:hAnsi="Arial" w:cs="Arial"/>
                <w:color w:val="000000"/>
                <w:sz w:val="20"/>
                <w:szCs w:val="20"/>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A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AA"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A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BAC" w14:textId="77777777" w:rsidR="0084406A" w:rsidRDefault="002B18AF">
            <w:pPr>
              <w:jc w:val="right"/>
              <w:textAlignment w:val="bottom"/>
            </w:pPr>
            <w:r>
              <w:rPr>
                <w:rFonts w:ascii="Arial" w:eastAsia="宋体" w:hAnsi="Arial" w:cs="Arial"/>
                <w:color w:val="000000"/>
                <w:sz w:val="20"/>
                <w:szCs w:val="20"/>
              </w:rPr>
              <w:t>232 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A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BAE"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BA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BB0" w14:textId="77777777" w:rsidR="0084406A" w:rsidRDefault="002B18AF">
            <w:pPr>
              <w:jc w:val="right"/>
              <w:textAlignment w:val="bottom"/>
            </w:pPr>
            <w:r>
              <w:rPr>
                <w:rFonts w:ascii="Arial" w:eastAsia="宋体" w:hAnsi="Arial" w:cs="Arial"/>
                <w:color w:val="000000"/>
                <w:sz w:val="20"/>
                <w:szCs w:val="20"/>
              </w:rPr>
              <w:t>197 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BB1" w14:textId="77777777" w:rsidR="0084406A" w:rsidRDefault="0084406A">
            <w:pPr>
              <w:jc w:val="right"/>
              <w:rPr>
                <w:rFonts w:ascii="宋体"/>
              </w:rPr>
            </w:pPr>
          </w:p>
        </w:tc>
      </w:tr>
      <w:tr w:rsidR="0084406A" w14:paraId="5902ABB9" w14:textId="77777777">
        <w:trPr>
          <w:hidden/>
        </w:trPr>
        <w:tc>
          <w:tcPr>
            <w:tcW w:w="0" w:type="auto"/>
            <w:gridSpan w:val="3"/>
            <w:shd w:val="clear" w:color="auto" w:fill="auto"/>
            <w:vAlign w:val="bottom"/>
          </w:tcPr>
          <w:p w14:paraId="5902ABB3" w14:textId="77777777" w:rsidR="0084406A" w:rsidRDefault="0084406A">
            <w:pPr>
              <w:rPr>
                <w:rFonts w:ascii="宋体"/>
                <w:vanish/>
              </w:rPr>
            </w:pPr>
          </w:p>
        </w:tc>
        <w:tc>
          <w:tcPr>
            <w:tcW w:w="0" w:type="auto"/>
            <w:gridSpan w:val="3"/>
            <w:shd w:val="clear" w:color="auto" w:fill="auto"/>
            <w:vAlign w:val="bottom"/>
          </w:tcPr>
          <w:p w14:paraId="5902ABB4" w14:textId="77777777" w:rsidR="0084406A" w:rsidRDefault="0084406A">
            <w:pPr>
              <w:rPr>
                <w:rFonts w:ascii="宋体"/>
                <w:vanish/>
              </w:rPr>
            </w:pPr>
          </w:p>
        </w:tc>
        <w:tc>
          <w:tcPr>
            <w:tcW w:w="0" w:type="auto"/>
            <w:gridSpan w:val="3"/>
            <w:shd w:val="clear" w:color="auto" w:fill="auto"/>
            <w:vAlign w:val="bottom"/>
          </w:tcPr>
          <w:p w14:paraId="5902ABB5" w14:textId="77777777" w:rsidR="0084406A" w:rsidRDefault="0084406A">
            <w:pPr>
              <w:rPr>
                <w:rFonts w:ascii="宋体"/>
                <w:vanish/>
              </w:rPr>
            </w:pPr>
          </w:p>
        </w:tc>
        <w:tc>
          <w:tcPr>
            <w:tcW w:w="0" w:type="auto"/>
            <w:gridSpan w:val="3"/>
            <w:shd w:val="clear" w:color="auto" w:fill="auto"/>
            <w:vAlign w:val="bottom"/>
          </w:tcPr>
          <w:p w14:paraId="5902ABB6" w14:textId="77777777" w:rsidR="0084406A" w:rsidRDefault="0084406A">
            <w:pPr>
              <w:rPr>
                <w:rFonts w:ascii="宋体"/>
                <w:vanish/>
              </w:rPr>
            </w:pPr>
          </w:p>
        </w:tc>
        <w:tc>
          <w:tcPr>
            <w:tcW w:w="0" w:type="auto"/>
            <w:gridSpan w:val="3"/>
            <w:shd w:val="clear" w:color="auto" w:fill="auto"/>
            <w:vAlign w:val="bottom"/>
          </w:tcPr>
          <w:p w14:paraId="5902ABB7" w14:textId="77777777" w:rsidR="0084406A" w:rsidRDefault="0084406A">
            <w:pPr>
              <w:rPr>
                <w:rFonts w:ascii="宋体"/>
                <w:vanish/>
              </w:rPr>
            </w:pPr>
          </w:p>
        </w:tc>
        <w:tc>
          <w:tcPr>
            <w:tcW w:w="0" w:type="auto"/>
            <w:gridSpan w:val="3"/>
            <w:shd w:val="clear" w:color="auto" w:fill="auto"/>
            <w:vAlign w:val="bottom"/>
          </w:tcPr>
          <w:p w14:paraId="5902ABB8" w14:textId="77777777" w:rsidR="0084406A" w:rsidRDefault="0084406A">
            <w:pPr>
              <w:rPr>
                <w:rFonts w:ascii="宋体"/>
                <w:vanish/>
              </w:rPr>
            </w:pPr>
          </w:p>
        </w:tc>
      </w:tr>
      <w:tr w:rsidR="0084406A" w14:paraId="5902ABC0" w14:textId="77777777">
        <w:trPr>
          <w:hidden/>
        </w:trPr>
        <w:tc>
          <w:tcPr>
            <w:tcW w:w="0" w:type="auto"/>
            <w:gridSpan w:val="3"/>
            <w:shd w:val="clear" w:color="auto" w:fill="auto"/>
            <w:vAlign w:val="bottom"/>
          </w:tcPr>
          <w:p w14:paraId="5902ABBA" w14:textId="77777777" w:rsidR="0084406A" w:rsidRDefault="0084406A">
            <w:pPr>
              <w:rPr>
                <w:rFonts w:ascii="宋体"/>
                <w:vanish/>
              </w:rPr>
            </w:pPr>
          </w:p>
        </w:tc>
        <w:tc>
          <w:tcPr>
            <w:tcW w:w="0" w:type="auto"/>
            <w:gridSpan w:val="3"/>
            <w:shd w:val="clear" w:color="auto" w:fill="auto"/>
            <w:vAlign w:val="bottom"/>
          </w:tcPr>
          <w:p w14:paraId="5902ABBB" w14:textId="77777777" w:rsidR="0084406A" w:rsidRDefault="0084406A">
            <w:pPr>
              <w:rPr>
                <w:rFonts w:ascii="宋体"/>
                <w:vanish/>
              </w:rPr>
            </w:pPr>
          </w:p>
        </w:tc>
        <w:tc>
          <w:tcPr>
            <w:tcW w:w="0" w:type="auto"/>
            <w:gridSpan w:val="3"/>
            <w:shd w:val="clear" w:color="auto" w:fill="auto"/>
            <w:vAlign w:val="bottom"/>
          </w:tcPr>
          <w:p w14:paraId="5902ABBC" w14:textId="77777777" w:rsidR="0084406A" w:rsidRDefault="0084406A">
            <w:pPr>
              <w:rPr>
                <w:rFonts w:ascii="宋体"/>
                <w:vanish/>
              </w:rPr>
            </w:pPr>
          </w:p>
        </w:tc>
        <w:tc>
          <w:tcPr>
            <w:tcW w:w="0" w:type="auto"/>
            <w:gridSpan w:val="3"/>
            <w:shd w:val="clear" w:color="auto" w:fill="auto"/>
            <w:vAlign w:val="bottom"/>
          </w:tcPr>
          <w:p w14:paraId="5902ABBD" w14:textId="77777777" w:rsidR="0084406A" w:rsidRDefault="0084406A">
            <w:pPr>
              <w:rPr>
                <w:rFonts w:ascii="宋体"/>
                <w:vanish/>
              </w:rPr>
            </w:pPr>
          </w:p>
        </w:tc>
        <w:tc>
          <w:tcPr>
            <w:tcW w:w="0" w:type="auto"/>
            <w:gridSpan w:val="3"/>
            <w:shd w:val="clear" w:color="auto" w:fill="auto"/>
            <w:vAlign w:val="bottom"/>
          </w:tcPr>
          <w:p w14:paraId="5902ABBE" w14:textId="77777777" w:rsidR="0084406A" w:rsidRDefault="0084406A">
            <w:pPr>
              <w:rPr>
                <w:rFonts w:ascii="宋体"/>
                <w:vanish/>
              </w:rPr>
            </w:pPr>
          </w:p>
        </w:tc>
        <w:tc>
          <w:tcPr>
            <w:tcW w:w="0" w:type="auto"/>
            <w:gridSpan w:val="3"/>
            <w:shd w:val="clear" w:color="auto" w:fill="auto"/>
            <w:vAlign w:val="bottom"/>
          </w:tcPr>
          <w:p w14:paraId="5902ABBF" w14:textId="77777777" w:rsidR="0084406A" w:rsidRDefault="0084406A">
            <w:pPr>
              <w:rPr>
                <w:rFonts w:ascii="宋体"/>
                <w:vanish/>
              </w:rPr>
            </w:pPr>
          </w:p>
        </w:tc>
      </w:tr>
    </w:tbl>
    <w:p w14:paraId="5902ABC1" w14:textId="77777777" w:rsidR="0084406A" w:rsidRDefault="002B18AF">
      <w:pPr>
        <w:spacing w:before="180"/>
        <w:jc w:val="both"/>
      </w:pPr>
      <w:r>
        <w:rPr>
          <w:rFonts w:ascii="Arial" w:eastAsia="宋体" w:hAnsi="Arial" w:cs="Arial"/>
          <w:i/>
          <w:iCs/>
          <w:color w:val="000000"/>
          <w:sz w:val="20"/>
          <w:szCs w:val="20"/>
        </w:rPr>
        <w:t xml:space="preserve">Stock Options. </w:t>
      </w:r>
      <w:r>
        <w:rPr>
          <w:rFonts w:ascii="Arial" w:eastAsia="宋体" w:hAnsi="Arial" w:cs="Arial"/>
          <w:color w:val="000000"/>
          <w:sz w:val="20"/>
          <w:szCs w:val="20"/>
        </w:rPr>
        <w:t xml:space="preserve">The weighted-average estimated fair value of employee stock options granted for the years ended December 25, 2021, December 26, 2020 and December 28, 2019 was $46.07, </w:t>
      </w:r>
      <w:r>
        <w:rPr>
          <w:rFonts w:ascii="Arial" w:eastAsia="宋体" w:hAnsi="Arial" w:cs="Arial"/>
          <w:color w:val="000000"/>
          <w:sz w:val="20"/>
          <w:szCs w:val="20"/>
        </w:rPr>
        <w:t>$38.49 and $13.31 per share, respectively, using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677"/>
        <w:gridCol w:w="36"/>
        <w:gridCol w:w="47"/>
        <w:gridCol w:w="1253"/>
        <w:gridCol w:w="198"/>
        <w:gridCol w:w="36"/>
        <w:gridCol w:w="36"/>
        <w:gridCol w:w="36"/>
        <w:gridCol w:w="47"/>
        <w:gridCol w:w="1190"/>
        <w:gridCol w:w="198"/>
        <w:gridCol w:w="36"/>
        <w:gridCol w:w="36"/>
        <w:gridCol w:w="36"/>
        <w:gridCol w:w="47"/>
        <w:gridCol w:w="1192"/>
        <w:gridCol w:w="198"/>
      </w:tblGrid>
      <w:tr w:rsidR="0084406A" w14:paraId="5902ABD4" w14:textId="77777777">
        <w:tc>
          <w:tcPr>
            <w:tcW w:w="50" w:type="pct"/>
            <w:shd w:val="clear" w:color="auto" w:fill="auto"/>
            <w:vAlign w:val="bottom"/>
          </w:tcPr>
          <w:p w14:paraId="5902ABC2" w14:textId="77777777" w:rsidR="0084406A" w:rsidRDefault="0084406A">
            <w:pPr>
              <w:rPr>
                <w:rFonts w:ascii="宋体"/>
              </w:rPr>
            </w:pPr>
          </w:p>
        </w:tc>
        <w:tc>
          <w:tcPr>
            <w:tcW w:w="2262" w:type="pct"/>
            <w:shd w:val="clear" w:color="auto" w:fill="auto"/>
            <w:vAlign w:val="bottom"/>
          </w:tcPr>
          <w:p w14:paraId="5902ABC3" w14:textId="77777777" w:rsidR="0084406A" w:rsidRDefault="0084406A">
            <w:pPr>
              <w:rPr>
                <w:rFonts w:ascii="宋体"/>
              </w:rPr>
            </w:pPr>
          </w:p>
        </w:tc>
        <w:tc>
          <w:tcPr>
            <w:tcW w:w="5" w:type="pct"/>
            <w:shd w:val="clear" w:color="auto" w:fill="auto"/>
            <w:vAlign w:val="bottom"/>
          </w:tcPr>
          <w:p w14:paraId="5902ABC4" w14:textId="77777777" w:rsidR="0084406A" w:rsidRDefault="0084406A">
            <w:pPr>
              <w:rPr>
                <w:rFonts w:ascii="宋体"/>
              </w:rPr>
            </w:pPr>
          </w:p>
        </w:tc>
        <w:tc>
          <w:tcPr>
            <w:tcW w:w="50" w:type="pct"/>
            <w:shd w:val="clear" w:color="auto" w:fill="auto"/>
            <w:vAlign w:val="bottom"/>
          </w:tcPr>
          <w:p w14:paraId="5902ABC5" w14:textId="77777777" w:rsidR="0084406A" w:rsidRDefault="0084406A">
            <w:pPr>
              <w:rPr>
                <w:rFonts w:ascii="宋体"/>
              </w:rPr>
            </w:pPr>
          </w:p>
        </w:tc>
        <w:tc>
          <w:tcPr>
            <w:tcW w:w="814" w:type="pct"/>
            <w:shd w:val="clear" w:color="auto" w:fill="auto"/>
            <w:vAlign w:val="bottom"/>
          </w:tcPr>
          <w:p w14:paraId="5902ABC6" w14:textId="77777777" w:rsidR="0084406A" w:rsidRDefault="0084406A">
            <w:pPr>
              <w:rPr>
                <w:rFonts w:ascii="宋体"/>
              </w:rPr>
            </w:pPr>
          </w:p>
        </w:tc>
        <w:tc>
          <w:tcPr>
            <w:tcW w:w="5" w:type="pct"/>
            <w:shd w:val="clear" w:color="auto" w:fill="auto"/>
            <w:vAlign w:val="bottom"/>
          </w:tcPr>
          <w:p w14:paraId="5902ABC7" w14:textId="77777777" w:rsidR="0084406A" w:rsidRDefault="0084406A">
            <w:pPr>
              <w:rPr>
                <w:rFonts w:ascii="宋体"/>
              </w:rPr>
            </w:pPr>
          </w:p>
        </w:tc>
        <w:tc>
          <w:tcPr>
            <w:tcW w:w="5" w:type="pct"/>
            <w:shd w:val="clear" w:color="auto" w:fill="auto"/>
            <w:vAlign w:val="bottom"/>
          </w:tcPr>
          <w:p w14:paraId="5902ABC8" w14:textId="77777777" w:rsidR="0084406A" w:rsidRDefault="0084406A">
            <w:pPr>
              <w:rPr>
                <w:rFonts w:ascii="宋体"/>
              </w:rPr>
            </w:pPr>
          </w:p>
        </w:tc>
        <w:tc>
          <w:tcPr>
            <w:tcW w:w="26" w:type="pct"/>
            <w:shd w:val="clear" w:color="auto" w:fill="auto"/>
            <w:vAlign w:val="bottom"/>
          </w:tcPr>
          <w:p w14:paraId="5902ABC9" w14:textId="77777777" w:rsidR="0084406A" w:rsidRDefault="0084406A">
            <w:pPr>
              <w:rPr>
                <w:rFonts w:ascii="宋体"/>
              </w:rPr>
            </w:pPr>
          </w:p>
        </w:tc>
        <w:tc>
          <w:tcPr>
            <w:tcW w:w="5" w:type="pct"/>
            <w:shd w:val="clear" w:color="auto" w:fill="auto"/>
            <w:vAlign w:val="bottom"/>
          </w:tcPr>
          <w:p w14:paraId="5902ABCA" w14:textId="77777777" w:rsidR="0084406A" w:rsidRDefault="0084406A">
            <w:pPr>
              <w:rPr>
                <w:rFonts w:ascii="宋体"/>
              </w:rPr>
            </w:pPr>
          </w:p>
        </w:tc>
        <w:tc>
          <w:tcPr>
            <w:tcW w:w="50" w:type="pct"/>
            <w:shd w:val="clear" w:color="auto" w:fill="auto"/>
            <w:vAlign w:val="bottom"/>
          </w:tcPr>
          <w:p w14:paraId="5902ABCB" w14:textId="77777777" w:rsidR="0084406A" w:rsidRDefault="0084406A">
            <w:pPr>
              <w:rPr>
                <w:rFonts w:ascii="宋体"/>
              </w:rPr>
            </w:pPr>
          </w:p>
        </w:tc>
        <w:tc>
          <w:tcPr>
            <w:tcW w:w="814" w:type="pct"/>
            <w:shd w:val="clear" w:color="auto" w:fill="auto"/>
            <w:vAlign w:val="bottom"/>
          </w:tcPr>
          <w:p w14:paraId="5902ABCC" w14:textId="77777777" w:rsidR="0084406A" w:rsidRDefault="0084406A">
            <w:pPr>
              <w:rPr>
                <w:rFonts w:ascii="宋体"/>
              </w:rPr>
            </w:pPr>
          </w:p>
        </w:tc>
        <w:tc>
          <w:tcPr>
            <w:tcW w:w="5" w:type="pct"/>
            <w:shd w:val="clear" w:color="auto" w:fill="auto"/>
            <w:vAlign w:val="bottom"/>
          </w:tcPr>
          <w:p w14:paraId="5902ABCD" w14:textId="77777777" w:rsidR="0084406A" w:rsidRDefault="0084406A">
            <w:pPr>
              <w:rPr>
                <w:rFonts w:ascii="宋体"/>
              </w:rPr>
            </w:pPr>
          </w:p>
        </w:tc>
        <w:tc>
          <w:tcPr>
            <w:tcW w:w="5" w:type="pct"/>
            <w:shd w:val="clear" w:color="auto" w:fill="auto"/>
            <w:vAlign w:val="bottom"/>
          </w:tcPr>
          <w:p w14:paraId="5902ABCE" w14:textId="77777777" w:rsidR="0084406A" w:rsidRDefault="0084406A">
            <w:pPr>
              <w:rPr>
                <w:rFonts w:ascii="宋体"/>
              </w:rPr>
            </w:pPr>
          </w:p>
        </w:tc>
        <w:tc>
          <w:tcPr>
            <w:tcW w:w="26" w:type="pct"/>
            <w:shd w:val="clear" w:color="auto" w:fill="auto"/>
            <w:vAlign w:val="bottom"/>
          </w:tcPr>
          <w:p w14:paraId="5902ABCF" w14:textId="77777777" w:rsidR="0084406A" w:rsidRDefault="0084406A">
            <w:pPr>
              <w:rPr>
                <w:rFonts w:ascii="宋体"/>
              </w:rPr>
            </w:pPr>
          </w:p>
        </w:tc>
        <w:tc>
          <w:tcPr>
            <w:tcW w:w="5" w:type="pct"/>
            <w:shd w:val="clear" w:color="auto" w:fill="auto"/>
            <w:vAlign w:val="bottom"/>
          </w:tcPr>
          <w:p w14:paraId="5902ABD0" w14:textId="77777777" w:rsidR="0084406A" w:rsidRDefault="0084406A">
            <w:pPr>
              <w:rPr>
                <w:rFonts w:ascii="宋体"/>
              </w:rPr>
            </w:pPr>
          </w:p>
        </w:tc>
        <w:tc>
          <w:tcPr>
            <w:tcW w:w="50" w:type="pct"/>
            <w:shd w:val="clear" w:color="auto" w:fill="auto"/>
            <w:vAlign w:val="bottom"/>
          </w:tcPr>
          <w:p w14:paraId="5902ABD1" w14:textId="77777777" w:rsidR="0084406A" w:rsidRDefault="0084406A">
            <w:pPr>
              <w:rPr>
                <w:rFonts w:ascii="宋体"/>
              </w:rPr>
            </w:pPr>
          </w:p>
        </w:tc>
        <w:tc>
          <w:tcPr>
            <w:tcW w:w="815" w:type="pct"/>
            <w:shd w:val="clear" w:color="auto" w:fill="auto"/>
            <w:vAlign w:val="bottom"/>
          </w:tcPr>
          <w:p w14:paraId="5902ABD2" w14:textId="77777777" w:rsidR="0084406A" w:rsidRDefault="0084406A">
            <w:pPr>
              <w:rPr>
                <w:rFonts w:ascii="宋体"/>
              </w:rPr>
            </w:pPr>
          </w:p>
        </w:tc>
        <w:tc>
          <w:tcPr>
            <w:tcW w:w="5" w:type="pct"/>
            <w:shd w:val="clear" w:color="auto" w:fill="auto"/>
            <w:vAlign w:val="bottom"/>
          </w:tcPr>
          <w:p w14:paraId="5902ABD3" w14:textId="77777777" w:rsidR="0084406A" w:rsidRDefault="0084406A">
            <w:pPr>
              <w:rPr>
                <w:rFonts w:ascii="宋体"/>
              </w:rPr>
            </w:pPr>
          </w:p>
        </w:tc>
      </w:tr>
      <w:tr w:rsidR="0084406A" w14:paraId="5902ABDB" w14:textId="77777777">
        <w:tc>
          <w:tcPr>
            <w:tcW w:w="0" w:type="auto"/>
            <w:gridSpan w:val="3"/>
            <w:shd w:val="clear" w:color="auto" w:fill="auto"/>
            <w:tcMar>
              <w:top w:w="0" w:type="dxa"/>
              <w:left w:w="20" w:type="dxa"/>
              <w:bottom w:w="0" w:type="dxa"/>
              <w:right w:w="20" w:type="dxa"/>
            </w:tcMar>
            <w:vAlign w:val="bottom"/>
          </w:tcPr>
          <w:p w14:paraId="5902ABD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D6"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BD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D8"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BD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DA"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BE4" w14:textId="77777777">
        <w:tc>
          <w:tcPr>
            <w:tcW w:w="0" w:type="auto"/>
            <w:gridSpan w:val="3"/>
            <w:shd w:val="clear" w:color="auto" w:fill="CCEEFF"/>
            <w:tcMar>
              <w:top w:w="40" w:type="dxa"/>
              <w:left w:w="20" w:type="dxa"/>
              <w:bottom w:w="40" w:type="dxa"/>
              <w:right w:w="20" w:type="dxa"/>
            </w:tcMar>
            <w:vAlign w:val="bottom"/>
          </w:tcPr>
          <w:p w14:paraId="5902ABDC" w14:textId="77777777" w:rsidR="0084406A" w:rsidRDefault="002B18AF">
            <w:pPr>
              <w:textAlignment w:val="bottom"/>
            </w:pPr>
            <w:r>
              <w:rPr>
                <w:rFonts w:ascii="Arial" w:eastAsia="宋体" w:hAnsi="Arial" w:cs="Arial"/>
                <w:color w:val="000000"/>
                <w:sz w:val="20"/>
                <w:szCs w:val="20"/>
              </w:rPr>
              <w:t>Expected volatility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BDD" w14:textId="77777777" w:rsidR="0084406A" w:rsidRDefault="002B18AF">
            <w:pPr>
              <w:jc w:val="right"/>
              <w:textAlignment w:val="bottom"/>
            </w:pPr>
            <w:r>
              <w:rPr>
                <w:rFonts w:ascii="Arial" w:eastAsia="宋体" w:hAnsi="Arial" w:cs="Arial"/>
                <w:color w:val="000000"/>
                <w:sz w:val="20"/>
                <w:szCs w:val="20"/>
              </w:rPr>
              <w:t>51.77 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BDE"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BDF"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BE0" w14:textId="77777777" w:rsidR="0084406A" w:rsidRDefault="002B18AF">
            <w:pPr>
              <w:jc w:val="right"/>
              <w:textAlignment w:val="bottom"/>
            </w:pPr>
            <w:r>
              <w:rPr>
                <w:rFonts w:ascii="Arial" w:eastAsia="宋体" w:hAnsi="Arial" w:cs="Arial"/>
                <w:color w:val="000000"/>
                <w:sz w:val="20"/>
                <w:szCs w:val="20"/>
              </w:rPr>
              <w:t>57.87 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BE1"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BE2"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ABE3" w14:textId="77777777" w:rsidR="0084406A" w:rsidRDefault="002B18AF">
            <w:pPr>
              <w:jc w:val="right"/>
              <w:textAlignment w:val="bottom"/>
            </w:pPr>
            <w:r>
              <w:rPr>
                <w:rFonts w:ascii="Arial" w:eastAsia="宋体" w:hAnsi="Arial" w:cs="Arial"/>
                <w:color w:val="000000"/>
                <w:sz w:val="20"/>
                <w:szCs w:val="20"/>
              </w:rPr>
              <w:t>52.60% - 56.51%</w:t>
            </w:r>
          </w:p>
        </w:tc>
      </w:tr>
      <w:tr w:rsidR="0084406A" w14:paraId="5902ABED" w14:textId="77777777">
        <w:tc>
          <w:tcPr>
            <w:tcW w:w="0" w:type="auto"/>
            <w:gridSpan w:val="3"/>
            <w:shd w:val="clear" w:color="auto" w:fill="FFFFFF"/>
            <w:tcMar>
              <w:top w:w="40" w:type="dxa"/>
              <w:left w:w="20" w:type="dxa"/>
              <w:bottom w:w="40" w:type="dxa"/>
              <w:right w:w="20" w:type="dxa"/>
            </w:tcMar>
            <w:vAlign w:val="bottom"/>
          </w:tcPr>
          <w:p w14:paraId="5902ABE5" w14:textId="77777777" w:rsidR="0084406A" w:rsidRDefault="002B18AF">
            <w:pPr>
              <w:textAlignment w:val="bottom"/>
            </w:pPr>
            <w:r>
              <w:rPr>
                <w:rFonts w:ascii="Arial" w:eastAsia="宋体" w:hAnsi="Arial" w:cs="Arial"/>
                <w:color w:val="000000"/>
                <w:sz w:val="20"/>
                <w:szCs w:val="20"/>
              </w:rPr>
              <w:t>Risk-free interest rate</w:t>
            </w:r>
          </w:p>
        </w:tc>
        <w:tc>
          <w:tcPr>
            <w:tcW w:w="0" w:type="auto"/>
            <w:gridSpan w:val="2"/>
            <w:shd w:val="clear" w:color="auto" w:fill="auto"/>
            <w:tcMar>
              <w:top w:w="40" w:type="dxa"/>
              <w:left w:w="20" w:type="dxa"/>
              <w:bottom w:w="40" w:type="dxa"/>
              <w:right w:w="0" w:type="dxa"/>
            </w:tcMar>
            <w:vAlign w:val="bottom"/>
          </w:tcPr>
          <w:p w14:paraId="5902ABE6" w14:textId="77777777" w:rsidR="0084406A" w:rsidRDefault="002B18AF">
            <w:pPr>
              <w:jc w:val="right"/>
              <w:textAlignment w:val="bottom"/>
            </w:pPr>
            <w:r>
              <w:rPr>
                <w:rFonts w:ascii="Arial" w:eastAsia="宋体" w:hAnsi="Arial" w:cs="Arial"/>
                <w:color w:val="000000"/>
                <w:sz w:val="20"/>
                <w:szCs w:val="20"/>
              </w:rPr>
              <w:t>0.69 </w:t>
            </w:r>
          </w:p>
        </w:tc>
        <w:tc>
          <w:tcPr>
            <w:tcW w:w="0" w:type="auto"/>
            <w:shd w:val="clear" w:color="auto" w:fill="auto"/>
            <w:tcMar>
              <w:top w:w="40" w:type="dxa"/>
              <w:left w:w="0" w:type="dxa"/>
              <w:bottom w:w="40" w:type="dxa"/>
              <w:right w:w="20" w:type="dxa"/>
            </w:tcMar>
            <w:vAlign w:val="bottom"/>
          </w:tcPr>
          <w:p w14:paraId="5902ABE7"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ABE8"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vAlign w:val="bottom"/>
          </w:tcPr>
          <w:p w14:paraId="5902ABE9" w14:textId="77777777" w:rsidR="0084406A" w:rsidRDefault="002B18AF">
            <w:pPr>
              <w:jc w:val="right"/>
              <w:textAlignment w:val="bottom"/>
            </w:pPr>
            <w:r>
              <w:rPr>
                <w:rFonts w:ascii="Arial" w:eastAsia="宋体" w:hAnsi="Arial" w:cs="Arial"/>
                <w:color w:val="000000"/>
                <w:sz w:val="20"/>
                <w:szCs w:val="20"/>
              </w:rPr>
              <w:t>0.18 </w:t>
            </w:r>
          </w:p>
        </w:tc>
        <w:tc>
          <w:tcPr>
            <w:tcW w:w="0" w:type="auto"/>
            <w:shd w:val="clear" w:color="auto" w:fill="auto"/>
            <w:tcMar>
              <w:top w:w="40" w:type="dxa"/>
              <w:left w:w="0" w:type="dxa"/>
              <w:bottom w:w="40" w:type="dxa"/>
              <w:right w:w="20" w:type="dxa"/>
            </w:tcMar>
            <w:vAlign w:val="bottom"/>
          </w:tcPr>
          <w:p w14:paraId="5902ABEA"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ABE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EC" w14:textId="77777777" w:rsidR="0084406A" w:rsidRDefault="002B18AF">
            <w:pPr>
              <w:jc w:val="right"/>
              <w:textAlignment w:val="bottom"/>
            </w:pPr>
            <w:r>
              <w:rPr>
                <w:rFonts w:ascii="Arial" w:eastAsia="宋体" w:hAnsi="Arial" w:cs="Arial"/>
                <w:color w:val="000000"/>
                <w:sz w:val="20"/>
                <w:szCs w:val="20"/>
              </w:rPr>
              <w:t>1.53% - 2.51%</w:t>
            </w:r>
          </w:p>
        </w:tc>
      </w:tr>
      <w:tr w:rsidR="0084406A" w14:paraId="5902ABF7" w14:textId="77777777">
        <w:tc>
          <w:tcPr>
            <w:tcW w:w="0" w:type="auto"/>
            <w:gridSpan w:val="3"/>
            <w:shd w:val="clear" w:color="auto" w:fill="CCEEFF"/>
            <w:tcMar>
              <w:top w:w="40" w:type="dxa"/>
              <w:left w:w="20" w:type="dxa"/>
              <w:bottom w:w="40" w:type="dxa"/>
              <w:right w:w="20" w:type="dxa"/>
            </w:tcMar>
            <w:vAlign w:val="bottom"/>
          </w:tcPr>
          <w:p w14:paraId="5902ABEE" w14:textId="77777777" w:rsidR="0084406A" w:rsidRDefault="002B18AF">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5902ABE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F0"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BF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F2"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F3"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BF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BF5"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BF6" w14:textId="77777777" w:rsidR="0084406A" w:rsidRDefault="002B18AF">
            <w:pPr>
              <w:jc w:val="right"/>
              <w:textAlignment w:val="bottom"/>
            </w:pPr>
            <w:r>
              <w:rPr>
                <w:rFonts w:ascii="Arial" w:eastAsia="宋体" w:hAnsi="Arial" w:cs="Arial"/>
                <w:color w:val="000000"/>
                <w:sz w:val="20"/>
                <w:szCs w:val="20"/>
              </w:rPr>
              <w:t>%</w:t>
            </w:r>
          </w:p>
        </w:tc>
      </w:tr>
      <w:tr w:rsidR="0084406A" w14:paraId="5902ABFE" w14:textId="77777777">
        <w:tc>
          <w:tcPr>
            <w:tcW w:w="0" w:type="auto"/>
            <w:gridSpan w:val="3"/>
            <w:shd w:val="clear" w:color="auto" w:fill="FFFFFF"/>
            <w:tcMar>
              <w:top w:w="40" w:type="dxa"/>
              <w:left w:w="20" w:type="dxa"/>
              <w:bottom w:w="40" w:type="dxa"/>
              <w:right w:w="20" w:type="dxa"/>
            </w:tcMar>
            <w:vAlign w:val="bottom"/>
          </w:tcPr>
          <w:p w14:paraId="5902ABF8" w14:textId="77777777" w:rsidR="0084406A" w:rsidRDefault="002B18AF">
            <w:pPr>
              <w:textAlignment w:val="bottom"/>
            </w:pPr>
            <w:r>
              <w:rPr>
                <w:rFonts w:ascii="Arial" w:eastAsia="宋体" w:hAnsi="Arial" w:cs="Arial"/>
                <w:color w:val="000000"/>
                <w:sz w:val="20"/>
                <w:szCs w:val="20"/>
              </w:rPr>
              <w:t>Expected life (in years)</w:t>
            </w:r>
          </w:p>
        </w:tc>
        <w:tc>
          <w:tcPr>
            <w:tcW w:w="0" w:type="auto"/>
            <w:gridSpan w:val="3"/>
            <w:shd w:val="clear" w:color="auto" w:fill="auto"/>
            <w:tcMar>
              <w:top w:w="40" w:type="dxa"/>
              <w:left w:w="20" w:type="dxa"/>
              <w:bottom w:w="40" w:type="dxa"/>
              <w:right w:w="20" w:type="dxa"/>
            </w:tcMar>
            <w:vAlign w:val="bottom"/>
          </w:tcPr>
          <w:p w14:paraId="5902ABF9" w14:textId="77777777" w:rsidR="0084406A" w:rsidRDefault="002B18AF">
            <w:pPr>
              <w:jc w:val="right"/>
              <w:textAlignment w:val="bottom"/>
            </w:pPr>
            <w:r>
              <w:rPr>
                <w:rFonts w:ascii="Arial" w:eastAsia="宋体" w:hAnsi="Arial" w:cs="Arial"/>
                <w:color w:val="000000"/>
                <w:sz w:val="20"/>
                <w:szCs w:val="20"/>
              </w:rPr>
              <w:t>4.55</w:t>
            </w:r>
          </w:p>
        </w:tc>
        <w:tc>
          <w:tcPr>
            <w:tcW w:w="0" w:type="auto"/>
            <w:gridSpan w:val="3"/>
            <w:shd w:val="clear" w:color="auto" w:fill="auto"/>
            <w:tcMar>
              <w:top w:w="0" w:type="dxa"/>
              <w:left w:w="20" w:type="dxa"/>
              <w:bottom w:w="0" w:type="dxa"/>
              <w:right w:w="20" w:type="dxa"/>
            </w:tcMar>
            <w:vAlign w:val="bottom"/>
          </w:tcPr>
          <w:p w14:paraId="5902ABF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FB" w14:textId="77777777" w:rsidR="0084406A" w:rsidRDefault="002B18AF">
            <w:pPr>
              <w:jc w:val="right"/>
              <w:textAlignment w:val="bottom"/>
            </w:pPr>
            <w:r>
              <w:rPr>
                <w:rFonts w:ascii="Arial" w:eastAsia="宋体" w:hAnsi="Arial" w:cs="Arial"/>
                <w:color w:val="000000"/>
                <w:sz w:val="20"/>
                <w:szCs w:val="20"/>
              </w:rPr>
              <w:t>4.30</w:t>
            </w:r>
          </w:p>
        </w:tc>
        <w:tc>
          <w:tcPr>
            <w:tcW w:w="0" w:type="auto"/>
            <w:gridSpan w:val="3"/>
            <w:shd w:val="clear" w:color="auto" w:fill="auto"/>
            <w:tcMar>
              <w:top w:w="0" w:type="dxa"/>
              <w:left w:w="20" w:type="dxa"/>
              <w:bottom w:w="0" w:type="dxa"/>
              <w:right w:w="20" w:type="dxa"/>
            </w:tcMar>
            <w:vAlign w:val="bottom"/>
          </w:tcPr>
          <w:p w14:paraId="5902ABF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BFD" w14:textId="77777777" w:rsidR="0084406A" w:rsidRDefault="002B18AF">
            <w:pPr>
              <w:jc w:val="right"/>
              <w:textAlignment w:val="bottom"/>
            </w:pPr>
            <w:r>
              <w:rPr>
                <w:rFonts w:ascii="Arial" w:eastAsia="宋体" w:hAnsi="Arial" w:cs="Arial"/>
                <w:color w:val="000000"/>
                <w:sz w:val="20"/>
                <w:szCs w:val="20"/>
              </w:rPr>
              <w:t>3.94 - 3.95</w:t>
            </w:r>
          </w:p>
        </w:tc>
      </w:tr>
    </w:tbl>
    <w:p w14:paraId="5902ABFF" w14:textId="77777777" w:rsidR="0084406A" w:rsidRDefault="002B18AF">
      <w:pPr>
        <w:spacing w:before="180"/>
        <w:jc w:val="both"/>
      </w:pPr>
      <w:r>
        <w:rPr>
          <w:rFonts w:ascii="Arial" w:eastAsia="宋体" w:hAnsi="Arial" w:cs="Arial"/>
          <w:color w:val="000000"/>
          <w:sz w:val="20"/>
          <w:szCs w:val="20"/>
        </w:rPr>
        <w:t xml:space="preserve">The Company uses a combination of the historical volatility of its common stock and the implied volatility for publicly traded options on the </w:t>
      </w:r>
      <w:r>
        <w:rPr>
          <w:rFonts w:ascii="Arial" w:eastAsia="宋体" w:hAnsi="Arial" w:cs="Arial"/>
          <w:color w:val="000000"/>
          <w:sz w:val="20"/>
          <w:szCs w:val="20"/>
        </w:rPr>
        <w:t>Company’s common stock as the expected volatility assumption. The risk-free interest rate is based on the rate for a U.S. Treasury zero-coupon yield curve with a term that approximates the expected life of the option grant at the date closest to the option</w:t>
      </w:r>
      <w:r>
        <w:rPr>
          <w:rFonts w:ascii="Arial" w:eastAsia="宋体" w:hAnsi="Arial" w:cs="Arial"/>
          <w:color w:val="000000"/>
          <w:sz w:val="20"/>
          <w:szCs w:val="20"/>
        </w:rPr>
        <w:t xml:space="preserve"> grant date. The expected dividend yield is zero as the Company does not expect to pay dividends in the near future. The expected term of employee stock options represents the weighted-average period the stock options are expected to remain outstanding.</w:t>
      </w:r>
    </w:p>
    <w:p w14:paraId="5902AC00" w14:textId="77777777" w:rsidR="0084406A" w:rsidRDefault="002B18AF">
      <w:pPr>
        <w:spacing w:before="180"/>
        <w:jc w:val="both"/>
      </w:pPr>
      <w:r>
        <w:rPr>
          <w:rFonts w:ascii="Arial" w:eastAsia="宋体" w:hAnsi="Arial" w:cs="Arial"/>
          <w:color w:val="000000"/>
          <w:sz w:val="20"/>
          <w:szCs w:val="20"/>
        </w:rPr>
        <w:t>Th</w:t>
      </w:r>
      <w:r>
        <w:rPr>
          <w:rFonts w:ascii="Arial" w:eastAsia="宋体" w:hAnsi="Arial" w:cs="Arial"/>
          <w:color w:val="000000"/>
          <w:sz w:val="20"/>
          <w:szCs w:val="20"/>
        </w:rPr>
        <w:t>e following table summarizes stock option activity and related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756"/>
        <w:gridCol w:w="38"/>
        <w:gridCol w:w="63"/>
        <w:gridCol w:w="1099"/>
        <w:gridCol w:w="36"/>
        <w:gridCol w:w="36"/>
        <w:gridCol w:w="36"/>
        <w:gridCol w:w="36"/>
        <w:gridCol w:w="132"/>
        <w:gridCol w:w="1086"/>
        <w:gridCol w:w="36"/>
        <w:gridCol w:w="36"/>
        <w:gridCol w:w="36"/>
        <w:gridCol w:w="36"/>
        <w:gridCol w:w="133"/>
        <w:gridCol w:w="1086"/>
        <w:gridCol w:w="36"/>
        <w:gridCol w:w="36"/>
        <w:gridCol w:w="36"/>
        <w:gridCol w:w="36"/>
        <w:gridCol w:w="93"/>
        <w:gridCol w:w="1343"/>
        <w:gridCol w:w="36"/>
      </w:tblGrid>
      <w:tr w:rsidR="0084406A" w14:paraId="5902AC19" w14:textId="77777777">
        <w:tc>
          <w:tcPr>
            <w:tcW w:w="50" w:type="pct"/>
            <w:shd w:val="clear" w:color="auto" w:fill="auto"/>
            <w:vAlign w:val="bottom"/>
          </w:tcPr>
          <w:p w14:paraId="5902AC01" w14:textId="77777777" w:rsidR="0084406A" w:rsidRDefault="0084406A">
            <w:pPr>
              <w:rPr>
                <w:rFonts w:ascii="宋体"/>
              </w:rPr>
            </w:pPr>
          </w:p>
        </w:tc>
        <w:tc>
          <w:tcPr>
            <w:tcW w:w="1706" w:type="pct"/>
            <w:shd w:val="clear" w:color="auto" w:fill="auto"/>
            <w:vAlign w:val="bottom"/>
          </w:tcPr>
          <w:p w14:paraId="5902AC02" w14:textId="77777777" w:rsidR="0084406A" w:rsidRDefault="0084406A">
            <w:pPr>
              <w:rPr>
                <w:rFonts w:ascii="宋体"/>
              </w:rPr>
            </w:pPr>
          </w:p>
        </w:tc>
        <w:tc>
          <w:tcPr>
            <w:tcW w:w="5" w:type="pct"/>
            <w:shd w:val="clear" w:color="auto" w:fill="auto"/>
            <w:vAlign w:val="bottom"/>
          </w:tcPr>
          <w:p w14:paraId="5902AC03" w14:textId="77777777" w:rsidR="0084406A" w:rsidRDefault="0084406A">
            <w:pPr>
              <w:rPr>
                <w:rFonts w:ascii="宋体"/>
              </w:rPr>
            </w:pPr>
          </w:p>
        </w:tc>
        <w:tc>
          <w:tcPr>
            <w:tcW w:w="50" w:type="pct"/>
            <w:shd w:val="clear" w:color="auto" w:fill="auto"/>
            <w:vAlign w:val="bottom"/>
          </w:tcPr>
          <w:p w14:paraId="5902AC04" w14:textId="77777777" w:rsidR="0084406A" w:rsidRDefault="0084406A">
            <w:pPr>
              <w:rPr>
                <w:rFonts w:ascii="宋体"/>
              </w:rPr>
            </w:pPr>
          </w:p>
        </w:tc>
        <w:tc>
          <w:tcPr>
            <w:tcW w:w="727" w:type="pct"/>
            <w:shd w:val="clear" w:color="auto" w:fill="auto"/>
            <w:vAlign w:val="bottom"/>
          </w:tcPr>
          <w:p w14:paraId="5902AC05" w14:textId="77777777" w:rsidR="0084406A" w:rsidRDefault="0084406A">
            <w:pPr>
              <w:rPr>
                <w:rFonts w:ascii="宋体"/>
              </w:rPr>
            </w:pPr>
          </w:p>
        </w:tc>
        <w:tc>
          <w:tcPr>
            <w:tcW w:w="5" w:type="pct"/>
            <w:shd w:val="clear" w:color="auto" w:fill="auto"/>
            <w:vAlign w:val="bottom"/>
          </w:tcPr>
          <w:p w14:paraId="5902AC06" w14:textId="77777777" w:rsidR="0084406A" w:rsidRDefault="0084406A">
            <w:pPr>
              <w:rPr>
                <w:rFonts w:ascii="宋体"/>
              </w:rPr>
            </w:pPr>
          </w:p>
        </w:tc>
        <w:tc>
          <w:tcPr>
            <w:tcW w:w="5" w:type="pct"/>
            <w:shd w:val="clear" w:color="auto" w:fill="auto"/>
            <w:vAlign w:val="bottom"/>
          </w:tcPr>
          <w:p w14:paraId="5902AC07" w14:textId="77777777" w:rsidR="0084406A" w:rsidRDefault="0084406A">
            <w:pPr>
              <w:rPr>
                <w:rFonts w:ascii="宋体"/>
              </w:rPr>
            </w:pPr>
          </w:p>
        </w:tc>
        <w:tc>
          <w:tcPr>
            <w:tcW w:w="26" w:type="pct"/>
            <w:shd w:val="clear" w:color="auto" w:fill="auto"/>
            <w:vAlign w:val="bottom"/>
          </w:tcPr>
          <w:p w14:paraId="5902AC08" w14:textId="77777777" w:rsidR="0084406A" w:rsidRDefault="0084406A">
            <w:pPr>
              <w:rPr>
                <w:rFonts w:ascii="宋体"/>
              </w:rPr>
            </w:pPr>
          </w:p>
        </w:tc>
        <w:tc>
          <w:tcPr>
            <w:tcW w:w="5" w:type="pct"/>
            <w:shd w:val="clear" w:color="auto" w:fill="auto"/>
            <w:vAlign w:val="bottom"/>
          </w:tcPr>
          <w:p w14:paraId="5902AC09" w14:textId="77777777" w:rsidR="0084406A" w:rsidRDefault="0084406A">
            <w:pPr>
              <w:rPr>
                <w:rFonts w:ascii="宋体"/>
              </w:rPr>
            </w:pPr>
          </w:p>
        </w:tc>
        <w:tc>
          <w:tcPr>
            <w:tcW w:w="50" w:type="pct"/>
            <w:shd w:val="clear" w:color="auto" w:fill="auto"/>
            <w:vAlign w:val="bottom"/>
          </w:tcPr>
          <w:p w14:paraId="5902AC0A" w14:textId="77777777" w:rsidR="0084406A" w:rsidRDefault="0084406A">
            <w:pPr>
              <w:rPr>
                <w:rFonts w:ascii="宋体"/>
              </w:rPr>
            </w:pPr>
          </w:p>
        </w:tc>
        <w:tc>
          <w:tcPr>
            <w:tcW w:w="727" w:type="pct"/>
            <w:shd w:val="clear" w:color="auto" w:fill="auto"/>
            <w:vAlign w:val="bottom"/>
          </w:tcPr>
          <w:p w14:paraId="5902AC0B" w14:textId="77777777" w:rsidR="0084406A" w:rsidRDefault="0084406A">
            <w:pPr>
              <w:rPr>
                <w:rFonts w:ascii="宋体"/>
              </w:rPr>
            </w:pPr>
          </w:p>
        </w:tc>
        <w:tc>
          <w:tcPr>
            <w:tcW w:w="5" w:type="pct"/>
            <w:shd w:val="clear" w:color="auto" w:fill="auto"/>
            <w:vAlign w:val="bottom"/>
          </w:tcPr>
          <w:p w14:paraId="5902AC0C" w14:textId="77777777" w:rsidR="0084406A" w:rsidRDefault="0084406A">
            <w:pPr>
              <w:rPr>
                <w:rFonts w:ascii="宋体"/>
              </w:rPr>
            </w:pPr>
          </w:p>
        </w:tc>
        <w:tc>
          <w:tcPr>
            <w:tcW w:w="5" w:type="pct"/>
            <w:shd w:val="clear" w:color="auto" w:fill="auto"/>
            <w:vAlign w:val="bottom"/>
          </w:tcPr>
          <w:p w14:paraId="5902AC0D" w14:textId="77777777" w:rsidR="0084406A" w:rsidRDefault="0084406A">
            <w:pPr>
              <w:rPr>
                <w:rFonts w:ascii="宋体"/>
              </w:rPr>
            </w:pPr>
          </w:p>
        </w:tc>
        <w:tc>
          <w:tcPr>
            <w:tcW w:w="26" w:type="pct"/>
            <w:shd w:val="clear" w:color="auto" w:fill="auto"/>
            <w:vAlign w:val="bottom"/>
          </w:tcPr>
          <w:p w14:paraId="5902AC0E" w14:textId="77777777" w:rsidR="0084406A" w:rsidRDefault="0084406A">
            <w:pPr>
              <w:rPr>
                <w:rFonts w:ascii="宋体"/>
              </w:rPr>
            </w:pPr>
          </w:p>
        </w:tc>
        <w:tc>
          <w:tcPr>
            <w:tcW w:w="5" w:type="pct"/>
            <w:shd w:val="clear" w:color="auto" w:fill="auto"/>
            <w:vAlign w:val="bottom"/>
          </w:tcPr>
          <w:p w14:paraId="5902AC0F" w14:textId="77777777" w:rsidR="0084406A" w:rsidRDefault="0084406A">
            <w:pPr>
              <w:rPr>
                <w:rFonts w:ascii="宋体"/>
              </w:rPr>
            </w:pPr>
          </w:p>
        </w:tc>
        <w:tc>
          <w:tcPr>
            <w:tcW w:w="50" w:type="pct"/>
            <w:shd w:val="clear" w:color="auto" w:fill="auto"/>
            <w:vAlign w:val="bottom"/>
          </w:tcPr>
          <w:p w14:paraId="5902AC10" w14:textId="77777777" w:rsidR="0084406A" w:rsidRDefault="0084406A">
            <w:pPr>
              <w:rPr>
                <w:rFonts w:ascii="宋体"/>
              </w:rPr>
            </w:pPr>
          </w:p>
        </w:tc>
        <w:tc>
          <w:tcPr>
            <w:tcW w:w="727" w:type="pct"/>
            <w:shd w:val="clear" w:color="auto" w:fill="auto"/>
            <w:vAlign w:val="bottom"/>
          </w:tcPr>
          <w:p w14:paraId="5902AC11" w14:textId="77777777" w:rsidR="0084406A" w:rsidRDefault="0084406A">
            <w:pPr>
              <w:rPr>
                <w:rFonts w:ascii="宋体"/>
              </w:rPr>
            </w:pPr>
          </w:p>
        </w:tc>
        <w:tc>
          <w:tcPr>
            <w:tcW w:w="5" w:type="pct"/>
            <w:shd w:val="clear" w:color="auto" w:fill="auto"/>
            <w:vAlign w:val="bottom"/>
          </w:tcPr>
          <w:p w14:paraId="5902AC12" w14:textId="77777777" w:rsidR="0084406A" w:rsidRDefault="0084406A">
            <w:pPr>
              <w:rPr>
                <w:rFonts w:ascii="宋体"/>
              </w:rPr>
            </w:pPr>
          </w:p>
        </w:tc>
        <w:tc>
          <w:tcPr>
            <w:tcW w:w="5" w:type="pct"/>
            <w:shd w:val="clear" w:color="auto" w:fill="auto"/>
            <w:vAlign w:val="bottom"/>
          </w:tcPr>
          <w:p w14:paraId="5902AC13" w14:textId="77777777" w:rsidR="0084406A" w:rsidRDefault="0084406A">
            <w:pPr>
              <w:rPr>
                <w:rFonts w:ascii="宋体"/>
              </w:rPr>
            </w:pPr>
          </w:p>
        </w:tc>
        <w:tc>
          <w:tcPr>
            <w:tcW w:w="26" w:type="pct"/>
            <w:shd w:val="clear" w:color="auto" w:fill="auto"/>
            <w:vAlign w:val="bottom"/>
          </w:tcPr>
          <w:p w14:paraId="5902AC14" w14:textId="77777777" w:rsidR="0084406A" w:rsidRDefault="0084406A">
            <w:pPr>
              <w:rPr>
                <w:rFonts w:ascii="宋体"/>
              </w:rPr>
            </w:pPr>
          </w:p>
        </w:tc>
        <w:tc>
          <w:tcPr>
            <w:tcW w:w="5" w:type="pct"/>
            <w:shd w:val="clear" w:color="auto" w:fill="auto"/>
            <w:vAlign w:val="bottom"/>
          </w:tcPr>
          <w:p w14:paraId="5902AC15" w14:textId="77777777" w:rsidR="0084406A" w:rsidRDefault="0084406A">
            <w:pPr>
              <w:rPr>
                <w:rFonts w:ascii="宋体"/>
              </w:rPr>
            </w:pPr>
          </w:p>
        </w:tc>
        <w:tc>
          <w:tcPr>
            <w:tcW w:w="50" w:type="pct"/>
            <w:shd w:val="clear" w:color="auto" w:fill="auto"/>
            <w:vAlign w:val="bottom"/>
          </w:tcPr>
          <w:p w14:paraId="5902AC16" w14:textId="77777777" w:rsidR="0084406A" w:rsidRDefault="0084406A">
            <w:pPr>
              <w:rPr>
                <w:rFonts w:ascii="宋体"/>
              </w:rPr>
            </w:pPr>
          </w:p>
        </w:tc>
        <w:tc>
          <w:tcPr>
            <w:tcW w:w="727" w:type="pct"/>
            <w:shd w:val="clear" w:color="auto" w:fill="auto"/>
            <w:vAlign w:val="bottom"/>
          </w:tcPr>
          <w:p w14:paraId="5902AC17" w14:textId="77777777" w:rsidR="0084406A" w:rsidRDefault="0084406A">
            <w:pPr>
              <w:rPr>
                <w:rFonts w:ascii="宋体"/>
              </w:rPr>
            </w:pPr>
          </w:p>
        </w:tc>
        <w:tc>
          <w:tcPr>
            <w:tcW w:w="5" w:type="pct"/>
            <w:shd w:val="clear" w:color="auto" w:fill="auto"/>
            <w:vAlign w:val="bottom"/>
          </w:tcPr>
          <w:p w14:paraId="5902AC18" w14:textId="77777777" w:rsidR="0084406A" w:rsidRDefault="0084406A">
            <w:pPr>
              <w:rPr>
                <w:rFonts w:ascii="宋体"/>
              </w:rPr>
            </w:pPr>
          </w:p>
        </w:tc>
      </w:tr>
      <w:tr w:rsidR="0084406A" w14:paraId="5902AC22" w14:textId="77777777">
        <w:tc>
          <w:tcPr>
            <w:tcW w:w="0" w:type="auto"/>
            <w:gridSpan w:val="3"/>
            <w:shd w:val="clear" w:color="auto" w:fill="auto"/>
            <w:tcMar>
              <w:top w:w="0" w:type="dxa"/>
              <w:left w:w="20" w:type="dxa"/>
              <w:bottom w:w="0" w:type="dxa"/>
              <w:right w:w="20" w:type="dxa"/>
            </w:tcMar>
            <w:vAlign w:val="bottom"/>
          </w:tcPr>
          <w:p w14:paraId="5902AC1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C1B" w14:textId="77777777" w:rsidR="0084406A" w:rsidRDefault="002B18AF">
            <w:pPr>
              <w:jc w:val="center"/>
              <w:textAlignment w:val="bottom"/>
            </w:pPr>
            <w:r>
              <w:rPr>
                <w:rFonts w:ascii="Arial" w:eastAsia="宋体" w:hAnsi="Arial" w:cs="Arial"/>
                <w:b/>
                <w:bCs/>
                <w:color w:val="000000"/>
                <w:sz w:val="16"/>
                <w:szCs w:val="16"/>
              </w:rPr>
              <w:t>Outstanding 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vAlign w:val="bottom"/>
          </w:tcPr>
          <w:p w14:paraId="5902AC1C"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C1D" w14:textId="77777777" w:rsidR="0084406A" w:rsidRDefault="002B18AF">
            <w:pPr>
              <w:jc w:val="center"/>
              <w:textAlignment w:val="bottom"/>
            </w:pPr>
            <w:r>
              <w:rPr>
                <w:rFonts w:ascii="Arial" w:eastAsia="宋体" w:hAnsi="Arial" w:cs="Arial"/>
                <w:b/>
                <w:bCs/>
                <w:color w:val="000000"/>
                <w:sz w:val="16"/>
                <w:szCs w:val="16"/>
              </w:rPr>
              <w:t>Weighted-</w:t>
            </w:r>
            <w:r>
              <w:rPr>
                <w:rFonts w:ascii="Arial" w:eastAsia="宋体" w:hAnsi="Arial" w:cs="Arial"/>
                <w:b/>
                <w:bCs/>
                <w:color w:val="000000"/>
                <w:sz w:val="16"/>
                <w:szCs w:val="16"/>
              </w:rPr>
              <w:br/>
              <w:t>Average</w:t>
            </w:r>
            <w:r>
              <w:rPr>
                <w:rFonts w:ascii="Arial" w:eastAsia="宋体" w:hAnsi="Arial" w:cs="Arial"/>
                <w:b/>
                <w:bCs/>
                <w:color w:val="000000"/>
                <w:sz w:val="16"/>
                <w:szCs w:val="16"/>
              </w:rPr>
              <w:br/>
              <w:t>Exercise</w:t>
            </w:r>
            <w:r>
              <w:rPr>
                <w:rFonts w:ascii="Arial" w:eastAsia="宋体" w:hAnsi="Arial" w:cs="Arial"/>
                <w:b/>
                <w:bCs/>
                <w:color w:val="000000"/>
                <w:sz w:val="16"/>
                <w:szCs w:val="16"/>
              </w:rPr>
              <w:br/>
              <w:t>Price</w:t>
            </w:r>
          </w:p>
        </w:tc>
        <w:tc>
          <w:tcPr>
            <w:tcW w:w="0" w:type="auto"/>
            <w:gridSpan w:val="3"/>
            <w:shd w:val="clear" w:color="auto" w:fill="auto"/>
            <w:tcMar>
              <w:top w:w="0" w:type="dxa"/>
              <w:left w:w="20" w:type="dxa"/>
              <w:bottom w:w="0" w:type="dxa"/>
              <w:right w:w="20" w:type="dxa"/>
            </w:tcMar>
            <w:vAlign w:val="bottom"/>
          </w:tcPr>
          <w:p w14:paraId="5902AC1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C1F" w14:textId="77777777" w:rsidR="0084406A" w:rsidRDefault="002B18AF">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vAlign w:val="bottom"/>
          </w:tcPr>
          <w:p w14:paraId="5902AC2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C21" w14:textId="77777777" w:rsidR="0084406A" w:rsidRDefault="002B18AF">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84406A" w14:paraId="5902AC27" w14:textId="77777777">
        <w:tc>
          <w:tcPr>
            <w:tcW w:w="0" w:type="auto"/>
            <w:gridSpan w:val="3"/>
            <w:shd w:val="clear" w:color="auto" w:fill="auto"/>
            <w:tcMar>
              <w:top w:w="40" w:type="dxa"/>
              <w:left w:w="20" w:type="dxa"/>
              <w:bottom w:w="40" w:type="dxa"/>
              <w:right w:w="20" w:type="dxa"/>
            </w:tcMar>
            <w:vAlign w:val="bottom"/>
          </w:tcPr>
          <w:p w14:paraId="5902AC23"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C24" w14:textId="77777777" w:rsidR="0084406A" w:rsidRDefault="002B18AF">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vAlign w:val="bottom"/>
          </w:tcPr>
          <w:p w14:paraId="5902AC25" w14:textId="77777777" w:rsidR="0084406A" w:rsidRDefault="0084406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C26" w14:textId="77777777" w:rsidR="0084406A" w:rsidRDefault="0084406A">
            <w:pPr>
              <w:rPr>
                <w:rFonts w:ascii="宋体"/>
              </w:rPr>
            </w:pPr>
          </w:p>
        </w:tc>
      </w:tr>
      <w:tr w:rsidR="0084406A" w14:paraId="5902AC33" w14:textId="77777777">
        <w:tc>
          <w:tcPr>
            <w:tcW w:w="0" w:type="auto"/>
            <w:gridSpan w:val="3"/>
            <w:shd w:val="clear" w:color="auto" w:fill="CCEEFF"/>
            <w:tcMar>
              <w:top w:w="40" w:type="dxa"/>
              <w:left w:w="20" w:type="dxa"/>
              <w:bottom w:w="40" w:type="dxa"/>
              <w:right w:w="20" w:type="dxa"/>
            </w:tcMar>
            <w:vAlign w:val="bottom"/>
          </w:tcPr>
          <w:p w14:paraId="5902AC28" w14:textId="77777777" w:rsidR="0084406A" w:rsidRDefault="002B18AF">
            <w:pPr>
              <w:textAlignment w:val="bottom"/>
            </w:pPr>
            <w:r>
              <w:rPr>
                <w:rFonts w:ascii="Arial" w:eastAsia="宋体" w:hAnsi="Arial" w:cs="Arial"/>
                <w:color w:val="000000"/>
                <w:sz w:val="20"/>
                <w:szCs w:val="20"/>
              </w:rPr>
              <w:t>Balance as of December 26, 2020</w:t>
            </w:r>
          </w:p>
        </w:tc>
        <w:tc>
          <w:tcPr>
            <w:tcW w:w="0" w:type="auto"/>
            <w:gridSpan w:val="2"/>
            <w:shd w:val="clear" w:color="auto" w:fill="CCEEFF"/>
            <w:tcMar>
              <w:top w:w="40" w:type="dxa"/>
              <w:left w:w="20" w:type="dxa"/>
              <w:bottom w:w="40" w:type="dxa"/>
              <w:right w:w="0" w:type="dxa"/>
            </w:tcMar>
            <w:vAlign w:val="bottom"/>
          </w:tcPr>
          <w:p w14:paraId="5902AC29" w14:textId="77777777" w:rsidR="0084406A" w:rsidRDefault="002B18AF">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5902AC2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2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2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2D" w14:textId="77777777" w:rsidR="0084406A" w:rsidRDefault="002B18AF">
            <w:pPr>
              <w:jc w:val="right"/>
              <w:textAlignment w:val="bottom"/>
            </w:pPr>
            <w:r>
              <w:rPr>
                <w:rFonts w:ascii="Arial" w:eastAsia="宋体" w:hAnsi="Arial" w:cs="Arial"/>
                <w:color w:val="000000"/>
                <w:sz w:val="20"/>
                <w:szCs w:val="20"/>
              </w:rPr>
              <w:t>12.91 </w:t>
            </w:r>
          </w:p>
        </w:tc>
        <w:tc>
          <w:tcPr>
            <w:tcW w:w="0" w:type="auto"/>
            <w:shd w:val="clear" w:color="auto" w:fill="CCEEFF"/>
            <w:tcMar>
              <w:top w:w="40" w:type="dxa"/>
              <w:left w:w="0" w:type="dxa"/>
              <w:bottom w:w="40" w:type="dxa"/>
              <w:right w:w="20" w:type="dxa"/>
            </w:tcMar>
            <w:vAlign w:val="bottom"/>
          </w:tcPr>
          <w:p w14:paraId="5902AC2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2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3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3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32" w14:textId="77777777" w:rsidR="0084406A" w:rsidRDefault="0084406A">
            <w:pPr>
              <w:rPr>
                <w:rFonts w:ascii="宋体"/>
              </w:rPr>
            </w:pPr>
          </w:p>
        </w:tc>
      </w:tr>
      <w:tr w:rsidR="0084406A" w14:paraId="5902AC3F" w14:textId="77777777">
        <w:tc>
          <w:tcPr>
            <w:tcW w:w="0" w:type="auto"/>
            <w:gridSpan w:val="3"/>
            <w:shd w:val="clear" w:color="auto" w:fill="FFFFFF"/>
            <w:tcMar>
              <w:top w:w="40" w:type="dxa"/>
              <w:left w:w="380" w:type="dxa"/>
              <w:bottom w:w="40" w:type="dxa"/>
              <w:right w:w="20" w:type="dxa"/>
            </w:tcMar>
            <w:vAlign w:val="bottom"/>
          </w:tcPr>
          <w:p w14:paraId="5902AC34" w14:textId="77777777" w:rsidR="0084406A" w:rsidRDefault="002B18AF">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902AC35"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C3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37"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C3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C39" w14:textId="77777777" w:rsidR="0084406A" w:rsidRDefault="002B18AF">
            <w:pPr>
              <w:jc w:val="right"/>
              <w:textAlignment w:val="bottom"/>
            </w:pPr>
            <w:r>
              <w:rPr>
                <w:rFonts w:ascii="Arial" w:eastAsia="宋体" w:hAnsi="Arial" w:cs="Arial"/>
                <w:color w:val="000000"/>
                <w:sz w:val="20"/>
                <w:szCs w:val="20"/>
              </w:rPr>
              <w:t>107.58 </w:t>
            </w:r>
          </w:p>
        </w:tc>
        <w:tc>
          <w:tcPr>
            <w:tcW w:w="0" w:type="auto"/>
            <w:shd w:val="clear" w:color="auto" w:fill="FFFFFF"/>
            <w:tcMar>
              <w:top w:w="40" w:type="dxa"/>
              <w:left w:w="0" w:type="dxa"/>
              <w:bottom w:w="40" w:type="dxa"/>
              <w:right w:w="20" w:type="dxa"/>
            </w:tcMar>
            <w:vAlign w:val="bottom"/>
          </w:tcPr>
          <w:p w14:paraId="5902AC3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3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3C"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3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3E" w14:textId="77777777" w:rsidR="0084406A" w:rsidRDefault="0084406A">
            <w:pPr>
              <w:rPr>
                <w:rFonts w:ascii="宋体"/>
              </w:rPr>
            </w:pPr>
          </w:p>
        </w:tc>
      </w:tr>
      <w:tr w:rsidR="0084406A" w14:paraId="5902AC48" w14:textId="77777777">
        <w:trPr>
          <w:hidden/>
        </w:trPr>
        <w:tc>
          <w:tcPr>
            <w:tcW w:w="0" w:type="auto"/>
            <w:gridSpan w:val="3"/>
            <w:shd w:val="clear" w:color="auto" w:fill="auto"/>
            <w:vAlign w:val="bottom"/>
          </w:tcPr>
          <w:p w14:paraId="5902AC40" w14:textId="77777777" w:rsidR="0084406A" w:rsidRDefault="0084406A">
            <w:pPr>
              <w:rPr>
                <w:rFonts w:ascii="宋体"/>
                <w:vanish/>
              </w:rPr>
            </w:pPr>
          </w:p>
        </w:tc>
        <w:tc>
          <w:tcPr>
            <w:tcW w:w="0" w:type="auto"/>
            <w:gridSpan w:val="3"/>
            <w:shd w:val="clear" w:color="auto" w:fill="auto"/>
            <w:vAlign w:val="bottom"/>
          </w:tcPr>
          <w:p w14:paraId="5902AC41" w14:textId="77777777" w:rsidR="0084406A" w:rsidRDefault="0084406A">
            <w:pPr>
              <w:rPr>
                <w:rFonts w:ascii="宋体"/>
                <w:vanish/>
              </w:rPr>
            </w:pPr>
          </w:p>
        </w:tc>
        <w:tc>
          <w:tcPr>
            <w:tcW w:w="0" w:type="auto"/>
            <w:gridSpan w:val="3"/>
            <w:shd w:val="clear" w:color="auto" w:fill="auto"/>
            <w:vAlign w:val="bottom"/>
          </w:tcPr>
          <w:p w14:paraId="5902AC42" w14:textId="77777777" w:rsidR="0084406A" w:rsidRDefault="0084406A">
            <w:pPr>
              <w:rPr>
                <w:rFonts w:ascii="宋体"/>
                <w:vanish/>
              </w:rPr>
            </w:pPr>
          </w:p>
        </w:tc>
        <w:tc>
          <w:tcPr>
            <w:tcW w:w="0" w:type="auto"/>
            <w:gridSpan w:val="3"/>
            <w:shd w:val="clear" w:color="auto" w:fill="auto"/>
            <w:vAlign w:val="bottom"/>
          </w:tcPr>
          <w:p w14:paraId="5902AC43" w14:textId="77777777" w:rsidR="0084406A" w:rsidRDefault="0084406A">
            <w:pPr>
              <w:rPr>
                <w:rFonts w:ascii="宋体"/>
                <w:vanish/>
              </w:rPr>
            </w:pPr>
          </w:p>
        </w:tc>
        <w:tc>
          <w:tcPr>
            <w:tcW w:w="0" w:type="auto"/>
            <w:gridSpan w:val="3"/>
            <w:shd w:val="clear" w:color="auto" w:fill="auto"/>
            <w:vAlign w:val="bottom"/>
          </w:tcPr>
          <w:p w14:paraId="5902AC44" w14:textId="77777777" w:rsidR="0084406A" w:rsidRDefault="0084406A">
            <w:pPr>
              <w:rPr>
                <w:rFonts w:ascii="宋体"/>
                <w:vanish/>
              </w:rPr>
            </w:pPr>
          </w:p>
        </w:tc>
        <w:tc>
          <w:tcPr>
            <w:tcW w:w="0" w:type="auto"/>
            <w:gridSpan w:val="3"/>
            <w:shd w:val="clear" w:color="auto" w:fill="auto"/>
            <w:vAlign w:val="bottom"/>
          </w:tcPr>
          <w:p w14:paraId="5902AC45" w14:textId="77777777" w:rsidR="0084406A" w:rsidRDefault="0084406A">
            <w:pPr>
              <w:rPr>
                <w:rFonts w:ascii="宋体"/>
                <w:vanish/>
              </w:rPr>
            </w:pPr>
          </w:p>
        </w:tc>
        <w:tc>
          <w:tcPr>
            <w:tcW w:w="0" w:type="auto"/>
            <w:gridSpan w:val="3"/>
            <w:shd w:val="clear" w:color="auto" w:fill="auto"/>
            <w:vAlign w:val="bottom"/>
          </w:tcPr>
          <w:p w14:paraId="5902AC46" w14:textId="77777777" w:rsidR="0084406A" w:rsidRDefault="0084406A">
            <w:pPr>
              <w:rPr>
                <w:rFonts w:ascii="宋体"/>
                <w:vanish/>
              </w:rPr>
            </w:pPr>
          </w:p>
        </w:tc>
        <w:tc>
          <w:tcPr>
            <w:tcW w:w="0" w:type="auto"/>
            <w:gridSpan w:val="3"/>
            <w:shd w:val="clear" w:color="auto" w:fill="auto"/>
            <w:vAlign w:val="bottom"/>
          </w:tcPr>
          <w:p w14:paraId="5902AC47" w14:textId="77777777" w:rsidR="0084406A" w:rsidRDefault="0084406A">
            <w:pPr>
              <w:rPr>
                <w:rFonts w:ascii="宋体"/>
                <w:vanish/>
              </w:rPr>
            </w:pPr>
          </w:p>
        </w:tc>
      </w:tr>
      <w:tr w:rsidR="0084406A" w14:paraId="5902AC54" w14:textId="77777777">
        <w:tc>
          <w:tcPr>
            <w:tcW w:w="0" w:type="auto"/>
            <w:gridSpan w:val="3"/>
            <w:shd w:val="clear" w:color="auto" w:fill="CCEEFF"/>
            <w:tcMar>
              <w:top w:w="40" w:type="dxa"/>
              <w:left w:w="380" w:type="dxa"/>
              <w:bottom w:w="40" w:type="dxa"/>
              <w:right w:w="20" w:type="dxa"/>
            </w:tcMar>
            <w:vAlign w:val="bottom"/>
          </w:tcPr>
          <w:p w14:paraId="5902AC49" w14:textId="77777777" w:rsidR="0084406A" w:rsidRDefault="002B18AF">
            <w:pPr>
              <w:textAlignment w:val="bottom"/>
            </w:pPr>
            <w:r>
              <w:rPr>
                <w:rFonts w:ascii="Arial" w:eastAsia="宋体" w:hAnsi="Arial" w:cs="Arial"/>
                <w:color w:val="000000"/>
                <w:sz w:val="20"/>
                <w:szCs w:val="20"/>
              </w:rPr>
              <w:t>Exercised</w:t>
            </w:r>
          </w:p>
        </w:tc>
        <w:tc>
          <w:tcPr>
            <w:tcW w:w="0" w:type="auto"/>
            <w:gridSpan w:val="2"/>
            <w:shd w:val="clear" w:color="auto" w:fill="CCEEFF"/>
            <w:tcMar>
              <w:top w:w="40" w:type="dxa"/>
              <w:left w:w="20" w:type="dxa"/>
              <w:bottom w:w="40" w:type="dxa"/>
              <w:right w:w="0" w:type="dxa"/>
            </w:tcMar>
            <w:vAlign w:val="bottom"/>
          </w:tcPr>
          <w:p w14:paraId="5902AC4A" w14:textId="77777777" w:rsidR="0084406A" w:rsidRDefault="002B18AF">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5902AC4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4C"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4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4E" w14:textId="77777777" w:rsidR="0084406A" w:rsidRDefault="002B18AF">
            <w:pPr>
              <w:jc w:val="right"/>
              <w:textAlignment w:val="bottom"/>
            </w:pPr>
            <w:r>
              <w:rPr>
                <w:rFonts w:ascii="Arial" w:eastAsia="宋体" w:hAnsi="Arial" w:cs="Arial"/>
                <w:color w:val="000000"/>
                <w:sz w:val="20"/>
                <w:szCs w:val="20"/>
              </w:rPr>
              <w:t>4.38 </w:t>
            </w:r>
          </w:p>
        </w:tc>
        <w:tc>
          <w:tcPr>
            <w:tcW w:w="0" w:type="auto"/>
            <w:shd w:val="clear" w:color="auto" w:fill="CCEEFF"/>
            <w:tcMar>
              <w:top w:w="40" w:type="dxa"/>
              <w:left w:w="0" w:type="dxa"/>
              <w:bottom w:w="40" w:type="dxa"/>
              <w:right w:w="20" w:type="dxa"/>
            </w:tcMar>
            <w:vAlign w:val="bottom"/>
          </w:tcPr>
          <w:p w14:paraId="5902AC4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5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5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5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53" w14:textId="77777777" w:rsidR="0084406A" w:rsidRDefault="0084406A">
            <w:pPr>
              <w:rPr>
                <w:rFonts w:ascii="宋体"/>
              </w:rPr>
            </w:pPr>
          </w:p>
        </w:tc>
      </w:tr>
      <w:tr w:rsidR="0084406A" w14:paraId="5902AC62" w14:textId="77777777">
        <w:tc>
          <w:tcPr>
            <w:tcW w:w="0" w:type="auto"/>
            <w:gridSpan w:val="3"/>
            <w:shd w:val="clear" w:color="auto" w:fill="FFFFFF"/>
            <w:tcMar>
              <w:top w:w="40" w:type="dxa"/>
              <w:left w:w="20" w:type="dxa"/>
              <w:bottom w:w="40" w:type="dxa"/>
              <w:right w:w="20" w:type="dxa"/>
            </w:tcMar>
            <w:vAlign w:val="bottom"/>
          </w:tcPr>
          <w:p w14:paraId="5902AC55" w14:textId="77777777" w:rsidR="0084406A" w:rsidRDefault="002B18AF">
            <w:pPr>
              <w:textAlignment w:val="bottom"/>
            </w:pPr>
            <w:r>
              <w:rPr>
                <w:rFonts w:ascii="Arial" w:eastAsia="宋体" w:hAnsi="Arial" w:cs="Arial"/>
                <w:color w:val="000000"/>
                <w:sz w:val="20"/>
                <w:szCs w:val="20"/>
              </w:rPr>
              <w:t>Balance as of December 25,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C56" w14:textId="77777777" w:rsidR="0084406A" w:rsidRDefault="002B18AF">
            <w:pPr>
              <w:jc w:val="right"/>
              <w:textAlignment w:val="bottom"/>
            </w:pPr>
            <w:r>
              <w:rPr>
                <w:rFonts w:ascii="Arial" w:eastAsia="宋体" w:hAnsi="Arial" w:cs="Arial"/>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C5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5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C5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C5A" w14:textId="77777777" w:rsidR="0084406A" w:rsidRDefault="002B18AF">
            <w:pPr>
              <w:jc w:val="right"/>
              <w:textAlignment w:val="bottom"/>
            </w:pPr>
            <w:r>
              <w:rPr>
                <w:rFonts w:ascii="Arial" w:eastAsia="宋体" w:hAnsi="Arial" w:cs="Arial"/>
                <w:color w:val="000000"/>
                <w:sz w:val="20"/>
                <w:szCs w:val="20"/>
              </w:rPr>
              <w:t>23.98 </w:t>
            </w:r>
          </w:p>
        </w:tc>
        <w:tc>
          <w:tcPr>
            <w:tcW w:w="0" w:type="auto"/>
            <w:shd w:val="clear" w:color="auto" w:fill="FFFFFF"/>
            <w:tcMar>
              <w:top w:w="40" w:type="dxa"/>
              <w:left w:w="0" w:type="dxa"/>
              <w:bottom w:w="40" w:type="dxa"/>
              <w:right w:w="20" w:type="dxa"/>
            </w:tcMar>
            <w:vAlign w:val="bottom"/>
          </w:tcPr>
          <w:p w14:paraId="5902AC5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5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C5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C5E" w14:textId="77777777" w:rsidR="0084406A" w:rsidRDefault="002B18AF">
            <w:pPr>
              <w:jc w:val="right"/>
              <w:textAlignment w:val="bottom"/>
            </w:pPr>
            <w:r>
              <w:rPr>
                <w:rFonts w:ascii="Arial" w:eastAsia="宋体" w:hAnsi="Arial" w:cs="Arial"/>
                <w:color w:val="000000"/>
                <w:sz w:val="20"/>
                <w:szCs w:val="20"/>
              </w:rPr>
              <w:t>614 </w:t>
            </w:r>
          </w:p>
        </w:tc>
        <w:tc>
          <w:tcPr>
            <w:tcW w:w="0" w:type="auto"/>
            <w:shd w:val="clear" w:color="auto" w:fill="FFFFFF"/>
            <w:tcMar>
              <w:top w:w="40" w:type="dxa"/>
              <w:left w:w="0" w:type="dxa"/>
              <w:bottom w:w="40" w:type="dxa"/>
              <w:right w:w="20" w:type="dxa"/>
            </w:tcMar>
            <w:vAlign w:val="bottom"/>
          </w:tcPr>
          <w:p w14:paraId="5902AC5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60"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C61" w14:textId="77777777" w:rsidR="0084406A" w:rsidRDefault="002B18AF">
            <w:pPr>
              <w:jc w:val="right"/>
              <w:textAlignment w:val="bottom"/>
            </w:pPr>
            <w:r>
              <w:rPr>
                <w:rFonts w:ascii="Arial" w:eastAsia="宋体" w:hAnsi="Arial" w:cs="Arial"/>
                <w:color w:val="000000"/>
                <w:sz w:val="20"/>
                <w:szCs w:val="20"/>
              </w:rPr>
              <w:t>2.80</w:t>
            </w:r>
          </w:p>
        </w:tc>
      </w:tr>
      <w:tr w:rsidR="0084406A" w14:paraId="5902AC70" w14:textId="77777777">
        <w:tc>
          <w:tcPr>
            <w:tcW w:w="0" w:type="auto"/>
            <w:gridSpan w:val="3"/>
            <w:shd w:val="clear" w:color="auto" w:fill="CCEEFF"/>
            <w:tcMar>
              <w:top w:w="40" w:type="dxa"/>
              <w:left w:w="20" w:type="dxa"/>
              <w:bottom w:w="40" w:type="dxa"/>
              <w:right w:w="20" w:type="dxa"/>
            </w:tcMar>
            <w:vAlign w:val="bottom"/>
          </w:tcPr>
          <w:p w14:paraId="5902AC63" w14:textId="77777777" w:rsidR="0084406A" w:rsidRDefault="002B18AF">
            <w:pPr>
              <w:textAlignment w:val="bottom"/>
            </w:pPr>
            <w:r>
              <w:rPr>
                <w:rFonts w:ascii="Arial" w:eastAsia="宋体" w:hAnsi="Arial" w:cs="Arial"/>
                <w:color w:val="000000"/>
                <w:sz w:val="20"/>
                <w:szCs w:val="20"/>
              </w:rPr>
              <w:t>Exercisable December 25, 2021</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5902AC64" w14:textId="77777777" w:rsidR="0084406A" w:rsidRDefault="002B18AF">
            <w:pPr>
              <w:jc w:val="right"/>
              <w:textAlignment w:val="bottom"/>
            </w:pPr>
            <w:r>
              <w:rPr>
                <w:rFonts w:ascii="Arial" w:eastAsia="宋体" w:hAnsi="Arial" w:cs="Arial"/>
                <w:color w:val="000000"/>
                <w:sz w:val="20"/>
                <w:szCs w:val="20"/>
              </w:rPr>
              <w:t>4 </w:t>
            </w:r>
          </w:p>
        </w:tc>
        <w:tc>
          <w:tcPr>
            <w:tcW w:w="0" w:type="auto"/>
            <w:tcBorders>
              <w:top w:val="double" w:sz="6" w:space="0" w:color="000000"/>
            </w:tcBorders>
            <w:shd w:val="clear" w:color="auto" w:fill="CCEEFF"/>
            <w:tcMar>
              <w:top w:w="40" w:type="dxa"/>
              <w:left w:w="0" w:type="dxa"/>
              <w:bottom w:w="40" w:type="dxa"/>
              <w:right w:w="20" w:type="dxa"/>
            </w:tcMar>
            <w:vAlign w:val="bottom"/>
          </w:tcPr>
          <w:p w14:paraId="5902AC6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66"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6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68" w14:textId="77777777" w:rsidR="0084406A" w:rsidRDefault="002B18AF">
            <w:pPr>
              <w:jc w:val="right"/>
              <w:textAlignment w:val="bottom"/>
            </w:pPr>
            <w:r>
              <w:rPr>
                <w:rFonts w:ascii="Arial" w:eastAsia="宋体" w:hAnsi="Arial" w:cs="Arial"/>
                <w:color w:val="000000"/>
                <w:sz w:val="20"/>
                <w:szCs w:val="20"/>
              </w:rPr>
              <w:t>13.24 </w:t>
            </w:r>
          </w:p>
        </w:tc>
        <w:tc>
          <w:tcPr>
            <w:tcW w:w="0" w:type="auto"/>
            <w:shd w:val="clear" w:color="auto" w:fill="CCEEFF"/>
            <w:tcMar>
              <w:top w:w="40" w:type="dxa"/>
              <w:left w:w="0" w:type="dxa"/>
              <w:bottom w:w="40" w:type="dxa"/>
              <w:right w:w="20" w:type="dxa"/>
            </w:tcMar>
            <w:vAlign w:val="bottom"/>
          </w:tcPr>
          <w:p w14:paraId="5902AC6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6A"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6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6C" w14:textId="77777777" w:rsidR="0084406A" w:rsidRDefault="002B18AF">
            <w:pPr>
              <w:jc w:val="right"/>
              <w:textAlignment w:val="bottom"/>
            </w:pPr>
            <w:r>
              <w:rPr>
                <w:rFonts w:ascii="Arial" w:eastAsia="宋体" w:hAnsi="Arial" w:cs="Arial"/>
                <w:color w:val="000000"/>
                <w:sz w:val="20"/>
                <w:szCs w:val="20"/>
              </w:rPr>
              <w:t>561 </w:t>
            </w:r>
          </w:p>
        </w:tc>
        <w:tc>
          <w:tcPr>
            <w:tcW w:w="0" w:type="auto"/>
            <w:shd w:val="clear" w:color="auto" w:fill="CCEEFF"/>
            <w:tcMar>
              <w:top w:w="40" w:type="dxa"/>
              <w:left w:w="0" w:type="dxa"/>
              <w:bottom w:w="40" w:type="dxa"/>
              <w:right w:w="20" w:type="dxa"/>
            </w:tcMar>
            <w:vAlign w:val="bottom"/>
          </w:tcPr>
          <w:p w14:paraId="5902AC6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6E" w14:textId="77777777" w:rsidR="0084406A" w:rsidRDefault="0084406A">
            <w:pPr>
              <w:rPr>
                <w:rFonts w:ascii="宋体"/>
              </w:rPr>
            </w:pPr>
          </w:p>
        </w:tc>
        <w:tc>
          <w:tcPr>
            <w:tcW w:w="0" w:type="auto"/>
            <w:gridSpan w:val="3"/>
            <w:shd w:val="clear" w:color="auto" w:fill="CCEEFF"/>
            <w:tcMar>
              <w:top w:w="40" w:type="dxa"/>
              <w:left w:w="20" w:type="dxa"/>
              <w:bottom w:w="40" w:type="dxa"/>
              <w:right w:w="20" w:type="dxa"/>
            </w:tcMar>
            <w:vAlign w:val="bottom"/>
          </w:tcPr>
          <w:p w14:paraId="5902AC6F" w14:textId="77777777" w:rsidR="0084406A" w:rsidRDefault="002B18AF">
            <w:pPr>
              <w:jc w:val="right"/>
              <w:textAlignment w:val="bottom"/>
            </w:pPr>
            <w:r>
              <w:rPr>
                <w:rFonts w:ascii="Arial" w:eastAsia="宋体" w:hAnsi="Arial" w:cs="Arial"/>
                <w:color w:val="000000"/>
                <w:sz w:val="20"/>
                <w:szCs w:val="20"/>
              </w:rPr>
              <w:t>2.23</w:t>
            </w:r>
          </w:p>
        </w:tc>
      </w:tr>
    </w:tbl>
    <w:p w14:paraId="5902AC71" w14:textId="77777777" w:rsidR="0084406A" w:rsidRDefault="002B18AF">
      <w:pPr>
        <w:spacing w:before="180"/>
        <w:jc w:val="both"/>
      </w:pPr>
      <w:r>
        <w:rPr>
          <w:rFonts w:ascii="Arial" w:eastAsia="宋体" w:hAnsi="Arial" w:cs="Arial"/>
          <w:color w:val="000000"/>
          <w:sz w:val="20"/>
          <w:szCs w:val="20"/>
        </w:rPr>
        <w:t xml:space="preserve">The total intrinsic value of stock options exercised for 2021, 2020 and 2019 was $277 million, $180 million and $84 million, respectively. </w:t>
      </w:r>
    </w:p>
    <w:p w14:paraId="5902AC72" w14:textId="77777777" w:rsidR="0084406A" w:rsidRDefault="002B18AF">
      <w:pPr>
        <w:spacing w:before="180"/>
        <w:jc w:val="both"/>
      </w:pPr>
      <w:r>
        <w:rPr>
          <w:rFonts w:ascii="Arial" w:eastAsia="宋体" w:hAnsi="Arial" w:cs="Arial"/>
          <w:color w:val="000000"/>
          <w:sz w:val="20"/>
          <w:szCs w:val="20"/>
        </w:rPr>
        <w:t>As of December 25, 2021, the Company had $23 million of total unrecognized compe</w:t>
      </w:r>
      <w:r>
        <w:rPr>
          <w:rFonts w:ascii="Arial" w:eastAsia="宋体" w:hAnsi="Arial" w:cs="Arial"/>
          <w:color w:val="000000"/>
          <w:sz w:val="20"/>
          <w:szCs w:val="20"/>
        </w:rPr>
        <w:t>nsation expense related to stock options, which will be recognized over the weighted-average period of 1.76 years.</w:t>
      </w:r>
    </w:p>
    <w:p w14:paraId="5902AC73" w14:textId="77777777" w:rsidR="0084406A" w:rsidRDefault="002B18AF">
      <w:pPr>
        <w:jc w:val="center"/>
      </w:pPr>
      <w:r>
        <w:rPr>
          <w:rFonts w:ascii="Arial" w:eastAsia="宋体" w:hAnsi="Arial" w:cs="Arial"/>
          <w:color w:val="000000"/>
          <w:sz w:val="20"/>
          <w:szCs w:val="20"/>
        </w:rPr>
        <w:t>67</w:t>
      </w:r>
    </w:p>
    <w:p w14:paraId="5902AC74" w14:textId="77777777" w:rsidR="0084406A" w:rsidRDefault="002B18AF">
      <w:r>
        <w:pict w14:anchorId="5902BB39">
          <v:rect id="_x0000_i1094" style="width:415.3pt;height:1.5pt" o:hralign="center" o:hrstd="t" o:hr="t" fillcolor="#a0a0a0" stroked="f"/>
        </w:pict>
      </w:r>
    </w:p>
    <w:p w14:paraId="5902AC75" w14:textId="77777777" w:rsidR="0084406A" w:rsidRDefault="0084406A"/>
    <w:p w14:paraId="5902AC76" w14:textId="77777777" w:rsidR="0084406A" w:rsidRDefault="002B18AF">
      <w:pPr>
        <w:spacing w:before="180"/>
        <w:jc w:val="both"/>
      </w:pPr>
      <w:r>
        <w:rPr>
          <w:rFonts w:ascii="Arial" w:eastAsia="宋体" w:hAnsi="Arial" w:cs="Arial"/>
          <w:i/>
          <w:iCs/>
          <w:color w:val="000000"/>
          <w:sz w:val="20"/>
          <w:szCs w:val="20"/>
        </w:rPr>
        <w:t>Time-based RSUs.</w:t>
      </w:r>
      <w:r>
        <w:rPr>
          <w:rFonts w:ascii="Arial" w:eastAsia="宋体" w:hAnsi="Arial" w:cs="Arial"/>
          <w:color w:val="000000"/>
          <w:sz w:val="20"/>
          <w:szCs w:val="20"/>
        </w:rPr>
        <w:t> The weighted-average grant date fair values of time-based RSUs granted during 2021, 2020 and 2019 were $107.02, $78.59</w:t>
      </w:r>
      <w:r>
        <w:rPr>
          <w:rFonts w:ascii="Arial" w:eastAsia="宋体" w:hAnsi="Arial" w:cs="Arial"/>
          <w:color w:val="000000"/>
          <w:sz w:val="20"/>
          <w:szCs w:val="20"/>
        </w:rPr>
        <w:t xml:space="preserve"> and $32.52 per share, respectively.</w:t>
      </w:r>
    </w:p>
    <w:p w14:paraId="5902AC77" w14:textId="77777777" w:rsidR="0084406A" w:rsidRDefault="002B18AF">
      <w:pPr>
        <w:spacing w:before="180"/>
        <w:jc w:val="both"/>
      </w:pPr>
      <w:r>
        <w:rPr>
          <w:rFonts w:ascii="Arial" w:eastAsia="宋体" w:hAnsi="Arial" w:cs="Arial"/>
          <w:color w:val="000000"/>
          <w:sz w:val="20"/>
          <w:szCs w:val="20"/>
        </w:rPr>
        <w:t>The following table summarizes time-based RSU activity and related information:</w:t>
      </w:r>
    </w:p>
    <w:tbl>
      <w:tblPr>
        <w:tblW w:w="4971" w:type="pct"/>
        <w:tblCellMar>
          <w:top w:w="15" w:type="dxa"/>
          <w:left w:w="15" w:type="dxa"/>
          <w:bottom w:w="15" w:type="dxa"/>
          <w:right w:w="15" w:type="dxa"/>
        </w:tblCellMar>
        <w:tblLook w:val="04A0" w:firstRow="1" w:lastRow="0" w:firstColumn="1" w:lastColumn="0" w:noHBand="0" w:noVBand="1"/>
      </w:tblPr>
      <w:tblGrid>
        <w:gridCol w:w="37"/>
        <w:gridCol w:w="3003"/>
        <w:gridCol w:w="36"/>
        <w:gridCol w:w="64"/>
        <w:gridCol w:w="806"/>
        <w:gridCol w:w="36"/>
        <w:gridCol w:w="36"/>
        <w:gridCol w:w="36"/>
        <w:gridCol w:w="36"/>
        <w:gridCol w:w="133"/>
        <w:gridCol w:w="1085"/>
        <w:gridCol w:w="36"/>
        <w:gridCol w:w="36"/>
        <w:gridCol w:w="36"/>
        <w:gridCol w:w="36"/>
        <w:gridCol w:w="133"/>
        <w:gridCol w:w="1087"/>
        <w:gridCol w:w="36"/>
        <w:gridCol w:w="36"/>
        <w:gridCol w:w="36"/>
        <w:gridCol w:w="36"/>
        <w:gridCol w:w="92"/>
        <w:gridCol w:w="1344"/>
        <w:gridCol w:w="36"/>
      </w:tblGrid>
      <w:tr w:rsidR="0084406A" w14:paraId="5902AC90" w14:textId="77777777">
        <w:tc>
          <w:tcPr>
            <w:tcW w:w="50" w:type="pct"/>
            <w:shd w:val="clear" w:color="auto" w:fill="auto"/>
            <w:vAlign w:val="bottom"/>
          </w:tcPr>
          <w:p w14:paraId="5902AC78" w14:textId="77777777" w:rsidR="0084406A" w:rsidRDefault="0084406A">
            <w:pPr>
              <w:rPr>
                <w:rFonts w:ascii="宋体"/>
              </w:rPr>
            </w:pPr>
          </w:p>
        </w:tc>
        <w:tc>
          <w:tcPr>
            <w:tcW w:w="1864" w:type="pct"/>
            <w:shd w:val="clear" w:color="auto" w:fill="auto"/>
            <w:vAlign w:val="bottom"/>
          </w:tcPr>
          <w:p w14:paraId="5902AC79" w14:textId="77777777" w:rsidR="0084406A" w:rsidRDefault="0084406A">
            <w:pPr>
              <w:rPr>
                <w:rFonts w:ascii="宋体"/>
              </w:rPr>
            </w:pPr>
          </w:p>
        </w:tc>
        <w:tc>
          <w:tcPr>
            <w:tcW w:w="5" w:type="pct"/>
            <w:shd w:val="clear" w:color="auto" w:fill="auto"/>
            <w:vAlign w:val="bottom"/>
          </w:tcPr>
          <w:p w14:paraId="5902AC7A" w14:textId="77777777" w:rsidR="0084406A" w:rsidRDefault="0084406A">
            <w:pPr>
              <w:rPr>
                <w:rFonts w:ascii="宋体"/>
              </w:rPr>
            </w:pPr>
          </w:p>
        </w:tc>
        <w:tc>
          <w:tcPr>
            <w:tcW w:w="50" w:type="pct"/>
            <w:shd w:val="clear" w:color="auto" w:fill="auto"/>
            <w:vAlign w:val="bottom"/>
          </w:tcPr>
          <w:p w14:paraId="5902AC7B" w14:textId="77777777" w:rsidR="0084406A" w:rsidRDefault="0084406A">
            <w:pPr>
              <w:rPr>
                <w:rFonts w:ascii="宋体"/>
              </w:rPr>
            </w:pPr>
          </w:p>
        </w:tc>
        <w:tc>
          <w:tcPr>
            <w:tcW w:w="555" w:type="pct"/>
            <w:shd w:val="clear" w:color="auto" w:fill="auto"/>
            <w:vAlign w:val="bottom"/>
          </w:tcPr>
          <w:p w14:paraId="5902AC7C" w14:textId="77777777" w:rsidR="0084406A" w:rsidRDefault="0084406A">
            <w:pPr>
              <w:rPr>
                <w:rFonts w:ascii="宋体"/>
              </w:rPr>
            </w:pPr>
          </w:p>
        </w:tc>
        <w:tc>
          <w:tcPr>
            <w:tcW w:w="5" w:type="pct"/>
            <w:shd w:val="clear" w:color="auto" w:fill="auto"/>
            <w:vAlign w:val="bottom"/>
          </w:tcPr>
          <w:p w14:paraId="5902AC7D" w14:textId="77777777" w:rsidR="0084406A" w:rsidRDefault="0084406A">
            <w:pPr>
              <w:rPr>
                <w:rFonts w:ascii="宋体"/>
              </w:rPr>
            </w:pPr>
          </w:p>
        </w:tc>
        <w:tc>
          <w:tcPr>
            <w:tcW w:w="5" w:type="pct"/>
            <w:shd w:val="clear" w:color="auto" w:fill="auto"/>
            <w:vAlign w:val="bottom"/>
          </w:tcPr>
          <w:p w14:paraId="5902AC7E" w14:textId="77777777" w:rsidR="0084406A" w:rsidRDefault="0084406A">
            <w:pPr>
              <w:rPr>
                <w:rFonts w:ascii="宋体"/>
              </w:rPr>
            </w:pPr>
          </w:p>
        </w:tc>
        <w:tc>
          <w:tcPr>
            <w:tcW w:w="26" w:type="pct"/>
            <w:shd w:val="clear" w:color="auto" w:fill="auto"/>
            <w:vAlign w:val="bottom"/>
          </w:tcPr>
          <w:p w14:paraId="5902AC7F" w14:textId="77777777" w:rsidR="0084406A" w:rsidRDefault="0084406A">
            <w:pPr>
              <w:rPr>
                <w:rFonts w:ascii="宋体"/>
              </w:rPr>
            </w:pPr>
          </w:p>
        </w:tc>
        <w:tc>
          <w:tcPr>
            <w:tcW w:w="5" w:type="pct"/>
            <w:shd w:val="clear" w:color="auto" w:fill="auto"/>
            <w:vAlign w:val="bottom"/>
          </w:tcPr>
          <w:p w14:paraId="5902AC80" w14:textId="77777777" w:rsidR="0084406A" w:rsidRDefault="0084406A">
            <w:pPr>
              <w:rPr>
                <w:rFonts w:ascii="宋体"/>
              </w:rPr>
            </w:pPr>
          </w:p>
        </w:tc>
        <w:tc>
          <w:tcPr>
            <w:tcW w:w="50" w:type="pct"/>
            <w:shd w:val="clear" w:color="auto" w:fill="auto"/>
            <w:vAlign w:val="bottom"/>
          </w:tcPr>
          <w:p w14:paraId="5902AC81" w14:textId="77777777" w:rsidR="0084406A" w:rsidRDefault="0084406A">
            <w:pPr>
              <w:rPr>
                <w:rFonts w:ascii="宋体"/>
              </w:rPr>
            </w:pPr>
          </w:p>
        </w:tc>
        <w:tc>
          <w:tcPr>
            <w:tcW w:w="731" w:type="pct"/>
            <w:shd w:val="clear" w:color="auto" w:fill="auto"/>
            <w:vAlign w:val="bottom"/>
          </w:tcPr>
          <w:p w14:paraId="5902AC82" w14:textId="77777777" w:rsidR="0084406A" w:rsidRDefault="0084406A">
            <w:pPr>
              <w:rPr>
                <w:rFonts w:ascii="宋体"/>
              </w:rPr>
            </w:pPr>
          </w:p>
        </w:tc>
        <w:tc>
          <w:tcPr>
            <w:tcW w:w="5" w:type="pct"/>
            <w:shd w:val="clear" w:color="auto" w:fill="auto"/>
            <w:vAlign w:val="bottom"/>
          </w:tcPr>
          <w:p w14:paraId="5902AC83" w14:textId="77777777" w:rsidR="0084406A" w:rsidRDefault="0084406A">
            <w:pPr>
              <w:rPr>
                <w:rFonts w:ascii="宋体"/>
              </w:rPr>
            </w:pPr>
          </w:p>
        </w:tc>
        <w:tc>
          <w:tcPr>
            <w:tcW w:w="5" w:type="pct"/>
            <w:shd w:val="clear" w:color="auto" w:fill="auto"/>
            <w:vAlign w:val="bottom"/>
          </w:tcPr>
          <w:p w14:paraId="5902AC84" w14:textId="77777777" w:rsidR="0084406A" w:rsidRDefault="0084406A">
            <w:pPr>
              <w:rPr>
                <w:rFonts w:ascii="宋体"/>
              </w:rPr>
            </w:pPr>
          </w:p>
        </w:tc>
        <w:tc>
          <w:tcPr>
            <w:tcW w:w="26" w:type="pct"/>
            <w:shd w:val="clear" w:color="auto" w:fill="auto"/>
            <w:vAlign w:val="bottom"/>
          </w:tcPr>
          <w:p w14:paraId="5902AC85" w14:textId="77777777" w:rsidR="0084406A" w:rsidRDefault="0084406A">
            <w:pPr>
              <w:rPr>
                <w:rFonts w:ascii="宋体"/>
              </w:rPr>
            </w:pPr>
          </w:p>
        </w:tc>
        <w:tc>
          <w:tcPr>
            <w:tcW w:w="5" w:type="pct"/>
            <w:shd w:val="clear" w:color="auto" w:fill="auto"/>
            <w:vAlign w:val="bottom"/>
          </w:tcPr>
          <w:p w14:paraId="5902AC86" w14:textId="77777777" w:rsidR="0084406A" w:rsidRDefault="0084406A">
            <w:pPr>
              <w:rPr>
                <w:rFonts w:ascii="宋体"/>
              </w:rPr>
            </w:pPr>
          </w:p>
        </w:tc>
        <w:tc>
          <w:tcPr>
            <w:tcW w:w="50" w:type="pct"/>
            <w:shd w:val="clear" w:color="auto" w:fill="auto"/>
            <w:vAlign w:val="bottom"/>
          </w:tcPr>
          <w:p w14:paraId="5902AC87" w14:textId="77777777" w:rsidR="0084406A" w:rsidRDefault="0084406A">
            <w:pPr>
              <w:rPr>
                <w:rFonts w:ascii="宋体"/>
              </w:rPr>
            </w:pPr>
          </w:p>
        </w:tc>
        <w:tc>
          <w:tcPr>
            <w:tcW w:w="731" w:type="pct"/>
            <w:shd w:val="clear" w:color="auto" w:fill="auto"/>
            <w:vAlign w:val="bottom"/>
          </w:tcPr>
          <w:p w14:paraId="5902AC88" w14:textId="77777777" w:rsidR="0084406A" w:rsidRDefault="0084406A">
            <w:pPr>
              <w:rPr>
                <w:rFonts w:ascii="宋体"/>
              </w:rPr>
            </w:pPr>
          </w:p>
        </w:tc>
        <w:tc>
          <w:tcPr>
            <w:tcW w:w="5" w:type="pct"/>
            <w:shd w:val="clear" w:color="auto" w:fill="auto"/>
            <w:vAlign w:val="bottom"/>
          </w:tcPr>
          <w:p w14:paraId="5902AC89" w14:textId="77777777" w:rsidR="0084406A" w:rsidRDefault="0084406A">
            <w:pPr>
              <w:rPr>
                <w:rFonts w:ascii="宋体"/>
              </w:rPr>
            </w:pPr>
          </w:p>
        </w:tc>
        <w:tc>
          <w:tcPr>
            <w:tcW w:w="5" w:type="pct"/>
            <w:shd w:val="clear" w:color="auto" w:fill="auto"/>
            <w:vAlign w:val="bottom"/>
          </w:tcPr>
          <w:p w14:paraId="5902AC8A" w14:textId="77777777" w:rsidR="0084406A" w:rsidRDefault="0084406A">
            <w:pPr>
              <w:rPr>
                <w:rFonts w:ascii="宋体"/>
              </w:rPr>
            </w:pPr>
          </w:p>
        </w:tc>
        <w:tc>
          <w:tcPr>
            <w:tcW w:w="26" w:type="pct"/>
            <w:shd w:val="clear" w:color="auto" w:fill="auto"/>
            <w:vAlign w:val="bottom"/>
          </w:tcPr>
          <w:p w14:paraId="5902AC8B" w14:textId="77777777" w:rsidR="0084406A" w:rsidRDefault="0084406A">
            <w:pPr>
              <w:rPr>
                <w:rFonts w:ascii="宋体"/>
              </w:rPr>
            </w:pPr>
          </w:p>
        </w:tc>
        <w:tc>
          <w:tcPr>
            <w:tcW w:w="5" w:type="pct"/>
            <w:shd w:val="clear" w:color="auto" w:fill="auto"/>
            <w:vAlign w:val="bottom"/>
          </w:tcPr>
          <w:p w14:paraId="5902AC8C" w14:textId="77777777" w:rsidR="0084406A" w:rsidRDefault="0084406A">
            <w:pPr>
              <w:rPr>
                <w:rFonts w:ascii="宋体"/>
              </w:rPr>
            </w:pPr>
          </w:p>
        </w:tc>
        <w:tc>
          <w:tcPr>
            <w:tcW w:w="50" w:type="pct"/>
            <w:shd w:val="clear" w:color="auto" w:fill="auto"/>
            <w:vAlign w:val="bottom"/>
          </w:tcPr>
          <w:p w14:paraId="5902AC8D" w14:textId="77777777" w:rsidR="0084406A" w:rsidRDefault="0084406A">
            <w:pPr>
              <w:rPr>
                <w:rFonts w:ascii="宋体"/>
              </w:rPr>
            </w:pPr>
          </w:p>
        </w:tc>
        <w:tc>
          <w:tcPr>
            <w:tcW w:w="731" w:type="pct"/>
            <w:shd w:val="clear" w:color="auto" w:fill="auto"/>
            <w:vAlign w:val="bottom"/>
          </w:tcPr>
          <w:p w14:paraId="5902AC8E" w14:textId="77777777" w:rsidR="0084406A" w:rsidRDefault="0084406A">
            <w:pPr>
              <w:rPr>
                <w:rFonts w:ascii="宋体"/>
              </w:rPr>
            </w:pPr>
          </w:p>
        </w:tc>
        <w:tc>
          <w:tcPr>
            <w:tcW w:w="5" w:type="pct"/>
            <w:shd w:val="clear" w:color="auto" w:fill="auto"/>
            <w:vAlign w:val="bottom"/>
          </w:tcPr>
          <w:p w14:paraId="5902AC8F" w14:textId="77777777" w:rsidR="0084406A" w:rsidRDefault="0084406A">
            <w:pPr>
              <w:rPr>
                <w:rFonts w:ascii="宋体"/>
              </w:rPr>
            </w:pPr>
          </w:p>
        </w:tc>
      </w:tr>
      <w:tr w:rsidR="0084406A" w14:paraId="5902AC9D" w14:textId="77777777">
        <w:trPr>
          <w:hidden/>
        </w:trPr>
        <w:tc>
          <w:tcPr>
            <w:tcW w:w="0" w:type="auto"/>
            <w:gridSpan w:val="3"/>
            <w:shd w:val="clear" w:color="auto" w:fill="auto"/>
            <w:vAlign w:val="bottom"/>
          </w:tcPr>
          <w:p w14:paraId="5902AC91" w14:textId="77777777" w:rsidR="0084406A" w:rsidRDefault="0084406A">
            <w:pPr>
              <w:rPr>
                <w:rFonts w:ascii="宋体"/>
                <w:vanish/>
              </w:rPr>
            </w:pPr>
          </w:p>
        </w:tc>
        <w:tc>
          <w:tcPr>
            <w:tcW w:w="0" w:type="auto"/>
            <w:gridSpan w:val="3"/>
            <w:shd w:val="clear" w:color="auto" w:fill="auto"/>
            <w:vAlign w:val="bottom"/>
          </w:tcPr>
          <w:p w14:paraId="5902AC92" w14:textId="77777777" w:rsidR="0084406A" w:rsidRDefault="0084406A">
            <w:pPr>
              <w:rPr>
                <w:rFonts w:ascii="宋体"/>
                <w:vanish/>
              </w:rPr>
            </w:pPr>
          </w:p>
        </w:tc>
        <w:tc>
          <w:tcPr>
            <w:tcW w:w="0" w:type="auto"/>
            <w:gridSpan w:val="3"/>
            <w:shd w:val="clear" w:color="auto" w:fill="auto"/>
            <w:vAlign w:val="bottom"/>
          </w:tcPr>
          <w:p w14:paraId="5902AC93" w14:textId="77777777" w:rsidR="0084406A" w:rsidRDefault="0084406A">
            <w:pPr>
              <w:rPr>
                <w:rFonts w:ascii="宋体"/>
                <w:vanish/>
              </w:rPr>
            </w:pPr>
          </w:p>
        </w:tc>
        <w:tc>
          <w:tcPr>
            <w:tcW w:w="0" w:type="auto"/>
            <w:gridSpan w:val="3"/>
            <w:shd w:val="clear" w:color="auto" w:fill="auto"/>
            <w:vAlign w:val="bottom"/>
          </w:tcPr>
          <w:p w14:paraId="5902AC94" w14:textId="77777777" w:rsidR="0084406A" w:rsidRDefault="0084406A">
            <w:pPr>
              <w:rPr>
                <w:rFonts w:ascii="宋体"/>
                <w:vanish/>
              </w:rPr>
            </w:pPr>
          </w:p>
        </w:tc>
        <w:tc>
          <w:tcPr>
            <w:tcW w:w="0" w:type="auto"/>
            <w:gridSpan w:val="3"/>
            <w:shd w:val="clear" w:color="auto" w:fill="auto"/>
            <w:vAlign w:val="bottom"/>
          </w:tcPr>
          <w:p w14:paraId="5902AC95" w14:textId="77777777" w:rsidR="0084406A" w:rsidRDefault="0084406A">
            <w:pPr>
              <w:rPr>
                <w:rFonts w:ascii="宋体"/>
                <w:vanish/>
              </w:rPr>
            </w:pPr>
          </w:p>
        </w:tc>
        <w:tc>
          <w:tcPr>
            <w:tcW w:w="0" w:type="auto"/>
            <w:gridSpan w:val="3"/>
            <w:shd w:val="clear" w:color="auto" w:fill="auto"/>
            <w:vAlign w:val="bottom"/>
          </w:tcPr>
          <w:p w14:paraId="5902AC96" w14:textId="77777777" w:rsidR="0084406A" w:rsidRDefault="0084406A">
            <w:pPr>
              <w:rPr>
                <w:rFonts w:ascii="宋体"/>
                <w:vanish/>
              </w:rPr>
            </w:pPr>
          </w:p>
        </w:tc>
        <w:tc>
          <w:tcPr>
            <w:tcW w:w="0" w:type="auto"/>
            <w:shd w:val="clear" w:color="auto" w:fill="auto"/>
            <w:vAlign w:val="bottom"/>
          </w:tcPr>
          <w:p w14:paraId="5902AC97" w14:textId="77777777" w:rsidR="0084406A" w:rsidRDefault="0084406A">
            <w:pPr>
              <w:rPr>
                <w:rFonts w:ascii="宋体"/>
              </w:rPr>
            </w:pPr>
          </w:p>
        </w:tc>
        <w:tc>
          <w:tcPr>
            <w:tcW w:w="0" w:type="auto"/>
            <w:shd w:val="clear" w:color="auto" w:fill="auto"/>
            <w:vAlign w:val="bottom"/>
          </w:tcPr>
          <w:p w14:paraId="5902AC98" w14:textId="77777777" w:rsidR="0084406A" w:rsidRDefault="0084406A">
            <w:pPr>
              <w:rPr>
                <w:rFonts w:ascii="宋体"/>
              </w:rPr>
            </w:pPr>
          </w:p>
        </w:tc>
        <w:tc>
          <w:tcPr>
            <w:tcW w:w="0" w:type="auto"/>
            <w:shd w:val="clear" w:color="auto" w:fill="auto"/>
            <w:vAlign w:val="bottom"/>
          </w:tcPr>
          <w:p w14:paraId="5902AC99" w14:textId="77777777" w:rsidR="0084406A" w:rsidRDefault="0084406A">
            <w:pPr>
              <w:rPr>
                <w:rFonts w:ascii="宋体"/>
              </w:rPr>
            </w:pPr>
          </w:p>
        </w:tc>
        <w:tc>
          <w:tcPr>
            <w:tcW w:w="0" w:type="auto"/>
            <w:shd w:val="clear" w:color="auto" w:fill="auto"/>
            <w:vAlign w:val="bottom"/>
          </w:tcPr>
          <w:p w14:paraId="5902AC9A" w14:textId="77777777" w:rsidR="0084406A" w:rsidRDefault="0084406A">
            <w:pPr>
              <w:rPr>
                <w:rFonts w:ascii="宋体"/>
              </w:rPr>
            </w:pPr>
          </w:p>
        </w:tc>
        <w:tc>
          <w:tcPr>
            <w:tcW w:w="0" w:type="auto"/>
            <w:shd w:val="clear" w:color="auto" w:fill="auto"/>
            <w:vAlign w:val="bottom"/>
          </w:tcPr>
          <w:p w14:paraId="5902AC9B" w14:textId="77777777" w:rsidR="0084406A" w:rsidRDefault="0084406A">
            <w:pPr>
              <w:rPr>
                <w:rFonts w:ascii="宋体"/>
              </w:rPr>
            </w:pPr>
          </w:p>
        </w:tc>
        <w:tc>
          <w:tcPr>
            <w:tcW w:w="0" w:type="auto"/>
            <w:shd w:val="clear" w:color="auto" w:fill="auto"/>
            <w:vAlign w:val="bottom"/>
          </w:tcPr>
          <w:p w14:paraId="5902AC9C" w14:textId="77777777" w:rsidR="0084406A" w:rsidRDefault="0084406A">
            <w:pPr>
              <w:rPr>
                <w:rFonts w:ascii="宋体"/>
              </w:rPr>
            </w:pPr>
          </w:p>
        </w:tc>
      </w:tr>
      <w:tr w:rsidR="0084406A" w14:paraId="5902ACA6" w14:textId="77777777">
        <w:tc>
          <w:tcPr>
            <w:tcW w:w="0" w:type="auto"/>
            <w:gridSpan w:val="3"/>
            <w:shd w:val="clear" w:color="auto" w:fill="auto"/>
            <w:tcMar>
              <w:top w:w="0" w:type="dxa"/>
              <w:left w:w="20" w:type="dxa"/>
              <w:bottom w:w="0" w:type="dxa"/>
              <w:right w:w="20" w:type="dxa"/>
            </w:tcMar>
            <w:vAlign w:val="bottom"/>
          </w:tcPr>
          <w:p w14:paraId="5902AC9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C9F" w14:textId="77777777" w:rsidR="0084406A" w:rsidRDefault="002B18AF">
            <w:pPr>
              <w:jc w:val="center"/>
              <w:textAlignment w:val="bottom"/>
            </w:pPr>
            <w:r>
              <w:rPr>
                <w:rFonts w:ascii="Arial" w:eastAsia="宋体" w:hAnsi="Arial" w:cs="Arial"/>
                <w:b/>
                <w:bCs/>
                <w:color w:val="000000"/>
                <w:sz w:val="16"/>
                <w:szCs w:val="16"/>
              </w:rPr>
              <w:t>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vAlign w:val="bottom"/>
          </w:tcPr>
          <w:p w14:paraId="5902ACA0"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CA1" w14:textId="77777777" w:rsidR="0084406A" w:rsidRDefault="002B18AF">
            <w:pPr>
              <w:jc w:val="center"/>
              <w:textAlignment w:val="bottom"/>
            </w:pPr>
            <w:r>
              <w:rPr>
                <w:rFonts w:ascii="Arial" w:eastAsia="宋体" w:hAnsi="Arial" w:cs="Arial"/>
                <w:b/>
                <w:bCs/>
                <w:color w:val="000000"/>
                <w:sz w:val="16"/>
                <w:szCs w:val="16"/>
              </w:rPr>
              <w:t>Weighted- Average Grant-Date Fair Value</w:t>
            </w:r>
          </w:p>
        </w:tc>
        <w:tc>
          <w:tcPr>
            <w:tcW w:w="0" w:type="auto"/>
            <w:gridSpan w:val="3"/>
            <w:shd w:val="clear" w:color="auto" w:fill="auto"/>
            <w:tcMar>
              <w:top w:w="0" w:type="dxa"/>
              <w:left w:w="20" w:type="dxa"/>
              <w:bottom w:w="0" w:type="dxa"/>
              <w:right w:w="20" w:type="dxa"/>
            </w:tcMar>
            <w:vAlign w:val="bottom"/>
          </w:tcPr>
          <w:p w14:paraId="5902ACA2"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CA3" w14:textId="77777777" w:rsidR="0084406A" w:rsidRDefault="002B18AF">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vAlign w:val="bottom"/>
          </w:tcPr>
          <w:p w14:paraId="5902ACA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CA5" w14:textId="77777777" w:rsidR="0084406A" w:rsidRDefault="002B18AF">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84406A" w14:paraId="5902ACAB" w14:textId="77777777">
        <w:tc>
          <w:tcPr>
            <w:tcW w:w="0" w:type="auto"/>
            <w:gridSpan w:val="3"/>
            <w:shd w:val="clear" w:color="auto" w:fill="auto"/>
            <w:tcMar>
              <w:top w:w="40" w:type="dxa"/>
              <w:left w:w="20" w:type="dxa"/>
              <w:bottom w:w="40" w:type="dxa"/>
              <w:right w:w="20" w:type="dxa"/>
            </w:tcMar>
            <w:vAlign w:val="bottom"/>
          </w:tcPr>
          <w:p w14:paraId="5902ACA7"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CA8" w14:textId="77777777" w:rsidR="0084406A" w:rsidRDefault="002B18AF">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vAlign w:val="bottom"/>
          </w:tcPr>
          <w:p w14:paraId="5902ACA9" w14:textId="77777777" w:rsidR="0084406A" w:rsidRDefault="0084406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CAA" w14:textId="77777777" w:rsidR="0084406A" w:rsidRDefault="0084406A">
            <w:pPr>
              <w:rPr>
                <w:rFonts w:ascii="宋体"/>
              </w:rPr>
            </w:pPr>
          </w:p>
        </w:tc>
      </w:tr>
      <w:tr w:rsidR="0084406A" w14:paraId="5902ACB7" w14:textId="77777777">
        <w:tc>
          <w:tcPr>
            <w:tcW w:w="0" w:type="auto"/>
            <w:gridSpan w:val="3"/>
            <w:shd w:val="clear" w:color="auto" w:fill="CCEEFF"/>
            <w:tcMar>
              <w:top w:w="40" w:type="dxa"/>
              <w:left w:w="20" w:type="dxa"/>
              <w:bottom w:w="40" w:type="dxa"/>
              <w:right w:w="20" w:type="dxa"/>
            </w:tcMar>
            <w:vAlign w:val="bottom"/>
          </w:tcPr>
          <w:p w14:paraId="5902ACAC" w14:textId="77777777" w:rsidR="0084406A" w:rsidRDefault="002B18AF">
            <w:pPr>
              <w:textAlignment w:val="bottom"/>
            </w:pPr>
            <w:r>
              <w:rPr>
                <w:rFonts w:ascii="Arial" w:eastAsia="宋体" w:hAnsi="Arial" w:cs="Arial"/>
                <w:color w:val="000000"/>
                <w:sz w:val="20"/>
                <w:szCs w:val="20"/>
              </w:rPr>
              <w:t xml:space="preserve">Unvested shares as of </w:t>
            </w:r>
            <w:r>
              <w:rPr>
                <w:rFonts w:ascii="Arial" w:eastAsia="宋体" w:hAnsi="Arial" w:cs="Arial"/>
                <w:color w:val="000000"/>
                <w:sz w:val="20"/>
                <w:szCs w:val="20"/>
              </w:rPr>
              <w:t>December 26, 2020</w:t>
            </w:r>
          </w:p>
        </w:tc>
        <w:tc>
          <w:tcPr>
            <w:tcW w:w="0" w:type="auto"/>
            <w:gridSpan w:val="2"/>
            <w:shd w:val="clear" w:color="auto" w:fill="CCEEFF"/>
            <w:tcMar>
              <w:top w:w="40" w:type="dxa"/>
              <w:left w:w="20" w:type="dxa"/>
              <w:bottom w:w="40" w:type="dxa"/>
              <w:right w:w="0" w:type="dxa"/>
            </w:tcMar>
            <w:vAlign w:val="bottom"/>
          </w:tcPr>
          <w:p w14:paraId="5902ACAD" w14:textId="77777777" w:rsidR="0084406A" w:rsidRDefault="002B18AF">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5902ACA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AF"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B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B1" w14:textId="77777777" w:rsidR="0084406A" w:rsidRDefault="002B18AF">
            <w:pPr>
              <w:jc w:val="right"/>
              <w:textAlignment w:val="bottom"/>
            </w:pPr>
            <w:r>
              <w:rPr>
                <w:rFonts w:ascii="Arial" w:eastAsia="宋体" w:hAnsi="Arial" w:cs="Arial"/>
                <w:color w:val="000000"/>
                <w:sz w:val="20"/>
                <w:szCs w:val="20"/>
              </w:rPr>
              <w:t>43.98 </w:t>
            </w:r>
          </w:p>
        </w:tc>
        <w:tc>
          <w:tcPr>
            <w:tcW w:w="0" w:type="auto"/>
            <w:shd w:val="clear" w:color="auto" w:fill="CCEEFF"/>
            <w:tcMar>
              <w:top w:w="40" w:type="dxa"/>
              <w:left w:w="0" w:type="dxa"/>
              <w:bottom w:w="40" w:type="dxa"/>
              <w:right w:w="20" w:type="dxa"/>
            </w:tcMar>
            <w:vAlign w:val="bottom"/>
          </w:tcPr>
          <w:p w14:paraId="5902ACB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B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B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B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B6" w14:textId="77777777" w:rsidR="0084406A" w:rsidRDefault="0084406A">
            <w:pPr>
              <w:rPr>
                <w:rFonts w:ascii="宋体"/>
              </w:rPr>
            </w:pPr>
          </w:p>
        </w:tc>
      </w:tr>
      <w:tr w:rsidR="0084406A" w14:paraId="5902ACC3" w14:textId="77777777">
        <w:tc>
          <w:tcPr>
            <w:tcW w:w="0" w:type="auto"/>
            <w:gridSpan w:val="3"/>
            <w:shd w:val="clear" w:color="auto" w:fill="FFFFFF"/>
            <w:tcMar>
              <w:top w:w="40" w:type="dxa"/>
              <w:left w:w="155" w:type="dxa"/>
              <w:bottom w:w="40" w:type="dxa"/>
              <w:right w:w="20" w:type="dxa"/>
            </w:tcMar>
            <w:vAlign w:val="bottom"/>
          </w:tcPr>
          <w:p w14:paraId="5902ACB8" w14:textId="77777777" w:rsidR="0084406A" w:rsidRDefault="002B18AF">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902ACB9"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5902ACB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BB"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CB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CBD" w14:textId="77777777" w:rsidR="0084406A" w:rsidRDefault="002B18AF">
            <w:pPr>
              <w:jc w:val="right"/>
              <w:textAlignment w:val="bottom"/>
            </w:pPr>
            <w:r>
              <w:rPr>
                <w:rFonts w:ascii="Arial" w:eastAsia="宋体" w:hAnsi="Arial" w:cs="Arial"/>
                <w:color w:val="000000"/>
                <w:sz w:val="20"/>
                <w:szCs w:val="20"/>
              </w:rPr>
              <w:t>107.02 </w:t>
            </w:r>
          </w:p>
        </w:tc>
        <w:tc>
          <w:tcPr>
            <w:tcW w:w="0" w:type="auto"/>
            <w:shd w:val="clear" w:color="auto" w:fill="FFFFFF"/>
            <w:tcMar>
              <w:top w:w="40" w:type="dxa"/>
              <w:left w:w="0" w:type="dxa"/>
              <w:bottom w:w="40" w:type="dxa"/>
              <w:right w:w="20" w:type="dxa"/>
            </w:tcMar>
            <w:vAlign w:val="bottom"/>
          </w:tcPr>
          <w:p w14:paraId="5902ACB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B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C0"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C1"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C2" w14:textId="77777777" w:rsidR="0084406A" w:rsidRDefault="0084406A">
            <w:pPr>
              <w:rPr>
                <w:rFonts w:ascii="宋体"/>
              </w:rPr>
            </w:pPr>
          </w:p>
        </w:tc>
      </w:tr>
      <w:tr w:rsidR="0084406A" w14:paraId="5902ACCF" w14:textId="77777777">
        <w:tc>
          <w:tcPr>
            <w:tcW w:w="0" w:type="auto"/>
            <w:gridSpan w:val="3"/>
            <w:shd w:val="clear" w:color="auto" w:fill="CCEEFF"/>
            <w:tcMar>
              <w:top w:w="40" w:type="dxa"/>
              <w:left w:w="155" w:type="dxa"/>
              <w:bottom w:w="40" w:type="dxa"/>
              <w:right w:w="20" w:type="dxa"/>
            </w:tcMar>
            <w:vAlign w:val="bottom"/>
          </w:tcPr>
          <w:p w14:paraId="5902ACC4" w14:textId="77777777" w:rsidR="0084406A" w:rsidRDefault="002B18AF">
            <w:pPr>
              <w:textAlignment w:val="bottom"/>
            </w:pPr>
            <w:r>
              <w:rPr>
                <w:rFonts w:ascii="Arial" w:eastAsia="宋体" w:hAnsi="Arial" w:cs="Arial"/>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5902ACC5"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5902ACC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C7"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C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C9" w14:textId="77777777" w:rsidR="0084406A" w:rsidRDefault="002B18AF">
            <w:pPr>
              <w:jc w:val="right"/>
              <w:textAlignment w:val="bottom"/>
            </w:pPr>
            <w:r>
              <w:rPr>
                <w:rFonts w:ascii="Arial" w:eastAsia="宋体" w:hAnsi="Arial" w:cs="Arial"/>
                <w:color w:val="000000"/>
                <w:sz w:val="20"/>
                <w:szCs w:val="20"/>
              </w:rPr>
              <w:t>63.99 </w:t>
            </w:r>
          </w:p>
        </w:tc>
        <w:tc>
          <w:tcPr>
            <w:tcW w:w="0" w:type="auto"/>
            <w:shd w:val="clear" w:color="auto" w:fill="CCEEFF"/>
            <w:tcMar>
              <w:top w:w="40" w:type="dxa"/>
              <w:left w:w="0" w:type="dxa"/>
              <w:bottom w:w="40" w:type="dxa"/>
              <w:right w:w="20" w:type="dxa"/>
            </w:tcMar>
            <w:vAlign w:val="bottom"/>
          </w:tcPr>
          <w:p w14:paraId="5902ACC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C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C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C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CCE" w14:textId="77777777" w:rsidR="0084406A" w:rsidRDefault="0084406A">
            <w:pPr>
              <w:rPr>
                <w:rFonts w:ascii="宋体"/>
              </w:rPr>
            </w:pPr>
          </w:p>
        </w:tc>
      </w:tr>
      <w:tr w:rsidR="0084406A" w14:paraId="5902ACDB" w14:textId="77777777">
        <w:tc>
          <w:tcPr>
            <w:tcW w:w="0" w:type="auto"/>
            <w:gridSpan w:val="3"/>
            <w:shd w:val="clear" w:color="auto" w:fill="FFFFFF"/>
            <w:tcMar>
              <w:top w:w="40" w:type="dxa"/>
              <w:left w:w="155" w:type="dxa"/>
              <w:bottom w:w="40" w:type="dxa"/>
              <w:right w:w="20" w:type="dxa"/>
            </w:tcMar>
            <w:vAlign w:val="bottom"/>
          </w:tcPr>
          <w:p w14:paraId="5902ACD0" w14:textId="77777777" w:rsidR="0084406A" w:rsidRDefault="002B18AF">
            <w:pPr>
              <w:textAlignment w:val="bottom"/>
            </w:pPr>
            <w:r>
              <w:rPr>
                <w:rFonts w:ascii="Arial" w:eastAsia="宋体" w:hAnsi="Arial" w:cs="Arial"/>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5902ACD1" w14:textId="77777777" w:rsidR="0084406A" w:rsidRDefault="002B18AF">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5902ACD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D3"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CD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CD5" w14:textId="77777777" w:rsidR="0084406A" w:rsidRDefault="002B18AF">
            <w:pPr>
              <w:jc w:val="right"/>
              <w:textAlignment w:val="bottom"/>
            </w:pPr>
            <w:r>
              <w:rPr>
                <w:rFonts w:ascii="Arial" w:eastAsia="宋体" w:hAnsi="Arial" w:cs="Arial"/>
                <w:color w:val="000000"/>
                <w:sz w:val="20"/>
                <w:szCs w:val="20"/>
              </w:rPr>
              <w:t>36.37 </w:t>
            </w:r>
          </w:p>
        </w:tc>
        <w:tc>
          <w:tcPr>
            <w:tcW w:w="0" w:type="auto"/>
            <w:shd w:val="clear" w:color="auto" w:fill="FFFFFF"/>
            <w:tcMar>
              <w:top w:w="40" w:type="dxa"/>
              <w:left w:w="0" w:type="dxa"/>
              <w:bottom w:w="40" w:type="dxa"/>
              <w:right w:w="20" w:type="dxa"/>
            </w:tcMar>
            <w:vAlign w:val="bottom"/>
          </w:tcPr>
          <w:p w14:paraId="5902ACD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CD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D8"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D9"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CDA" w14:textId="77777777" w:rsidR="0084406A" w:rsidRDefault="0084406A">
            <w:pPr>
              <w:rPr>
                <w:rFonts w:ascii="宋体"/>
              </w:rPr>
            </w:pPr>
          </w:p>
        </w:tc>
      </w:tr>
      <w:tr w:rsidR="0084406A" w14:paraId="5902ACE9" w14:textId="77777777">
        <w:tc>
          <w:tcPr>
            <w:tcW w:w="0" w:type="auto"/>
            <w:gridSpan w:val="3"/>
            <w:shd w:val="clear" w:color="auto" w:fill="CCEEFF"/>
            <w:tcMar>
              <w:top w:w="40" w:type="dxa"/>
              <w:left w:w="20" w:type="dxa"/>
              <w:bottom w:w="40" w:type="dxa"/>
              <w:right w:w="20" w:type="dxa"/>
            </w:tcMar>
            <w:vAlign w:val="bottom"/>
          </w:tcPr>
          <w:p w14:paraId="5902ACDC" w14:textId="77777777" w:rsidR="0084406A" w:rsidRDefault="002B18AF">
            <w:pPr>
              <w:textAlignment w:val="bottom"/>
            </w:pPr>
            <w:r>
              <w:rPr>
                <w:rFonts w:ascii="Arial" w:eastAsia="宋体" w:hAnsi="Arial" w:cs="Arial"/>
                <w:color w:val="000000"/>
                <w:sz w:val="20"/>
                <w:szCs w:val="20"/>
              </w:rPr>
              <w:t>Unvested shares as of December 25,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CDD" w14:textId="77777777" w:rsidR="0084406A" w:rsidRDefault="002B18AF">
            <w:pPr>
              <w:jc w:val="right"/>
              <w:textAlignment w:val="bottom"/>
            </w:pPr>
            <w:r>
              <w:rPr>
                <w:rFonts w:ascii="Arial" w:eastAsia="宋体" w:hAnsi="Arial" w:cs="Arial"/>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CD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DF"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E0"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E1" w14:textId="77777777" w:rsidR="0084406A" w:rsidRDefault="002B18AF">
            <w:pPr>
              <w:jc w:val="right"/>
              <w:textAlignment w:val="bottom"/>
            </w:pPr>
            <w:r>
              <w:rPr>
                <w:rFonts w:ascii="Arial" w:eastAsia="宋体" w:hAnsi="Arial" w:cs="Arial"/>
                <w:color w:val="000000"/>
                <w:sz w:val="20"/>
                <w:szCs w:val="20"/>
              </w:rPr>
              <w:t>79.03 </w:t>
            </w:r>
          </w:p>
        </w:tc>
        <w:tc>
          <w:tcPr>
            <w:tcW w:w="0" w:type="auto"/>
            <w:shd w:val="clear" w:color="auto" w:fill="CCEEFF"/>
            <w:tcMar>
              <w:top w:w="40" w:type="dxa"/>
              <w:left w:w="0" w:type="dxa"/>
              <w:bottom w:w="40" w:type="dxa"/>
              <w:right w:w="20" w:type="dxa"/>
            </w:tcMar>
            <w:vAlign w:val="bottom"/>
          </w:tcPr>
          <w:p w14:paraId="5902ACE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E3"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CE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CE5" w14:textId="77777777" w:rsidR="0084406A" w:rsidRDefault="002B18AF">
            <w:pPr>
              <w:jc w:val="right"/>
              <w:textAlignment w:val="bottom"/>
            </w:pPr>
            <w:r>
              <w:rPr>
                <w:rFonts w:ascii="Arial" w:eastAsia="宋体" w:hAnsi="Arial" w:cs="Arial"/>
                <w:color w:val="000000"/>
                <w:sz w:val="20"/>
                <w:szCs w:val="20"/>
              </w:rPr>
              <w:t>1,460 </w:t>
            </w:r>
          </w:p>
        </w:tc>
        <w:tc>
          <w:tcPr>
            <w:tcW w:w="0" w:type="auto"/>
            <w:shd w:val="clear" w:color="auto" w:fill="CCEEFF"/>
            <w:tcMar>
              <w:top w:w="40" w:type="dxa"/>
              <w:left w:w="0" w:type="dxa"/>
              <w:bottom w:w="40" w:type="dxa"/>
              <w:right w:w="20" w:type="dxa"/>
            </w:tcMar>
            <w:vAlign w:val="bottom"/>
          </w:tcPr>
          <w:p w14:paraId="5902ACE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CE7" w14:textId="77777777" w:rsidR="0084406A" w:rsidRDefault="0084406A">
            <w:pPr>
              <w:rPr>
                <w:rFonts w:ascii="宋体"/>
              </w:rPr>
            </w:pPr>
          </w:p>
        </w:tc>
        <w:tc>
          <w:tcPr>
            <w:tcW w:w="0" w:type="auto"/>
            <w:gridSpan w:val="3"/>
            <w:shd w:val="clear" w:color="auto" w:fill="CCEEFF"/>
            <w:tcMar>
              <w:top w:w="40" w:type="dxa"/>
              <w:left w:w="20" w:type="dxa"/>
              <w:bottom w:w="40" w:type="dxa"/>
              <w:right w:w="20" w:type="dxa"/>
            </w:tcMar>
            <w:vAlign w:val="bottom"/>
          </w:tcPr>
          <w:p w14:paraId="5902ACE8" w14:textId="77777777" w:rsidR="0084406A" w:rsidRDefault="002B18AF">
            <w:pPr>
              <w:jc w:val="right"/>
              <w:textAlignment w:val="bottom"/>
            </w:pPr>
            <w:r>
              <w:rPr>
                <w:rFonts w:ascii="Arial" w:eastAsia="宋体" w:hAnsi="Arial" w:cs="Arial"/>
                <w:color w:val="000000"/>
                <w:sz w:val="20"/>
                <w:szCs w:val="20"/>
              </w:rPr>
              <w:t>1.26</w:t>
            </w:r>
          </w:p>
        </w:tc>
      </w:tr>
    </w:tbl>
    <w:p w14:paraId="5902ACEA" w14:textId="77777777" w:rsidR="0084406A" w:rsidRDefault="002B18AF">
      <w:pPr>
        <w:spacing w:before="180"/>
        <w:jc w:val="both"/>
      </w:pPr>
      <w:r>
        <w:rPr>
          <w:rFonts w:ascii="Arial" w:eastAsia="宋体" w:hAnsi="Arial" w:cs="Arial"/>
          <w:color w:val="000000"/>
          <w:sz w:val="20"/>
          <w:szCs w:val="20"/>
        </w:rPr>
        <w:t>The total fair value of time-based RSUs vested during 2021, 2020 and 2019 was $678 million, $642 million and $395 million, respectively.</w:t>
      </w:r>
    </w:p>
    <w:p w14:paraId="5902ACEB" w14:textId="77777777" w:rsidR="0084406A" w:rsidRDefault="002B18AF">
      <w:pPr>
        <w:spacing w:before="180"/>
        <w:jc w:val="both"/>
      </w:pPr>
      <w:r>
        <w:rPr>
          <w:rFonts w:ascii="Arial" w:eastAsia="宋体" w:hAnsi="Arial" w:cs="Arial"/>
          <w:color w:val="000000"/>
          <w:sz w:val="20"/>
          <w:szCs w:val="20"/>
        </w:rPr>
        <w:t xml:space="preserve">As of December 25, 2021, the Company had $704 million of total unrecognized </w:t>
      </w:r>
      <w:r>
        <w:rPr>
          <w:rFonts w:ascii="Arial" w:eastAsia="宋体" w:hAnsi="Arial" w:cs="Arial"/>
          <w:color w:val="000000"/>
          <w:sz w:val="20"/>
          <w:szCs w:val="20"/>
        </w:rPr>
        <w:t>compensation expense related to time-based RSUs, which will be recognized over the weighted-average period of 1.92 years.</w:t>
      </w:r>
    </w:p>
    <w:p w14:paraId="5902ACEC" w14:textId="77777777" w:rsidR="0084406A" w:rsidRDefault="002B18AF">
      <w:pPr>
        <w:spacing w:before="180"/>
        <w:jc w:val="both"/>
      </w:pPr>
      <w:r>
        <w:rPr>
          <w:rFonts w:ascii="Arial" w:eastAsia="宋体" w:hAnsi="Arial" w:cs="Arial"/>
          <w:i/>
          <w:iCs/>
          <w:color w:val="000000"/>
          <w:sz w:val="20"/>
          <w:szCs w:val="20"/>
        </w:rPr>
        <w:t>PRSUs.</w:t>
      </w:r>
      <w:r>
        <w:rPr>
          <w:rFonts w:ascii="Arial" w:eastAsia="宋体" w:hAnsi="Arial" w:cs="Arial"/>
          <w:color w:val="000000"/>
          <w:sz w:val="20"/>
          <w:szCs w:val="20"/>
        </w:rPr>
        <w:t xml:space="preserve"> The weighted-average grant date fair values of PRSUs granted during 2021, 2020 and 2019 were $153.89, $122.95 and $50.00, respe</w:t>
      </w:r>
      <w:r>
        <w:rPr>
          <w:rFonts w:ascii="Arial" w:eastAsia="宋体" w:hAnsi="Arial" w:cs="Arial"/>
          <w:color w:val="000000"/>
          <w:sz w:val="20"/>
          <w:szCs w:val="20"/>
        </w:rPr>
        <w:t>ctively, using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50"/>
        <w:gridCol w:w="36"/>
        <w:gridCol w:w="48"/>
        <w:gridCol w:w="1227"/>
        <w:gridCol w:w="198"/>
        <w:gridCol w:w="36"/>
        <w:gridCol w:w="36"/>
        <w:gridCol w:w="36"/>
        <w:gridCol w:w="48"/>
        <w:gridCol w:w="1166"/>
        <w:gridCol w:w="198"/>
        <w:gridCol w:w="36"/>
        <w:gridCol w:w="36"/>
        <w:gridCol w:w="36"/>
        <w:gridCol w:w="48"/>
        <w:gridCol w:w="1166"/>
        <w:gridCol w:w="198"/>
      </w:tblGrid>
      <w:tr w:rsidR="0084406A" w14:paraId="5902ACFF" w14:textId="77777777">
        <w:tc>
          <w:tcPr>
            <w:tcW w:w="50" w:type="pct"/>
            <w:shd w:val="clear" w:color="auto" w:fill="auto"/>
            <w:vAlign w:val="bottom"/>
          </w:tcPr>
          <w:p w14:paraId="5902ACED" w14:textId="77777777" w:rsidR="0084406A" w:rsidRDefault="0084406A">
            <w:pPr>
              <w:rPr>
                <w:rFonts w:ascii="宋体"/>
              </w:rPr>
            </w:pPr>
          </w:p>
        </w:tc>
        <w:tc>
          <w:tcPr>
            <w:tcW w:w="2306" w:type="pct"/>
            <w:shd w:val="clear" w:color="auto" w:fill="auto"/>
            <w:vAlign w:val="bottom"/>
          </w:tcPr>
          <w:p w14:paraId="5902ACEE" w14:textId="77777777" w:rsidR="0084406A" w:rsidRDefault="0084406A">
            <w:pPr>
              <w:rPr>
                <w:rFonts w:ascii="宋体"/>
              </w:rPr>
            </w:pPr>
          </w:p>
        </w:tc>
        <w:tc>
          <w:tcPr>
            <w:tcW w:w="5" w:type="pct"/>
            <w:shd w:val="clear" w:color="auto" w:fill="auto"/>
            <w:vAlign w:val="bottom"/>
          </w:tcPr>
          <w:p w14:paraId="5902ACEF" w14:textId="77777777" w:rsidR="0084406A" w:rsidRDefault="0084406A">
            <w:pPr>
              <w:rPr>
                <w:rFonts w:ascii="宋体"/>
              </w:rPr>
            </w:pPr>
          </w:p>
        </w:tc>
        <w:tc>
          <w:tcPr>
            <w:tcW w:w="50" w:type="pct"/>
            <w:shd w:val="clear" w:color="auto" w:fill="auto"/>
            <w:vAlign w:val="bottom"/>
          </w:tcPr>
          <w:p w14:paraId="5902ACF0" w14:textId="77777777" w:rsidR="0084406A" w:rsidRDefault="0084406A">
            <w:pPr>
              <w:rPr>
                <w:rFonts w:ascii="宋体"/>
              </w:rPr>
            </w:pPr>
          </w:p>
        </w:tc>
        <w:tc>
          <w:tcPr>
            <w:tcW w:w="800" w:type="pct"/>
            <w:shd w:val="clear" w:color="auto" w:fill="auto"/>
            <w:vAlign w:val="bottom"/>
          </w:tcPr>
          <w:p w14:paraId="5902ACF1" w14:textId="77777777" w:rsidR="0084406A" w:rsidRDefault="0084406A">
            <w:pPr>
              <w:rPr>
                <w:rFonts w:ascii="宋体"/>
              </w:rPr>
            </w:pPr>
          </w:p>
        </w:tc>
        <w:tc>
          <w:tcPr>
            <w:tcW w:w="5" w:type="pct"/>
            <w:shd w:val="clear" w:color="auto" w:fill="auto"/>
            <w:vAlign w:val="bottom"/>
          </w:tcPr>
          <w:p w14:paraId="5902ACF2" w14:textId="77777777" w:rsidR="0084406A" w:rsidRDefault="0084406A">
            <w:pPr>
              <w:rPr>
                <w:rFonts w:ascii="宋体"/>
              </w:rPr>
            </w:pPr>
          </w:p>
        </w:tc>
        <w:tc>
          <w:tcPr>
            <w:tcW w:w="5" w:type="pct"/>
            <w:shd w:val="clear" w:color="auto" w:fill="auto"/>
            <w:vAlign w:val="bottom"/>
          </w:tcPr>
          <w:p w14:paraId="5902ACF3" w14:textId="77777777" w:rsidR="0084406A" w:rsidRDefault="0084406A">
            <w:pPr>
              <w:rPr>
                <w:rFonts w:ascii="宋体"/>
              </w:rPr>
            </w:pPr>
          </w:p>
        </w:tc>
        <w:tc>
          <w:tcPr>
            <w:tcW w:w="26" w:type="pct"/>
            <w:shd w:val="clear" w:color="auto" w:fill="auto"/>
            <w:vAlign w:val="bottom"/>
          </w:tcPr>
          <w:p w14:paraId="5902ACF4" w14:textId="77777777" w:rsidR="0084406A" w:rsidRDefault="0084406A">
            <w:pPr>
              <w:rPr>
                <w:rFonts w:ascii="宋体"/>
              </w:rPr>
            </w:pPr>
          </w:p>
        </w:tc>
        <w:tc>
          <w:tcPr>
            <w:tcW w:w="5" w:type="pct"/>
            <w:shd w:val="clear" w:color="auto" w:fill="auto"/>
            <w:vAlign w:val="bottom"/>
          </w:tcPr>
          <w:p w14:paraId="5902ACF5" w14:textId="77777777" w:rsidR="0084406A" w:rsidRDefault="0084406A">
            <w:pPr>
              <w:rPr>
                <w:rFonts w:ascii="宋体"/>
              </w:rPr>
            </w:pPr>
          </w:p>
        </w:tc>
        <w:tc>
          <w:tcPr>
            <w:tcW w:w="50" w:type="pct"/>
            <w:shd w:val="clear" w:color="auto" w:fill="auto"/>
            <w:vAlign w:val="bottom"/>
          </w:tcPr>
          <w:p w14:paraId="5902ACF6" w14:textId="77777777" w:rsidR="0084406A" w:rsidRDefault="0084406A">
            <w:pPr>
              <w:rPr>
                <w:rFonts w:ascii="宋体"/>
              </w:rPr>
            </w:pPr>
          </w:p>
        </w:tc>
        <w:tc>
          <w:tcPr>
            <w:tcW w:w="800" w:type="pct"/>
            <w:shd w:val="clear" w:color="auto" w:fill="auto"/>
            <w:vAlign w:val="bottom"/>
          </w:tcPr>
          <w:p w14:paraId="5902ACF7" w14:textId="77777777" w:rsidR="0084406A" w:rsidRDefault="0084406A">
            <w:pPr>
              <w:rPr>
                <w:rFonts w:ascii="宋体"/>
              </w:rPr>
            </w:pPr>
          </w:p>
        </w:tc>
        <w:tc>
          <w:tcPr>
            <w:tcW w:w="5" w:type="pct"/>
            <w:shd w:val="clear" w:color="auto" w:fill="auto"/>
            <w:vAlign w:val="bottom"/>
          </w:tcPr>
          <w:p w14:paraId="5902ACF8" w14:textId="77777777" w:rsidR="0084406A" w:rsidRDefault="0084406A">
            <w:pPr>
              <w:rPr>
                <w:rFonts w:ascii="宋体"/>
              </w:rPr>
            </w:pPr>
          </w:p>
        </w:tc>
        <w:tc>
          <w:tcPr>
            <w:tcW w:w="5" w:type="pct"/>
            <w:shd w:val="clear" w:color="auto" w:fill="auto"/>
            <w:vAlign w:val="bottom"/>
          </w:tcPr>
          <w:p w14:paraId="5902ACF9" w14:textId="77777777" w:rsidR="0084406A" w:rsidRDefault="0084406A">
            <w:pPr>
              <w:rPr>
                <w:rFonts w:ascii="宋体"/>
              </w:rPr>
            </w:pPr>
          </w:p>
        </w:tc>
        <w:tc>
          <w:tcPr>
            <w:tcW w:w="26" w:type="pct"/>
            <w:shd w:val="clear" w:color="auto" w:fill="auto"/>
            <w:vAlign w:val="bottom"/>
          </w:tcPr>
          <w:p w14:paraId="5902ACFA" w14:textId="77777777" w:rsidR="0084406A" w:rsidRDefault="0084406A">
            <w:pPr>
              <w:rPr>
                <w:rFonts w:ascii="宋体"/>
              </w:rPr>
            </w:pPr>
          </w:p>
        </w:tc>
        <w:tc>
          <w:tcPr>
            <w:tcW w:w="5" w:type="pct"/>
            <w:shd w:val="clear" w:color="auto" w:fill="auto"/>
            <w:vAlign w:val="bottom"/>
          </w:tcPr>
          <w:p w14:paraId="5902ACFB" w14:textId="77777777" w:rsidR="0084406A" w:rsidRDefault="0084406A">
            <w:pPr>
              <w:rPr>
                <w:rFonts w:ascii="宋体"/>
              </w:rPr>
            </w:pPr>
          </w:p>
        </w:tc>
        <w:tc>
          <w:tcPr>
            <w:tcW w:w="50" w:type="pct"/>
            <w:shd w:val="clear" w:color="auto" w:fill="auto"/>
            <w:vAlign w:val="bottom"/>
          </w:tcPr>
          <w:p w14:paraId="5902ACFC" w14:textId="77777777" w:rsidR="0084406A" w:rsidRDefault="0084406A">
            <w:pPr>
              <w:rPr>
                <w:rFonts w:ascii="宋体"/>
              </w:rPr>
            </w:pPr>
          </w:p>
        </w:tc>
        <w:tc>
          <w:tcPr>
            <w:tcW w:w="800" w:type="pct"/>
            <w:shd w:val="clear" w:color="auto" w:fill="auto"/>
            <w:vAlign w:val="bottom"/>
          </w:tcPr>
          <w:p w14:paraId="5902ACFD" w14:textId="77777777" w:rsidR="0084406A" w:rsidRDefault="0084406A">
            <w:pPr>
              <w:rPr>
                <w:rFonts w:ascii="宋体"/>
              </w:rPr>
            </w:pPr>
          </w:p>
        </w:tc>
        <w:tc>
          <w:tcPr>
            <w:tcW w:w="5" w:type="pct"/>
            <w:shd w:val="clear" w:color="auto" w:fill="auto"/>
            <w:vAlign w:val="bottom"/>
          </w:tcPr>
          <w:p w14:paraId="5902ACFE" w14:textId="77777777" w:rsidR="0084406A" w:rsidRDefault="0084406A">
            <w:pPr>
              <w:rPr>
                <w:rFonts w:ascii="宋体"/>
              </w:rPr>
            </w:pPr>
          </w:p>
        </w:tc>
      </w:tr>
      <w:tr w:rsidR="0084406A" w14:paraId="5902AD06" w14:textId="77777777">
        <w:tc>
          <w:tcPr>
            <w:tcW w:w="0" w:type="auto"/>
            <w:gridSpan w:val="3"/>
            <w:shd w:val="clear" w:color="auto" w:fill="auto"/>
            <w:tcMar>
              <w:top w:w="0" w:type="dxa"/>
              <w:left w:w="20" w:type="dxa"/>
              <w:bottom w:w="0" w:type="dxa"/>
              <w:right w:w="20" w:type="dxa"/>
            </w:tcMar>
            <w:vAlign w:val="bottom"/>
          </w:tcPr>
          <w:p w14:paraId="5902AD0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01"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D0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03"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D0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05"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D0E" w14:textId="77777777">
        <w:tc>
          <w:tcPr>
            <w:tcW w:w="0" w:type="auto"/>
            <w:gridSpan w:val="3"/>
            <w:shd w:val="clear" w:color="auto" w:fill="CCEEFF"/>
            <w:tcMar>
              <w:top w:w="40" w:type="dxa"/>
              <w:left w:w="20" w:type="dxa"/>
              <w:bottom w:w="40" w:type="dxa"/>
              <w:right w:w="20" w:type="dxa"/>
            </w:tcMar>
          </w:tcPr>
          <w:p w14:paraId="5902AD07" w14:textId="77777777" w:rsidR="0084406A" w:rsidRDefault="002B18AF">
            <w:pPr>
              <w:textAlignment w:val="top"/>
            </w:pPr>
            <w:r>
              <w:rPr>
                <w:rFonts w:ascii="Arial" w:eastAsia="宋体" w:hAnsi="Arial" w:cs="Arial"/>
                <w:color w:val="000000"/>
                <w:sz w:val="20"/>
                <w:szCs w:val="20"/>
              </w:rPr>
              <w:t>Expected volatility</w:t>
            </w:r>
          </w:p>
        </w:tc>
        <w:tc>
          <w:tcPr>
            <w:tcW w:w="0" w:type="auto"/>
            <w:gridSpan w:val="2"/>
            <w:tcBorders>
              <w:top w:val="single" w:sz="8" w:space="0" w:color="000000"/>
            </w:tcBorders>
            <w:shd w:val="clear" w:color="auto" w:fill="CCEEFF"/>
            <w:tcMar>
              <w:top w:w="40" w:type="dxa"/>
              <w:left w:w="20" w:type="dxa"/>
              <w:bottom w:w="40" w:type="dxa"/>
              <w:right w:w="0" w:type="dxa"/>
            </w:tcMar>
          </w:tcPr>
          <w:p w14:paraId="5902AD08" w14:textId="77777777" w:rsidR="0084406A" w:rsidRDefault="002B18AF">
            <w:pPr>
              <w:jc w:val="right"/>
              <w:textAlignment w:val="top"/>
            </w:pPr>
            <w:r>
              <w:rPr>
                <w:rFonts w:ascii="Arial" w:eastAsia="宋体" w:hAnsi="Arial" w:cs="Arial"/>
                <w:color w:val="000000"/>
                <w:sz w:val="20"/>
                <w:szCs w:val="20"/>
              </w:rPr>
              <w:t>57.75 </w:t>
            </w:r>
          </w:p>
        </w:tc>
        <w:tc>
          <w:tcPr>
            <w:tcW w:w="0" w:type="auto"/>
            <w:tcBorders>
              <w:top w:val="single" w:sz="8" w:space="0" w:color="000000"/>
            </w:tcBorders>
            <w:shd w:val="clear" w:color="auto" w:fill="CCEEFF"/>
            <w:tcMar>
              <w:top w:w="40" w:type="dxa"/>
              <w:left w:w="0" w:type="dxa"/>
              <w:bottom w:w="40" w:type="dxa"/>
              <w:right w:w="20" w:type="dxa"/>
            </w:tcMar>
          </w:tcPr>
          <w:p w14:paraId="5902AD09" w14:textId="77777777" w:rsidR="0084406A" w:rsidRDefault="002B18AF">
            <w:pPr>
              <w:jc w:val="right"/>
              <w:textAlignment w:val="top"/>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D0A"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902AD0B" w14:textId="77777777" w:rsidR="0084406A" w:rsidRDefault="002B18AF">
            <w:pPr>
              <w:jc w:val="right"/>
              <w:textAlignment w:val="top"/>
            </w:pPr>
            <w:r>
              <w:rPr>
                <w:rFonts w:ascii="Arial" w:eastAsia="宋体" w:hAnsi="Arial" w:cs="Arial"/>
                <w:color w:val="000000"/>
                <w:sz w:val="20"/>
                <w:szCs w:val="20"/>
              </w:rPr>
              <w:t>55.74% - 60.10%</w:t>
            </w:r>
          </w:p>
        </w:tc>
        <w:tc>
          <w:tcPr>
            <w:tcW w:w="0" w:type="auto"/>
            <w:gridSpan w:val="3"/>
            <w:shd w:val="clear" w:color="auto" w:fill="CCEEFF"/>
            <w:tcMar>
              <w:top w:w="0" w:type="dxa"/>
              <w:left w:w="20" w:type="dxa"/>
              <w:bottom w:w="0" w:type="dxa"/>
              <w:right w:w="20" w:type="dxa"/>
            </w:tcMar>
            <w:vAlign w:val="bottom"/>
          </w:tcPr>
          <w:p w14:paraId="5902AD0C"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902AD0D" w14:textId="77777777" w:rsidR="0084406A" w:rsidRDefault="002B18AF">
            <w:pPr>
              <w:jc w:val="right"/>
              <w:textAlignment w:val="top"/>
            </w:pPr>
            <w:r>
              <w:rPr>
                <w:rFonts w:ascii="Arial" w:eastAsia="宋体" w:hAnsi="Arial" w:cs="Arial"/>
                <w:color w:val="000000"/>
                <w:sz w:val="20"/>
                <w:szCs w:val="20"/>
              </w:rPr>
              <w:t>60.54% - 62.52%</w:t>
            </w:r>
          </w:p>
        </w:tc>
      </w:tr>
      <w:tr w:rsidR="0084406A" w14:paraId="5902AD16" w14:textId="77777777">
        <w:tc>
          <w:tcPr>
            <w:tcW w:w="0" w:type="auto"/>
            <w:gridSpan w:val="3"/>
            <w:shd w:val="clear" w:color="auto" w:fill="FFFFFF"/>
            <w:tcMar>
              <w:top w:w="40" w:type="dxa"/>
              <w:left w:w="20" w:type="dxa"/>
              <w:bottom w:w="40" w:type="dxa"/>
              <w:right w:w="20" w:type="dxa"/>
            </w:tcMar>
          </w:tcPr>
          <w:p w14:paraId="5902AD0F" w14:textId="77777777" w:rsidR="0084406A" w:rsidRDefault="002B18AF">
            <w:pPr>
              <w:textAlignment w:val="top"/>
            </w:pPr>
            <w:r>
              <w:rPr>
                <w:rFonts w:ascii="Arial" w:eastAsia="宋体" w:hAnsi="Arial" w:cs="Arial"/>
                <w:color w:val="000000"/>
                <w:sz w:val="20"/>
                <w:szCs w:val="20"/>
              </w:rPr>
              <w:t>Risk-free interest rate</w:t>
            </w:r>
          </w:p>
        </w:tc>
        <w:tc>
          <w:tcPr>
            <w:tcW w:w="0" w:type="auto"/>
            <w:gridSpan w:val="2"/>
            <w:shd w:val="clear" w:color="auto" w:fill="FFFFFF"/>
            <w:tcMar>
              <w:top w:w="40" w:type="dxa"/>
              <w:left w:w="20" w:type="dxa"/>
              <w:bottom w:w="40" w:type="dxa"/>
              <w:right w:w="0" w:type="dxa"/>
            </w:tcMar>
          </w:tcPr>
          <w:p w14:paraId="5902AD10" w14:textId="77777777" w:rsidR="0084406A" w:rsidRDefault="002B18AF">
            <w:pPr>
              <w:jc w:val="right"/>
              <w:textAlignment w:val="top"/>
            </w:pPr>
            <w:r>
              <w:rPr>
                <w:rFonts w:ascii="Arial" w:eastAsia="宋体" w:hAnsi="Arial" w:cs="Arial"/>
                <w:color w:val="000000"/>
                <w:sz w:val="20"/>
                <w:szCs w:val="20"/>
              </w:rPr>
              <w:t>0.43 </w:t>
            </w:r>
          </w:p>
        </w:tc>
        <w:tc>
          <w:tcPr>
            <w:tcW w:w="0" w:type="auto"/>
            <w:shd w:val="clear" w:color="auto" w:fill="FFFFFF"/>
            <w:tcMar>
              <w:top w:w="40" w:type="dxa"/>
              <w:left w:w="0" w:type="dxa"/>
              <w:bottom w:w="40" w:type="dxa"/>
              <w:right w:w="20" w:type="dxa"/>
            </w:tcMar>
          </w:tcPr>
          <w:p w14:paraId="5902AD11" w14:textId="77777777" w:rsidR="0084406A" w:rsidRDefault="002B18AF">
            <w:pPr>
              <w:jc w:val="right"/>
              <w:textAlignment w:val="top"/>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5902AD12"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tcPr>
          <w:p w14:paraId="5902AD13" w14:textId="77777777" w:rsidR="0084406A" w:rsidRDefault="002B18AF">
            <w:pPr>
              <w:jc w:val="right"/>
              <w:textAlignment w:val="top"/>
            </w:pPr>
            <w:r>
              <w:rPr>
                <w:rFonts w:ascii="Arial" w:eastAsia="宋体" w:hAnsi="Arial" w:cs="Arial"/>
                <w:color w:val="000000"/>
                <w:sz w:val="20"/>
                <w:szCs w:val="20"/>
              </w:rPr>
              <w:t>0.14% - 1.41%</w:t>
            </w:r>
          </w:p>
        </w:tc>
        <w:tc>
          <w:tcPr>
            <w:tcW w:w="0" w:type="auto"/>
            <w:gridSpan w:val="3"/>
            <w:shd w:val="clear" w:color="auto" w:fill="FFFFFF"/>
            <w:tcMar>
              <w:top w:w="0" w:type="dxa"/>
              <w:left w:w="20" w:type="dxa"/>
              <w:bottom w:w="0" w:type="dxa"/>
              <w:right w:w="20" w:type="dxa"/>
            </w:tcMar>
            <w:vAlign w:val="bottom"/>
          </w:tcPr>
          <w:p w14:paraId="5902AD14"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tcPr>
          <w:p w14:paraId="5902AD15" w14:textId="77777777" w:rsidR="0084406A" w:rsidRDefault="002B18AF">
            <w:pPr>
              <w:jc w:val="right"/>
              <w:textAlignment w:val="top"/>
            </w:pPr>
            <w:r>
              <w:rPr>
                <w:rFonts w:ascii="Arial" w:eastAsia="宋体" w:hAnsi="Arial" w:cs="Arial"/>
                <w:color w:val="000000"/>
                <w:sz w:val="20"/>
                <w:szCs w:val="20"/>
              </w:rPr>
              <w:t>1.56% - 2.49%</w:t>
            </w:r>
          </w:p>
        </w:tc>
      </w:tr>
      <w:tr w:rsidR="0084406A" w14:paraId="5902AD20" w14:textId="77777777">
        <w:tc>
          <w:tcPr>
            <w:tcW w:w="0" w:type="auto"/>
            <w:gridSpan w:val="3"/>
            <w:shd w:val="clear" w:color="auto" w:fill="CCEEFF"/>
            <w:tcMar>
              <w:top w:w="40" w:type="dxa"/>
              <w:left w:w="20" w:type="dxa"/>
              <w:bottom w:w="40" w:type="dxa"/>
              <w:right w:w="20" w:type="dxa"/>
            </w:tcMar>
            <w:vAlign w:val="bottom"/>
          </w:tcPr>
          <w:p w14:paraId="5902AD17" w14:textId="77777777" w:rsidR="0084406A" w:rsidRDefault="002B18AF">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5902AD18"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19"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D1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D1B"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1C"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D1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D1E"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1F" w14:textId="77777777" w:rsidR="0084406A" w:rsidRDefault="002B18AF">
            <w:pPr>
              <w:jc w:val="right"/>
              <w:textAlignment w:val="bottom"/>
            </w:pPr>
            <w:r>
              <w:rPr>
                <w:rFonts w:ascii="Arial" w:eastAsia="宋体" w:hAnsi="Arial" w:cs="Arial"/>
                <w:color w:val="000000"/>
                <w:sz w:val="20"/>
                <w:szCs w:val="20"/>
              </w:rPr>
              <w:t>%</w:t>
            </w:r>
          </w:p>
        </w:tc>
      </w:tr>
      <w:tr w:rsidR="0084406A" w14:paraId="5902AD27" w14:textId="77777777">
        <w:tc>
          <w:tcPr>
            <w:tcW w:w="0" w:type="auto"/>
            <w:gridSpan w:val="3"/>
            <w:shd w:val="clear" w:color="auto" w:fill="FFFFFF"/>
            <w:tcMar>
              <w:top w:w="40" w:type="dxa"/>
              <w:left w:w="20" w:type="dxa"/>
              <w:bottom w:w="40" w:type="dxa"/>
              <w:right w:w="20" w:type="dxa"/>
            </w:tcMar>
            <w:vAlign w:val="bottom"/>
          </w:tcPr>
          <w:p w14:paraId="5902AD21" w14:textId="77777777" w:rsidR="0084406A" w:rsidRDefault="002B18AF">
            <w:pPr>
              <w:textAlignment w:val="bottom"/>
            </w:pPr>
            <w:r>
              <w:rPr>
                <w:rFonts w:ascii="Arial" w:eastAsia="宋体" w:hAnsi="Arial" w:cs="Arial"/>
                <w:color w:val="000000"/>
                <w:sz w:val="20"/>
                <w:szCs w:val="20"/>
              </w:rPr>
              <w:t>Expected term (in years)</w:t>
            </w:r>
          </w:p>
        </w:tc>
        <w:tc>
          <w:tcPr>
            <w:tcW w:w="0" w:type="auto"/>
            <w:gridSpan w:val="3"/>
            <w:shd w:val="clear" w:color="auto" w:fill="FFFFFF"/>
            <w:tcMar>
              <w:top w:w="40" w:type="dxa"/>
              <w:left w:w="20" w:type="dxa"/>
              <w:bottom w:w="40" w:type="dxa"/>
              <w:right w:w="20" w:type="dxa"/>
            </w:tcMar>
            <w:vAlign w:val="bottom"/>
          </w:tcPr>
          <w:p w14:paraId="5902AD22" w14:textId="77777777" w:rsidR="0084406A" w:rsidRDefault="002B18AF">
            <w:pPr>
              <w:jc w:val="right"/>
              <w:textAlignment w:val="bottom"/>
            </w:pPr>
            <w:r>
              <w:rPr>
                <w:rFonts w:ascii="Arial" w:eastAsia="宋体" w:hAnsi="Arial" w:cs="Arial"/>
                <w:color w:val="000000"/>
                <w:sz w:val="20"/>
                <w:szCs w:val="20"/>
              </w:rPr>
              <w:t>3.00</w:t>
            </w:r>
          </w:p>
        </w:tc>
        <w:tc>
          <w:tcPr>
            <w:tcW w:w="0" w:type="auto"/>
            <w:gridSpan w:val="3"/>
            <w:shd w:val="clear" w:color="auto" w:fill="FFFFFF"/>
            <w:tcMar>
              <w:top w:w="0" w:type="dxa"/>
              <w:left w:w="20" w:type="dxa"/>
              <w:bottom w:w="0" w:type="dxa"/>
              <w:right w:w="20" w:type="dxa"/>
            </w:tcMar>
            <w:vAlign w:val="bottom"/>
          </w:tcPr>
          <w:p w14:paraId="5902AD23"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24" w14:textId="77777777" w:rsidR="0084406A" w:rsidRDefault="002B18AF">
            <w:pPr>
              <w:jc w:val="right"/>
              <w:textAlignment w:val="bottom"/>
            </w:pPr>
            <w:r>
              <w:rPr>
                <w:rFonts w:ascii="Arial" w:eastAsia="宋体" w:hAnsi="Arial" w:cs="Arial"/>
                <w:color w:val="000000"/>
                <w:sz w:val="20"/>
                <w:szCs w:val="20"/>
              </w:rPr>
              <w:t>2.48 - 3.00</w:t>
            </w:r>
          </w:p>
        </w:tc>
        <w:tc>
          <w:tcPr>
            <w:tcW w:w="0" w:type="auto"/>
            <w:gridSpan w:val="3"/>
            <w:shd w:val="clear" w:color="auto" w:fill="FFFFFF"/>
            <w:tcMar>
              <w:top w:w="0" w:type="dxa"/>
              <w:left w:w="20" w:type="dxa"/>
              <w:bottom w:w="0" w:type="dxa"/>
              <w:right w:w="20" w:type="dxa"/>
            </w:tcMar>
            <w:vAlign w:val="bottom"/>
          </w:tcPr>
          <w:p w14:paraId="5902AD25"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26" w14:textId="77777777" w:rsidR="0084406A" w:rsidRDefault="002B18AF">
            <w:pPr>
              <w:jc w:val="right"/>
              <w:textAlignment w:val="bottom"/>
            </w:pPr>
            <w:r>
              <w:rPr>
                <w:rFonts w:ascii="Arial" w:eastAsia="宋体" w:hAnsi="Arial" w:cs="Arial"/>
                <w:color w:val="000000"/>
                <w:sz w:val="20"/>
                <w:szCs w:val="20"/>
              </w:rPr>
              <w:t>2.48 - 5.00</w:t>
            </w:r>
          </w:p>
        </w:tc>
      </w:tr>
    </w:tbl>
    <w:p w14:paraId="5902AD28" w14:textId="77777777" w:rsidR="0084406A" w:rsidRDefault="002B18AF">
      <w:pPr>
        <w:spacing w:before="180"/>
        <w:jc w:val="both"/>
      </w:pPr>
      <w:r>
        <w:rPr>
          <w:rFonts w:ascii="Arial" w:eastAsia="宋体" w:hAnsi="Arial" w:cs="Arial"/>
          <w:color w:val="000000"/>
          <w:sz w:val="20"/>
          <w:szCs w:val="20"/>
        </w:rPr>
        <w:t xml:space="preserve">The Company uses the historical volatility of its common stock and risk-free interest rate based on the rate for a U.S. Treasury zero-coupon yield curve with a </w:t>
      </w:r>
      <w:r>
        <w:rPr>
          <w:rFonts w:ascii="Arial" w:eastAsia="宋体" w:hAnsi="Arial" w:cs="Arial"/>
          <w:color w:val="000000"/>
          <w:sz w:val="20"/>
          <w:szCs w:val="20"/>
        </w:rPr>
        <w:t>term that approximates the expected life of the PRSUs grant at the date closest to the grant date. The expected dividend yield is zero as the Company does not expect to pay dividends in the near future. The expected term of PRSUs represents the requisite s</w:t>
      </w:r>
      <w:r>
        <w:rPr>
          <w:rFonts w:ascii="Arial" w:eastAsia="宋体" w:hAnsi="Arial" w:cs="Arial"/>
          <w:color w:val="000000"/>
          <w:sz w:val="20"/>
          <w:szCs w:val="20"/>
        </w:rPr>
        <w:t>ervice periods of these PRSUs.</w:t>
      </w:r>
    </w:p>
    <w:p w14:paraId="5902AD29" w14:textId="77777777" w:rsidR="0084406A" w:rsidRDefault="002B18AF">
      <w:pPr>
        <w:spacing w:before="180"/>
        <w:jc w:val="both"/>
      </w:pPr>
      <w:r>
        <w:rPr>
          <w:rFonts w:ascii="Arial" w:eastAsia="宋体" w:hAnsi="Arial" w:cs="Arial"/>
          <w:color w:val="000000"/>
          <w:sz w:val="20"/>
          <w:szCs w:val="20"/>
        </w:rPr>
        <w:t>The following table summarizes PRSU activity and related information:</w:t>
      </w:r>
    </w:p>
    <w:tbl>
      <w:tblPr>
        <w:tblW w:w="4971" w:type="pct"/>
        <w:tblCellMar>
          <w:top w:w="15" w:type="dxa"/>
          <w:left w:w="15" w:type="dxa"/>
          <w:bottom w:w="15" w:type="dxa"/>
          <w:right w:w="15" w:type="dxa"/>
        </w:tblCellMar>
        <w:tblLook w:val="04A0" w:firstRow="1" w:lastRow="0" w:firstColumn="1" w:lastColumn="0" w:noHBand="0" w:noVBand="1"/>
      </w:tblPr>
      <w:tblGrid>
        <w:gridCol w:w="37"/>
        <w:gridCol w:w="2943"/>
        <w:gridCol w:w="36"/>
        <w:gridCol w:w="64"/>
        <w:gridCol w:w="745"/>
        <w:gridCol w:w="36"/>
        <w:gridCol w:w="36"/>
        <w:gridCol w:w="36"/>
        <w:gridCol w:w="36"/>
        <w:gridCol w:w="133"/>
        <w:gridCol w:w="1344"/>
        <w:gridCol w:w="36"/>
        <w:gridCol w:w="36"/>
        <w:gridCol w:w="36"/>
        <w:gridCol w:w="36"/>
        <w:gridCol w:w="133"/>
        <w:gridCol w:w="949"/>
        <w:gridCol w:w="36"/>
        <w:gridCol w:w="36"/>
        <w:gridCol w:w="36"/>
        <w:gridCol w:w="36"/>
        <w:gridCol w:w="92"/>
        <w:gridCol w:w="1344"/>
        <w:gridCol w:w="36"/>
      </w:tblGrid>
      <w:tr w:rsidR="0084406A" w14:paraId="5902AD42" w14:textId="77777777">
        <w:tc>
          <w:tcPr>
            <w:tcW w:w="50" w:type="pct"/>
            <w:shd w:val="clear" w:color="auto" w:fill="auto"/>
            <w:vAlign w:val="bottom"/>
          </w:tcPr>
          <w:p w14:paraId="5902AD2A" w14:textId="77777777" w:rsidR="0084406A" w:rsidRDefault="0084406A">
            <w:pPr>
              <w:rPr>
                <w:rFonts w:ascii="宋体"/>
              </w:rPr>
            </w:pPr>
          </w:p>
        </w:tc>
        <w:tc>
          <w:tcPr>
            <w:tcW w:w="1864" w:type="pct"/>
            <w:shd w:val="clear" w:color="auto" w:fill="auto"/>
            <w:vAlign w:val="bottom"/>
          </w:tcPr>
          <w:p w14:paraId="5902AD2B" w14:textId="77777777" w:rsidR="0084406A" w:rsidRDefault="0084406A">
            <w:pPr>
              <w:rPr>
                <w:rFonts w:ascii="宋体"/>
              </w:rPr>
            </w:pPr>
          </w:p>
        </w:tc>
        <w:tc>
          <w:tcPr>
            <w:tcW w:w="5" w:type="pct"/>
            <w:shd w:val="clear" w:color="auto" w:fill="auto"/>
            <w:vAlign w:val="bottom"/>
          </w:tcPr>
          <w:p w14:paraId="5902AD2C" w14:textId="77777777" w:rsidR="0084406A" w:rsidRDefault="0084406A">
            <w:pPr>
              <w:rPr>
                <w:rFonts w:ascii="宋体"/>
              </w:rPr>
            </w:pPr>
          </w:p>
        </w:tc>
        <w:tc>
          <w:tcPr>
            <w:tcW w:w="50" w:type="pct"/>
            <w:shd w:val="clear" w:color="auto" w:fill="auto"/>
            <w:vAlign w:val="bottom"/>
          </w:tcPr>
          <w:p w14:paraId="5902AD2D" w14:textId="77777777" w:rsidR="0084406A" w:rsidRDefault="0084406A">
            <w:pPr>
              <w:rPr>
                <w:rFonts w:ascii="宋体"/>
              </w:rPr>
            </w:pPr>
          </w:p>
        </w:tc>
        <w:tc>
          <w:tcPr>
            <w:tcW w:w="555" w:type="pct"/>
            <w:shd w:val="clear" w:color="auto" w:fill="auto"/>
            <w:vAlign w:val="bottom"/>
          </w:tcPr>
          <w:p w14:paraId="5902AD2E" w14:textId="77777777" w:rsidR="0084406A" w:rsidRDefault="0084406A">
            <w:pPr>
              <w:rPr>
                <w:rFonts w:ascii="宋体"/>
              </w:rPr>
            </w:pPr>
          </w:p>
        </w:tc>
        <w:tc>
          <w:tcPr>
            <w:tcW w:w="5" w:type="pct"/>
            <w:shd w:val="clear" w:color="auto" w:fill="auto"/>
            <w:vAlign w:val="bottom"/>
          </w:tcPr>
          <w:p w14:paraId="5902AD2F" w14:textId="77777777" w:rsidR="0084406A" w:rsidRDefault="0084406A">
            <w:pPr>
              <w:rPr>
                <w:rFonts w:ascii="宋体"/>
              </w:rPr>
            </w:pPr>
          </w:p>
        </w:tc>
        <w:tc>
          <w:tcPr>
            <w:tcW w:w="5" w:type="pct"/>
            <w:shd w:val="clear" w:color="auto" w:fill="auto"/>
            <w:vAlign w:val="bottom"/>
          </w:tcPr>
          <w:p w14:paraId="5902AD30" w14:textId="77777777" w:rsidR="0084406A" w:rsidRDefault="0084406A">
            <w:pPr>
              <w:rPr>
                <w:rFonts w:ascii="宋体"/>
              </w:rPr>
            </w:pPr>
          </w:p>
        </w:tc>
        <w:tc>
          <w:tcPr>
            <w:tcW w:w="26" w:type="pct"/>
            <w:shd w:val="clear" w:color="auto" w:fill="auto"/>
            <w:vAlign w:val="bottom"/>
          </w:tcPr>
          <w:p w14:paraId="5902AD31" w14:textId="77777777" w:rsidR="0084406A" w:rsidRDefault="0084406A">
            <w:pPr>
              <w:rPr>
                <w:rFonts w:ascii="宋体"/>
              </w:rPr>
            </w:pPr>
          </w:p>
        </w:tc>
        <w:tc>
          <w:tcPr>
            <w:tcW w:w="5" w:type="pct"/>
            <w:shd w:val="clear" w:color="auto" w:fill="auto"/>
            <w:vAlign w:val="bottom"/>
          </w:tcPr>
          <w:p w14:paraId="5902AD32" w14:textId="77777777" w:rsidR="0084406A" w:rsidRDefault="0084406A">
            <w:pPr>
              <w:rPr>
                <w:rFonts w:ascii="宋体"/>
              </w:rPr>
            </w:pPr>
          </w:p>
        </w:tc>
        <w:tc>
          <w:tcPr>
            <w:tcW w:w="50" w:type="pct"/>
            <w:shd w:val="clear" w:color="auto" w:fill="auto"/>
            <w:vAlign w:val="bottom"/>
          </w:tcPr>
          <w:p w14:paraId="5902AD33" w14:textId="77777777" w:rsidR="0084406A" w:rsidRDefault="0084406A">
            <w:pPr>
              <w:rPr>
                <w:rFonts w:ascii="宋体"/>
              </w:rPr>
            </w:pPr>
          </w:p>
        </w:tc>
        <w:tc>
          <w:tcPr>
            <w:tcW w:w="731" w:type="pct"/>
            <w:shd w:val="clear" w:color="auto" w:fill="auto"/>
            <w:vAlign w:val="bottom"/>
          </w:tcPr>
          <w:p w14:paraId="5902AD34" w14:textId="77777777" w:rsidR="0084406A" w:rsidRDefault="0084406A">
            <w:pPr>
              <w:rPr>
                <w:rFonts w:ascii="宋体"/>
              </w:rPr>
            </w:pPr>
          </w:p>
        </w:tc>
        <w:tc>
          <w:tcPr>
            <w:tcW w:w="5" w:type="pct"/>
            <w:shd w:val="clear" w:color="auto" w:fill="auto"/>
            <w:vAlign w:val="bottom"/>
          </w:tcPr>
          <w:p w14:paraId="5902AD35" w14:textId="77777777" w:rsidR="0084406A" w:rsidRDefault="0084406A">
            <w:pPr>
              <w:rPr>
                <w:rFonts w:ascii="宋体"/>
              </w:rPr>
            </w:pPr>
          </w:p>
        </w:tc>
        <w:tc>
          <w:tcPr>
            <w:tcW w:w="5" w:type="pct"/>
            <w:shd w:val="clear" w:color="auto" w:fill="auto"/>
            <w:vAlign w:val="bottom"/>
          </w:tcPr>
          <w:p w14:paraId="5902AD36" w14:textId="77777777" w:rsidR="0084406A" w:rsidRDefault="0084406A">
            <w:pPr>
              <w:rPr>
                <w:rFonts w:ascii="宋体"/>
              </w:rPr>
            </w:pPr>
          </w:p>
        </w:tc>
        <w:tc>
          <w:tcPr>
            <w:tcW w:w="26" w:type="pct"/>
            <w:shd w:val="clear" w:color="auto" w:fill="auto"/>
            <w:vAlign w:val="bottom"/>
          </w:tcPr>
          <w:p w14:paraId="5902AD37" w14:textId="77777777" w:rsidR="0084406A" w:rsidRDefault="0084406A">
            <w:pPr>
              <w:rPr>
                <w:rFonts w:ascii="宋体"/>
              </w:rPr>
            </w:pPr>
          </w:p>
        </w:tc>
        <w:tc>
          <w:tcPr>
            <w:tcW w:w="5" w:type="pct"/>
            <w:shd w:val="clear" w:color="auto" w:fill="auto"/>
            <w:vAlign w:val="bottom"/>
          </w:tcPr>
          <w:p w14:paraId="5902AD38" w14:textId="77777777" w:rsidR="0084406A" w:rsidRDefault="0084406A">
            <w:pPr>
              <w:rPr>
                <w:rFonts w:ascii="宋体"/>
              </w:rPr>
            </w:pPr>
          </w:p>
        </w:tc>
        <w:tc>
          <w:tcPr>
            <w:tcW w:w="50" w:type="pct"/>
            <w:shd w:val="clear" w:color="auto" w:fill="auto"/>
            <w:vAlign w:val="bottom"/>
          </w:tcPr>
          <w:p w14:paraId="5902AD39" w14:textId="77777777" w:rsidR="0084406A" w:rsidRDefault="0084406A">
            <w:pPr>
              <w:rPr>
                <w:rFonts w:ascii="宋体"/>
              </w:rPr>
            </w:pPr>
          </w:p>
        </w:tc>
        <w:tc>
          <w:tcPr>
            <w:tcW w:w="731" w:type="pct"/>
            <w:shd w:val="clear" w:color="auto" w:fill="auto"/>
            <w:vAlign w:val="bottom"/>
          </w:tcPr>
          <w:p w14:paraId="5902AD3A" w14:textId="77777777" w:rsidR="0084406A" w:rsidRDefault="0084406A">
            <w:pPr>
              <w:rPr>
                <w:rFonts w:ascii="宋体"/>
              </w:rPr>
            </w:pPr>
          </w:p>
        </w:tc>
        <w:tc>
          <w:tcPr>
            <w:tcW w:w="5" w:type="pct"/>
            <w:shd w:val="clear" w:color="auto" w:fill="auto"/>
            <w:vAlign w:val="bottom"/>
          </w:tcPr>
          <w:p w14:paraId="5902AD3B" w14:textId="77777777" w:rsidR="0084406A" w:rsidRDefault="0084406A">
            <w:pPr>
              <w:rPr>
                <w:rFonts w:ascii="宋体"/>
              </w:rPr>
            </w:pPr>
          </w:p>
        </w:tc>
        <w:tc>
          <w:tcPr>
            <w:tcW w:w="5" w:type="pct"/>
            <w:shd w:val="clear" w:color="auto" w:fill="auto"/>
            <w:vAlign w:val="bottom"/>
          </w:tcPr>
          <w:p w14:paraId="5902AD3C" w14:textId="77777777" w:rsidR="0084406A" w:rsidRDefault="0084406A">
            <w:pPr>
              <w:rPr>
                <w:rFonts w:ascii="宋体"/>
              </w:rPr>
            </w:pPr>
          </w:p>
        </w:tc>
        <w:tc>
          <w:tcPr>
            <w:tcW w:w="26" w:type="pct"/>
            <w:shd w:val="clear" w:color="auto" w:fill="auto"/>
            <w:vAlign w:val="bottom"/>
          </w:tcPr>
          <w:p w14:paraId="5902AD3D" w14:textId="77777777" w:rsidR="0084406A" w:rsidRDefault="0084406A">
            <w:pPr>
              <w:rPr>
                <w:rFonts w:ascii="宋体"/>
              </w:rPr>
            </w:pPr>
          </w:p>
        </w:tc>
        <w:tc>
          <w:tcPr>
            <w:tcW w:w="5" w:type="pct"/>
            <w:shd w:val="clear" w:color="auto" w:fill="auto"/>
            <w:vAlign w:val="bottom"/>
          </w:tcPr>
          <w:p w14:paraId="5902AD3E" w14:textId="77777777" w:rsidR="0084406A" w:rsidRDefault="0084406A">
            <w:pPr>
              <w:rPr>
                <w:rFonts w:ascii="宋体"/>
              </w:rPr>
            </w:pPr>
          </w:p>
        </w:tc>
        <w:tc>
          <w:tcPr>
            <w:tcW w:w="50" w:type="pct"/>
            <w:shd w:val="clear" w:color="auto" w:fill="auto"/>
            <w:vAlign w:val="bottom"/>
          </w:tcPr>
          <w:p w14:paraId="5902AD3F" w14:textId="77777777" w:rsidR="0084406A" w:rsidRDefault="0084406A">
            <w:pPr>
              <w:rPr>
                <w:rFonts w:ascii="宋体"/>
              </w:rPr>
            </w:pPr>
          </w:p>
        </w:tc>
        <w:tc>
          <w:tcPr>
            <w:tcW w:w="731" w:type="pct"/>
            <w:shd w:val="clear" w:color="auto" w:fill="auto"/>
            <w:vAlign w:val="bottom"/>
          </w:tcPr>
          <w:p w14:paraId="5902AD40" w14:textId="77777777" w:rsidR="0084406A" w:rsidRDefault="0084406A">
            <w:pPr>
              <w:rPr>
                <w:rFonts w:ascii="宋体"/>
              </w:rPr>
            </w:pPr>
          </w:p>
        </w:tc>
        <w:tc>
          <w:tcPr>
            <w:tcW w:w="5" w:type="pct"/>
            <w:shd w:val="clear" w:color="auto" w:fill="auto"/>
            <w:vAlign w:val="bottom"/>
          </w:tcPr>
          <w:p w14:paraId="5902AD41" w14:textId="77777777" w:rsidR="0084406A" w:rsidRDefault="0084406A">
            <w:pPr>
              <w:rPr>
                <w:rFonts w:ascii="宋体"/>
              </w:rPr>
            </w:pPr>
          </w:p>
        </w:tc>
      </w:tr>
      <w:tr w:rsidR="0084406A" w14:paraId="5902AD4B" w14:textId="77777777">
        <w:trPr>
          <w:hidden/>
        </w:trPr>
        <w:tc>
          <w:tcPr>
            <w:tcW w:w="0" w:type="auto"/>
            <w:gridSpan w:val="3"/>
            <w:shd w:val="clear" w:color="auto" w:fill="auto"/>
            <w:vAlign w:val="bottom"/>
          </w:tcPr>
          <w:p w14:paraId="5902AD43" w14:textId="77777777" w:rsidR="0084406A" w:rsidRDefault="0084406A">
            <w:pPr>
              <w:rPr>
                <w:rFonts w:ascii="宋体"/>
                <w:vanish/>
              </w:rPr>
            </w:pPr>
          </w:p>
        </w:tc>
        <w:tc>
          <w:tcPr>
            <w:tcW w:w="0" w:type="auto"/>
            <w:gridSpan w:val="3"/>
            <w:shd w:val="clear" w:color="auto" w:fill="auto"/>
            <w:vAlign w:val="bottom"/>
          </w:tcPr>
          <w:p w14:paraId="5902AD44" w14:textId="77777777" w:rsidR="0084406A" w:rsidRDefault="0084406A">
            <w:pPr>
              <w:rPr>
                <w:rFonts w:ascii="宋体"/>
                <w:vanish/>
              </w:rPr>
            </w:pPr>
          </w:p>
        </w:tc>
        <w:tc>
          <w:tcPr>
            <w:tcW w:w="0" w:type="auto"/>
            <w:gridSpan w:val="3"/>
            <w:shd w:val="clear" w:color="auto" w:fill="auto"/>
            <w:vAlign w:val="bottom"/>
          </w:tcPr>
          <w:p w14:paraId="5902AD45" w14:textId="77777777" w:rsidR="0084406A" w:rsidRDefault="0084406A">
            <w:pPr>
              <w:rPr>
                <w:rFonts w:ascii="宋体"/>
                <w:vanish/>
              </w:rPr>
            </w:pPr>
          </w:p>
        </w:tc>
        <w:tc>
          <w:tcPr>
            <w:tcW w:w="0" w:type="auto"/>
            <w:gridSpan w:val="3"/>
            <w:shd w:val="clear" w:color="auto" w:fill="auto"/>
            <w:vAlign w:val="bottom"/>
          </w:tcPr>
          <w:p w14:paraId="5902AD46" w14:textId="77777777" w:rsidR="0084406A" w:rsidRDefault="0084406A">
            <w:pPr>
              <w:rPr>
                <w:rFonts w:ascii="宋体"/>
                <w:vanish/>
              </w:rPr>
            </w:pPr>
          </w:p>
        </w:tc>
        <w:tc>
          <w:tcPr>
            <w:tcW w:w="0" w:type="auto"/>
            <w:gridSpan w:val="3"/>
            <w:shd w:val="clear" w:color="auto" w:fill="auto"/>
            <w:vAlign w:val="bottom"/>
          </w:tcPr>
          <w:p w14:paraId="5902AD47" w14:textId="77777777" w:rsidR="0084406A" w:rsidRDefault="0084406A">
            <w:pPr>
              <w:rPr>
                <w:rFonts w:ascii="宋体"/>
                <w:vanish/>
              </w:rPr>
            </w:pPr>
          </w:p>
        </w:tc>
        <w:tc>
          <w:tcPr>
            <w:tcW w:w="0" w:type="auto"/>
            <w:gridSpan w:val="3"/>
            <w:shd w:val="clear" w:color="auto" w:fill="auto"/>
            <w:vAlign w:val="bottom"/>
          </w:tcPr>
          <w:p w14:paraId="5902AD48" w14:textId="77777777" w:rsidR="0084406A" w:rsidRDefault="0084406A">
            <w:pPr>
              <w:rPr>
                <w:rFonts w:ascii="宋体"/>
                <w:vanish/>
              </w:rPr>
            </w:pPr>
          </w:p>
        </w:tc>
        <w:tc>
          <w:tcPr>
            <w:tcW w:w="0" w:type="auto"/>
            <w:gridSpan w:val="3"/>
            <w:shd w:val="clear" w:color="auto" w:fill="auto"/>
            <w:vAlign w:val="bottom"/>
          </w:tcPr>
          <w:p w14:paraId="5902AD49" w14:textId="77777777" w:rsidR="0084406A" w:rsidRDefault="0084406A">
            <w:pPr>
              <w:rPr>
                <w:rFonts w:ascii="宋体"/>
                <w:vanish/>
              </w:rPr>
            </w:pPr>
          </w:p>
        </w:tc>
        <w:tc>
          <w:tcPr>
            <w:tcW w:w="0" w:type="auto"/>
            <w:gridSpan w:val="3"/>
            <w:shd w:val="clear" w:color="auto" w:fill="auto"/>
            <w:vAlign w:val="bottom"/>
          </w:tcPr>
          <w:p w14:paraId="5902AD4A" w14:textId="77777777" w:rsidR="0084406A" w:rsidRDefault="0084406A">
            <w:pPr>
              <w:rPr>
                <w:rFonts w:ascii="宋体"/>
                <w:vanish/>
              </w:rPr>
            </w:pPr>
          </w:p>
        </w:tc>
      </w:tr>
      <w:tr w:rsidR="0084406A" w14:paraId="5902AD54" w14:textId="77777777">
        <w:tc>
          <w:tcPr>
            <w:tcW w:w="0" w:type="auto"/>
            <w:gridSpan w:val="3"/>
            <w:shd w:val="clear" w:color="auto" w:fill="auto"/>
            <w:tcMar>
              <w:top w:w="40" w:type="dxa"/>
              <w:left w:w="20" w:type="dxa"/>
              <w:bottom w:w="40" w:type="dxa"/>
              <w:right w:w="20" w:type="dxa"/>
            </w:tcMar>
            <w:vAlign w:val="bottom"/>
          </w:tcPr>
          <w:p w14:paraId="5902AD4C" w14:textId="77777777" w:rsidR="0084406A" w:rsidRDefault="002B18AF">
            <w:pPr>
              <w:textAlignment w:val="bottom"/>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5902AD4D" w14:textId="77777777" w:rsidR="0084406A" w:rsidRDefault="002B18AF">
            <w:pPr>
              <w:jc w:val="center"/>
              <w:textAlignment w:val="bottom"/>
            </w:pPr>
            <w:r>
              <w:rPr>
                <w:rFonts w:ascii="Arial" w:eastAsia="宋体" w:hAnsi="Arial" w:cs="Arial"/>
                <w:b/>
                <w:bCs/>
                <w:color w:val="000000"/>
                <w:sz w:val="16"/>
                <w:szCs w:val="16"/>
              </w:rPr>
              <w:t>Number</w:t>
            </w:r>
            <w:r>
              <w:rPr>
                <w:rFonts w:ascii="Arial" w:eastAsia="宋体" w:hAnsi="Arial" w:cs="Arial"/>
                <w:b/>
                <w:bCs/>
                <w:color w:val="000000"/>
                <w:sz w:val="16"/>
                <w:szCs w:val="16"/>
              </w:rPr>
              <w:br/>
              <w:t>of Shares</w:t>
            </w:r>
          </w:p>
        </w:tc>
        <w:tc>
          <w:tcPr>
            <w:tcW w:w="0" w:type="auto"/>
            <w:gridSpan w:val="3"/>
            <w:shd w:val="clear" w:color="auto" w:fill="auto"/>
            <w:tcMar>
              <w:top w:w="0" w:type="dxa"/>
              <w:left w:w="20" w:type="dxa"/>
              <w:bottom w:w="0" w:type="dxa"/>
              <w:right w:w="20" w:type="dxa"/>
            </w:tcMar>
            <w:vAlign w:val="bottom"/>
          </w:tcPr>
          <w:p w14:paraId="5902AD4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D4F" w14:textId="77777777" w:rsidR="0084406A" w:rsidRDefault="002B18AF">
            <w:pPr>
              <w:jc w:val="center"/>
              <w:textAlignment w:val="bottom"/>
            </w:pPr>
            <w:r>
              <w:rPr>
                <w:rFonts w:ascii="Arial" w:eastAsia="宋体" w:hAnsi="Arial" w:cs="Arial"/>
                <w:b/>
                <w:bCs/>
                <w:color w:val="000000"/>
                <w:sz w:val="16"/>
                <w:szCs w:val="16"/>
              </w:rPr>
              <w:t>Weighted-Average</w:t>
            </w:r>
            <w:r>
              <w:rPr>
                <w:rFonts w:ascii="Arial" w:eastAsia="宋体" w:hAnsi="Arial" w:cs="Arial"/>
                <w:b/>
                <w:bCs/>
                <w:color w:val="000000"/>
                <w:sz w:val="16"/>
                <w:szCs w:val="16"/>
              </w:rPr>
              <w:br/>
              <w:t>Grant-Date Fair Value</w:t>
            </w:r>
          </w:p>
        </w:tc>
        <w:tc>
          <w:tcPr>
            <w:tcW w:w="0" w:type="auto"/>
            <w:gridSpan w:val="3"/>
            <w:shd w:val="clear" w:color="auto" w:fill="auto"/>
            <w:tcMar>
              <w:top w:w="0" w:type="dxa"/>
              <w:left w:w="20" w:type="dxa"/>
              <w:bottom w:w="0" w:type="dxa"/>
              <w:right w:w="20" w:type="dxa"/>
            </w:tcMar>
            <w:vAlign w:val="bottom"/>
          </w:tcPr>
          <w:p w14:paraId="5902AD50"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D51" w14:textId="77777777" w:rsidR="0084406A" w:rsidRDefault="002B18AF">
            <w:pPr>
              <w:jc w:val="center"/>
              <w:textAlignment w:val="bottom"/>
            </w:pPr>
            <w:r>
              <w:rPr>
                <w:rFonts w:ascii="Arial" w:eastAsia="宋体" w:hAnsi="Arial" w:cs="Arial"/>
                <w:b/>
                <w:bCs/>
                <w:color w:val="000000"/>
                <w:sz w:val="16"/>
                <w:szCs w:val="16"/>
              </w:rPr>
              <w:t>Aggregate Intrinsic Value</w:t>
            </w:r>
          </w:p>
        </w:tc>
        <w:tc>
          <w:tcPr>
            <w:tcW w:w="0" w:type="auto"/>
            <w:gridSpan w:val="3"/>
            <w:shd w:val="clear" w:color="auto" w:fill="auto"/>
            <w:tcMar>
              <w:top w:w="0" w:type="dxa"/>
              <w:left w:w="20" w:type="dxa"/>
              <w:bottom w:w="0" w:type="dxa"/>
              <w:right w:w="20" w:type="dxa"/>
            </w:tcMar>
            <w:vAlign w:val="bottom"/>
          </w:tcPr>
          <w:p w14:paraId="5902AD5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53" w14:textId="77777777" w:rsidR="0084406A" w:rsidRDefault="002B18AF">
            <w:pPr>
              <w:jc w:val="center"/>
              <w:textAlignment w:val="bottom"/>
            </w:pPr>
            <w:r>
              <w:rPr>
                <w:rFonts w:ascii="Arial" w:eastAsia="宋体" w:hAnsi="Arial" w:cs="Arial"/>
                <w:b/>
                <w:bCs/>
                <w:color w:val="000000"/>
                <w:sz w:val="16"/>
                <w:szCs w:val="16"/>
              </w:rPr>
              <w:t>Weighted-Average Remaining Contractual Life</w:t>
            </w:r>
            <w:r>
              <w:rPr>
                <w:rFonts w:ascii="Arial" w:eastAsia="宋体" w:hAnsi="Arial" w:cs="Arial"/>
                <w:b/>
                <w:bCs/>
                <w:color w:val="000000"/>
                <w:sz w:val="16"/>
                <w:szCs w:val="16"/>
              </w:rPr>
              <w:br/>
              <w:t>(in years)</w:t>
            </w:r>
          </w:p>
        </w:tc>
      </w:tr>
      <w:tr w:rsidR="0084406A" w14:paraId="5902AD59" w14:textId="77777777">
        <w:tc>
          <w:tcPr>
            <w:tcW w:w="0" w:type="auto"/>
            <w:gridSpan w:val="3"/>
            <w:shd w:val="clear" w:color="auto" w:fill="auto"/>
            <w:tcMar>
              <w:top w:w="0" w:type="dxa"/>
              <w:left w:w="20" w:type="dxa"/>
              <w:bottom w:w="0" w:type="dxa"/>
              <w:right w:w="20" w:type="dxa"/>
            </w:tcMar>
            <w:vAlign w:val="bottom"/>
          </w:tcPr>
          <w:p w14:paraId="5902AD55" w14:textId="77777777" w:rsidR="0084406A" w:rsidRDefault="0084406A">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5902AD56" w14:textId="77777777" w:rsidR="0084406A" w:rsidRDefault="002B18AF">
            <w:pPr>
              <w:jc w:val="center"/>
              <w:textAlignment w:val="bottom"/>
            </w:pPr>
            <w:r>
              <w:rPr>
                <w:rFonts w:ascii="Arial" w:eastAsia="宋体" w:hAnsi="Arial" w:cs="Arial"/>
                <w:b/>
                <w:bCs/>
                <w:color w:val="000000"/>
                <w:sz w:val="16"/>
                <w:szCs w:val="16"/>
              </w:rPr>
              <w:t>(In millions except share price)</w:t>
            </w:r>
          </w:p>
        </w:tc>
        <w:tc>
          <w:tcPr>
            <w:tcW w:w="0" w:type="auto"/>
            <w:gridSpan w:val="3"/>
            <w:shd w:val="clear" w:color="auto" w:fill="auto"/>
            <w:tcMar>
              <w:top w:w="0" w:type="dxa"/>
              <w:left w:w="20" w:type="dxa"/>
              <w:bottom w:w="0" w:type="dxa"/>
              <w:right w:w="20" w:type="dxa"/>
            </w:tcMar>
            <w:vAlign w:val="bottom"/>
          </w:tcPr>
          <w:p w14:paraId="5902AD57" w14:textId="77777777" w:rsidR="0084406A" w:rsidRDefault="0084406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902AD58" w14:textId="77777777" w:rsidR="0084406A" w:rsidRDefault="0084406A">
            <w:pPr>
              <w:rPr>
                <w:rFonts w:ascii="宋体"/>
              </w:rPr>
            </w:pPr>
          </w:p>
        </w:tc>
      </w:tr>
      <w:tr w:rsidR="0084406A" w14:paraId="5902AD65" w14:textId="77777777">
        <w:tc>
          <w:tcPr>
            <w:tcW w:w="0" w:type="auto"/>
            <w:gridSpan w:val="3"/>
            <w:shd w:val="clear" w:color="auto" w:fill="CCEEFF"/>
            <w:tcMar>
              <w:top w:w="40" w:type="dxa"/>
              <w:left w:w="20" w:type="dxa"/>
              <w:bottom w:w="40" w:type="dxa"/>
              <w:right w:w="20" w:type="dxa"/>
            </w:tcMar>
            <w:vAlign w:val="bottom"/>
          </w:tcPr>
          <w:p w14:paraId="5902AD5A" w14:textId="77777777" w:rsidR="0084406A" w:rsidRDefault="002B18AF">
            <w:pPr>
              <w:textAlignment w:val="bottom"/>
            </w:pPr>
            <w:r>
              <w:rPr>
                <w:rFonts w:ascii="Arial" w:eastAsia="宋体" w:hAnsi="Arial" w:cs="Arial"/>
                <w:color w:val="000000"/>
                <w:sz w:val="20"/>
                <w:szCs w:val="20"/>
              </w:rPr>
              <w:t xml:space="preserve">Unvested shares as of </w:t>
            </w:r>
            <w:r>
              <w:rPr>
                <w:rFonts w:ascii="Arial" w:eastAsia="宋体" w:hAnsi="Arial" w:cs="Arial"/>
                <w:color w:val="000000"/>
                <w:sz w:val="20"/>
                <w:szCs w:val="20"/>
              </w:rPr>
              <w:t>December 26, 2020</w:t>
            </w:r>
          </w:p>
        </w:tc>
        <w:tc>
          <w:tcPr>
            <w:tcW w:w="0" w:type="auto"/>
            <w:gridSpan w:val="2"/>
            <w:shd w:val="clear" w:color="auto" w:fill="CCEEFF"/>
            <w:tcMar>
              <w:top w:w="40" w:type="dxa"/>
              <w:left w:w="20" w:type="dxa"/>
              <w:bottom w:w="40" w:type="dxa"/>
              <w:right w:w="0" w:type="dxa"/>
            </w:tcMar>
            <w:vAlign w:val="bottom"/>
          </w:tcPr>
          <w:p w14:paraId="5902AD5B"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5902AD5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5D"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D5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D5F" w14:textId="77777777" w:rsidR="0084406A" w:rsidRDefault="002B18AF">
            <w:pPr>
              <w:jc w:val="right"/>
              <w:textAlignment w:val="bottom"/>
            </w:pPr>
            <w:r>
              <w:rPr>
                <w:rFonts w:ascii="Arial" w:eastAsia="宋体" w:hAnsi="Arial" w:cs="Arial"/>
                <w:color w:val="000000"/>
                <w:sz w:val="20"/>
                <w:szCs w:val="20"/>
              </w:rPr>
              <w:t>55.63 </w:t>
            </w:r>
          </w:p>
        </w:tc>
        <w:tc>
          <w:tcPr>
            <w:tcW w:w="0" w:type="auto"/>
            <w:shd w:val="clear" w:color="auto" w:fill="CCEEFF"/>
            <w:tcMar>
              <w:top w:w="40" w:type="dxa"/>
              <w:left w:w="0" w:type="dxa"/>
              <w:bottom w:w="40" w:type="dxa"/>
              <w:right w:w="20" w:type="dxa"/>
            </w:tcMar>
            <w:vAlign w:val="bottom"/>
          </w:tcPr>
          <w:p w14:paraId="5902AD6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6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6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63"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64" w14:textId="77777777" w:rsidR="0084406A" w:rsidRDefault="0084406A">
            <w:pPr>
              <w:rPr>
                <w:rFonts w:ascii="宋体"/>
              </w:rPr>
            </w:pPr>
          </w:p>
        </w:tc>
      </w:tr>
      <w:tr w:rsidR="0084406A" w14:paraId="5902AD71" w14:textId="77777777">
        <w:tc>
          <w:tcPr>
            <w:tcW w:w="0" w:type="auto"/>
            <w:gridSpan w:val="3"/>
            <w:shd w:val="clear" w:color="auto" w:fill="FFFFFF"/>
            <w:tcMar>
              <w:top w:w="40" w:type="dxa"/>
              <w:left w:w="155" w:type="dxa"/>
              <w:bottom w:w="40" w:type="dxa"/>
              <w:right w:w="20" w:type="dxa"/>
            </w:tcMar>
            <w:vAlign w:val="bottom"/>
          </w:tcPr>
          <w:p w14:paraId="5902AD66" w14:textId="77777777" w:rsidR="0084406A" w:rsidRDefault="002B18AF">
            <w:pPr>
              <w:textAlignment w:val="bottom"/>
            </w:pPr>
            <w:r>
              <w:rPr>
                <w:rFonts w:ascii="Arial" w:eastAsia="宋体" w:hAnsi="Arial" w:cs="Arial"/>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5902AD6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D6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D69"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D6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D6B" w14:textId="77777777" w:rsidR="0084406A" w:rsidRDefault="002B18AF">
            <w:pPr>
              <w:jc w:val="right"/>
              <w:textAlignment w:val="bottom"/>
            </w:pPr>
            <w:r>
              <w:rPr>
                <w:rFonts w:ascii="Arial" w:eastAsia="宋体" w:hAnsi="Arial" w:cs="Arial"/>
                <w:color w:val="000000"/>
                <w:sz w:val="20"/>
                <w:szCs w:val="20"/>
              </w:rPr>
              <w:t>153.89 </w:t>
            </w:r>
          </w:p>
        </w:tc>
        <w:tc>
          <w:tcPr>
            <w:tcW w:w="0" w:type="auto"/>
            <w:shd w:val="clear" w:color="auto" w:fill="FFFFFF"/>
            <w:tcMar>
              <w:top w:w="40" w:type="dxa"/>
              <w:left w:w="0" w:type="dxa"/>
              <w:bottom w:w="40" w:type="dxa"/>
              <w:right w:w="20" w:type="dxa"/>
            </w:tcMar>
            <w:vAlign w:val="bottom"/>
          </w:tcPr>
          <w:p w14:paraId="5902AD6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D6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6E"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6F"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70" w14:textId="77777777" w:rsidR="0084406A" w:rsidRDefault="0084406A">
            <w:pPr>
              <w:rPr>
                <w:rFonts w:ascii="宋体"/>
              </w:rPr>
            </w:pPr>
          </w:p>
        </w:tc>
      </w:tr>
      <w:tr w:rsidR="0084406A" w14:paraId="5902AD7D" w14:textId="77777777">
        <w:tc>
          <w:tcPr>
            <w:tcW w:w="0" w:type="auto"/>
            <w:gridSpan w:val="3"/>
            <w:shd w:val="clear" w:color="auto" w:fill="CCEEFF"/>
            <w:tcMar>
              <w:top w:w="40" w:type="dxa"/>
              <w:left w:w="155" w:type="dxa"/>
              <w:bottom w:w="40" w:type="dxa"/>
              <w:right w:w="20" w:type="dxa"/>
            </w:tcMar>
            <w:vAlign w:val="bottom"/>
          </w:tcPr>
          <w:p w14:paraId="5902AD72" w14:textId="77777777" w:rsidR="0084406A" w:rsidRDefault="002B18AF">
            <w:pPr>
              <w:textAlignment w:val="bottom"/>
            </w:pPr>
            <w:r>
              <w:rPr>
                <w:rFonts w:ascii="Arial" w:eastAsia="宋体" w:hAnsi="Arial" w:cs="Arial"/>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5902AD73"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7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7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D7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D7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7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7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7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7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D7C" w14:textId="77777777" w:rsidR="0084406A" w:rsidRDefault="0084406A">
            <w:pPr>
              <w:rPr>
                <w:rFonts w:ascii="宋体"/>
              </w:rPr>
            </w:pPr>
          </w:p>
        </w:tc>
      </w:tr>
      <w:tr w:rsidR="0084406A" w14:paraId="5902AD89" w14:textId="77777777">
        <w:tc>
          <w:tcPr>
            <w:tcW w:w="0" w:type="auto"/>
            <w:gridSpan w:val="3"/>
            <w:shd w:val="clear" w:color="auto" w:fill="FFFFFF"/>
            <w:tcMar>
              <w:top w:w="40" w:type="dxa"/>
              <w:left w:w="155" w:type="dxa"/>
              <w:bottom w:w="40" w:type="dxa"/>
              <w:right w:w="20" w:type="dxa"/>
            </w:tcMar>
            <w:vAlign w:val="bottom"/>
          </w:tcPr>
          <w:p w14:paraId="5902AD7E" w14:textId="77777777" w:rsidR="0084406A" w:rsidRDefault="002B18AF">
            <w:pPr>
              <w:textAlignment w:val="bottom"/>
            </w:pPr>
            <w:r>
              <w:rPr>
                <w:rFonts w:ascii="Arial" w:eastAsia="宋体" w:hAnsi="Arial" w:cs="Arial"/>
                <w:color w:val="000000"/>
                <w:sz w:val="20"/>
                <w:szCs w:val="20"/>
              </w:rPr>
              <w:t>Vested</w:t>
            </w:r>
          </w:p>
        </w:tc>
        <w:tc>
          <w:tcPr>
            <w:tcW w:w="0" w:type="auto"/>
            <w:gridSpan w:val="2"/>
            <w:shd w:val="clear" w:color="auto" w:fill="FFFFFF"/>
            <w:tcMar>
              <w:top w:w="40" w:type="dxa"/>
              <w:left w:w="20" w:type="dxa"/>
              <w:bottom w:w="40" w:type="dxa"/>
              <w:right w:w="0" w:type="dxa"/>
            </w:tcMar>
            <w:vAlign w:val="bottom"/>
          </w:tcPr>
          <w:p w14:paraId="5902AD7F"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5902AD8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D81"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D8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D83" w14:textId="77777777" w:rsidR="0084406A" w:rsidRDefault="002B18AF">
            <w:pPr>
              <w:jc w:val="right"/>
              <w:textAlignment w:val="bottom"/>
            </w:pPr>
            <w:r>
              <w:rPr>
                <w:rFonts w:ascii="Arial" w:eastAsia="宋体" w:hAnsi="Arial" w:cs="Arial"/>
                <w:color w:val="000000"/>
                <w:sz w:val="20"/>
                <w:szCs w:val="20"/>
              </w:rPr>
              <w:t>24.40 </w:t>
            </w:r>
          </w:p>
        </w:tc>
        <w:tc>
          <w:tcPr>
            <w:tcW w:w="0" w:type="auto"/>
            <w:shd w:val="clear" w:color="auto" w:fill="FFFFFF"/>
            <w:tcMar>
              <w:top w:w="40" w:type="dxa"/>
              <w:left w:w="0" w:type="dxa"/>
              <w:bottom w:w="40" w:type="dxa"/>
              <w:right w:w="20" w:type="dxa"/>
            </w:tcMar>
            <w:vAlign w:val="bottom"/>
          </w:tcPr>
          <w:p w14:paraId="5902AD8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D85"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86"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87"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D88" w14:textId="77777777" w:rsidR="0084406A" w:rsidRDefault="0084406A">
            <w:pPr>
              <w:rPr>
                <w:rFonts w:ascii="宋体"/>
              </w:rPr>
            </w:pPr>
          </w:p>
        </w:tc>
      </w:tr>
      <w:tr w:rsidR="0084406A" w14:paraId="5902AD97" w14:textId="77777777">
        <w:tc>
          <w:tcPr>
            <w:tcW w:w="0" w:type="auto"/>
            <w:gridSpan w:val="3"/>
            <w:shd w:val="clear" w:color="auto" w:fill="CCEEFF"/>
            <w:tcMar>
              <w:top w:w="40" w:type="dxa"/>
              <w:left w:w="20" w:type="dxa"/>
              <w:bottom w:w="40" w:type="dxa"/>
              <w:right w:w="20" w:type="dxa"/>
            </w:tcMar>
            <w:vAlign w:val="bottom"/>
          </w:tcPr>
          <w:p w14:paraId="5902AD8A" w14:textId="77777777" w:rsidR="0084406A" w:rsidRDefault="002B18AF">
            <w:pPr>
              <w:textAlignment w:val="bottom"/>
            </w:pPr>
            <w:r>
              <w:rPr>
                <w:rFonts w:ascii="Arial" w:eastAsia="宋体" w:hAnsi="Arial" w:cs="Arial"/>
                <w:color w:val="000000"/>
                <w:sz w:val="20"/>
                <w:szCs w:val="20"/>
              </w:rPr>
              <w:t>Unvested shares as of December 25,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D8B" w14:textId="77777777" w:rsidR="0084406A" w:rsidRDefault="002B18AF">
            <w:pPr>
              <w:jc w:val="right"/>
              <w:textAlignment w:val="bottom"/>
            </w:pPr>
            <w:r>
              <w:rPr>
                <w:rFonts w:ascii="Arial" w:eastAsia="宋体" w:hAnsi="Arial" w:cs="Arial"/>
                <w:color w:val="000000"/>
                <w:sz w:val="20"/>
                <w:szCs w:val="20"/>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D8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8D"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D8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D8F" w14:textId="77777777" w:rsidR="0084406A" w:rsidRDefault="002B18AF">
            <w:pPr>
              <w:jc w:val="right"/>
              <w:textAlignment w:val="bottom"/>
            </w:pPr>
            <w:r>
              <w:rPr>
                <w:rFonts w:ascii="Arial" w:eastAsia="宋体" w:hAnsi="Arial" w:cs="Arial"/>
                <w:color w:val="000000"/>
                <w:sz w:val="20"/>
                <w:szCs w:val="20"/>
              </w:rPr>
              <w:t>78.59 </w:t>
            </w:r>
          </w:p>
        </w:tc>
        <w:tc>
          <w:tcPr>
            <w:tcW w:w="0" w:type="auto"/>
            <w:shd w:val="clear" w:color="auto" w:fill="CCEEFF"/>
            <w:tcMar>
              <w:top w:w="40" w:type="dxa"/>
              <w:left w:w="0" w:type="dxa"/>
              <w:bottom w:w="40" w:type="dxa"/>
              <w:right w:w="20" w:type="dxa"/>
            </w:tcMar>
            <w:vAlign w:val="bottom"/>
          </w:tcPr>
          <w:p w14:paraId="5902AD9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9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D9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D93" w14:textId="77777777" w:rsidR="0084406A" w:rsidRDefault="002B18AF">
            <w:pPr>
              <w:jc w:val="right"/>
              <w:textAlignment w:val="bottom"/>
            </w:pPr>
            <w:r>
              <w:rPr>
                <w:rFonts w:ascii="Arial" w:eastAsia="宋体" w:hAnsi="Arial" w:cs="Arial"/>
                <w:color w:val="000000"/>
                <w:sz w:val="20"/>
                <w:szCs w:val="20"/>
              </w:rPr>
              <w:t>338 </w:t>
            </w:r>
          </w:p>
        </w:tc>
        <w:tc>
          <w:tcPr>
            <w:tcW w:w="0" w:type="auto"/>
            <w:shd w:val="clear" w:color="auto" w:fill="CCEEFF"/>
            <w:tcMar>
              <w:top w:w="40" w:type="dxa"/>
              <w:left w:w="0" w:type="dxa"/>
              <w:bottom w:w="40" w:type="dxa"/>
              <w:right w:w="20" w:type="dxa"/>
            </w:tcMar>
            <w:vAlign w:val="bottom"/>
          </w:tcPr>
          <w:p w14:paraId="5902AD9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D95" w14:textId="77777777" w:rsidR="0084406A" w:rsidRDefault="0084406A">
            <w:pPr>
              <w:rPr>
                <w:rFonts w:ascii="宋体"/>
              </w:rPr>
            </w:pPr>
          </w:p>
        </w:tc>
        <w:tc>
          <w:tcPr>
            <w:tcW w:w="0" w:type="auto"/>
            <w:gridSpan w:val="3"/>
            <w:shd w:val="clear" w:color="auto" w:fill="CCEEFF"/>
            <w:tcMar>
              <w:top w:w="40" w:type="dxa"/>
              <w:left w:w="20" w:type="dxa"/>
              <w:bottom w:w="40" w:type="dxa"/>
              <w:right w:w="20" w:type="dxa"/>
            </w:tcMar>
            <w:vAlign w:val="bottom"/>
          </w:tcPr>
          <w:p w14:paraId="5902AD96" w14:textId="77777777" w:rsidR="0084406A" w:rsidRDefault="002B18AF">
            <w:pPr>
              <w:jc w:val="right"/>
              <w:textAlignment w:val="bottom"/>
            </w:pPr>
            <w:r>
              <w:rPr>
                <w:rFonts w:ascii="Arial" w:eastAsia="宋体" w:hAnsi="Arial" w:cs="Arial"/>
                <w:color w:val="000000"/>
                <w:sz w:val="20"/>
                <w:szCs w:val="20"/>
              </w:rPr>
              <w:t>1.50</w:t>
            </w:r>
          </w:p>
        </w:tc>
      </w:tr>
    </w:tbl>
    <w:p w14:paraId="5902AD98" w14:textId="77777777" w:rsidR="0084406A" w:rsidRDefault="002B18AF">
      <w:pPr>
        <w:spacing w:before="180"/>
        <w:jc w:val="both"/>
      </w:pPr>
      <w:r>
        <w:rPr>
          <w:rFonts w:ascii="Arial" w:eastAsia="宋体" w:hAnsi="Arial" w:cs="Arial"/>
          <w:color w:val="000000"/>
          <w:sz w:val="20"/>
          <w:szCs w:val="20"/>
        </w:rPr>
        <w:t>The total fair value of PRSUs vested during 2021, 2020 and 2019 was $98 million, $76 million and $65 million, respectively.</w:t>
      </w:r>
    </w:p>
    <w:p w14:paraId="5902AD99" w14:textId="77777777" w:rsidR="0084406A" w:rsidRDefault="002B18AF">
      <w:pPr>
        <w:spacing w:before="180"/>
        <w:jc w:val="both"/>
      </w:pPr>
      <w:r>
        <w:rPr>
          <w:rFonts w:ascii="Arial" w:eastAsia="宋体" w:hAnsi="Arial" w:cs="Arial"/>
          <w:color w:val="000000"/>
          <w:sz w:val="20"/>
          <w:szCs w:val="20"/>
        </w:rPr>
        <w:t xml:space="preserve">As of December 25, 2021, the Company had $103 million of total unrecognized compensation </w:t>
      </w:r>
      <w:r>
        <w:rPr>
          <w:rFonts w:ascii="Arial" w:eastAsia="宋体" w:hAnsi="Arial" w:cs="Arial"/>
          <w:color w:val="000000"/>
          <w:sz w:val="20"/>
          <w:szCs w:val="20"/>
        </w:rPr>
        <w:t>expense related to PRSUs, which will be recognized over the weighted-average period of 1.50 years.</w:t>
      </w:r>
    </w:p>
    <w:p w14:paraId="5902AD9A" w14:textId="77777777" w:rsidR="0084406A" w:rsidRDefault="002B18AF">
      <w:pPr>
        <w:jc w:val="center"/>
      </w:pPr>
      <w:r>
        <w:rPr>
          <w:rFonts w:ascii="Arial" w:eastAsia="宋体" w:hAnsi="Arial" w:cs="Arial"/>
          <w:color w:val="000000"/>
          <w:sz w:val="20"/>
          <w:szCs w:val="20"/>
        </w:rPr>
        <w:t>68</w:t>
      </w:r>
    </w:p>
    <w:p w14:paraId="5902AD9B" w14:textId="77777777" w:rsidR="0084406A" w:rsidRDefault="002B18AF">
      <w:r>
        <w:pict w14:anchorId="5902BB3A">
          <v:rect id="_x0000_i1095" style="width:415.3pt;height:1.5pt" o:hralign="center" o:hrstd="t" o:hr="t" fillcolor="#a0a0a0" stroked="f"/>
        </w:pict>
      </w:r>
    </w:p>
    <w:p w14:paraId="5902AD9C" w14:textId="77777777" w:rsidR="0084406A" w:rsidRDefault="0084406A"/>
    <w:p w14:paraId="5902AD9D" w14:textId="77777777" w:rsidR="0084406A" w:rsidRDefault="002B18AF">
      <w:pPr>
        <w:spacing w:before="180"/>
        <w:jc w:val="both"/>
      </w:pPr>
      <w:r>
        <w:rPr>
          <w:rFonts w:ascii="Arial" w:eastAsia="宋体" w:hAnsi="Arial" w:cs="Arial"/>
          <w:i/>
          <w:iCs/>
          <w:color w:val="000000"/>
          <w:sz w:val="20"/>
          <w:szCs w:val="20"/>
        </w:rPr>
        <w:t xml:space="preserve">ESPP. </w:t>
      </w:r>
      <w:r>
        <w:rPr>
          <w:rFonts w:ascii="Arial" w:eastAsia="宋体" w:hAnsi="Arial" w:cs="Arial"/>
          <w:color w:val="000000"/>
          <w:sz w:val="20"/>
          <w:szCs w:val="20"/>
        </w:rPr>
        <w:t>The weighted-average grant date fair value for the ESPP during 2021, 2020 and 2019 was $27.27, $20.97 and $9.96 per share, respectively, using th</w:t>
      </w:r>
      <w:r>
        <w:rPr>
          <w:rFonts w:ascii="Arial" w:eastAsia="宋体" w:hAnsi="Arial" w:cs="Arial"/>
          <w:color w:val="000000"/>
          <w:sz w:val="20"/>
          <w:szCs w:val="20"/>
        </w:rPr>
        <w:t>e 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681"/>
        <w:gridCol w:w="36"/>
        <w:gridCol w:w="48"/>
        <w:gridCol w:w="1204"/>
        <w:gridCol w:w="198"/>
        <w:gridCol w:w="36"/>
        <w:gridCol w:w="36"/>
        <w:gridCol w:w="36"/>
        <w:gridCol w:w="48"/>
        <w:gridCol w:w="1140"/>
        <w:gridCol w:w="198"/>
        <w:gridCol w:w="36"/>
        <w:gridCol w:w="36"/>
        <w:gridCol w:w="36"/>
        <w:gridCol w:w="48"/>
        <w:gridCol w:w="1140"/>
        <w:gridCol w:w="198"/>
        <w:gridCol w:w="36"/>
        <w:gridCol w:w="36"/>
        <w:gridCol w:w="36"/>
        <w:gridCol w:w="36"/>
      </w:tblGrid>
      <w:tr w:rsidR="0084406A" w14:paraId="5902ADB4" w14:textId="77777777">
        <w:trPr>
          <w:jc w:val="center"/>
        </w:trPr>
        <w:tc>
          <w:tcPr>
            <w:tcW w:w="50" w:type="pct"/>
            <w:shd w:val="clear" w:color="auto" w:fill="auto"/>
            <w:vAlign w:val="bottom"/>
          </w:tcPr>
          <w:p w14:paraId="5902AD9E" w14:textId="77777777" w:rsidR="0084406A" w:rsidRDefault="0084406A">
            <w:pPr>
              <w:rPr>
                <w:rFonts w:ascii="宋体"/>
              </w:rPr>
            </w:pPr>
          </w:p>
        </w:tc>
        <w:tc>
          <w:tcPr>
            <w:tcW w:w="2306" w:type="pct"/>
            <w:shd w:val="clear" w:color="auto" w:fill="auto"/>
            <w:vAlign w:val="bottom"/>
          </w:tcPr>
          <w:p w14:paraId="5902AD9F" w14:textId="77777777" w:rsidR="0084406A" w:rsidRDefault="0084406A">
            <w:pPr>
              <w:rPr>
                <w:rFonts w:ascii="宋体"/>
              </w:rPr>
            </w:pPr>
          </w:p>
        </w:tc>
        <w:tc>
          <w:tcPr>
            <w:tcW w:w="5" w:type="pct"/>
            <w:shd w:val="clear" w:color="auto" w:fill="auto"/>
            <w:vAlign w:val="bottom"/>
          </w:tcPr>
          <w:p w14:paraId="5902ADA0" w14:textId="77777777" w:rsidR="0084406A" w:rsidRDefault="0084406A">
            <w:pPr>
              <w:rPr>
                <w:rFonts w:ascii="宋体"/>
              </w:rPr>
            </w:pPr>
          </w:p>
        </w:tc>
        <w:tc>
          <w:tcPr>
            <w:tcW w:w="50" w:type="pct"/>
            <w:shd w:val="clear" w:color="auto" w:fill="auto"/>
            <w:vAlign w:val="bottom"/>
          </w:tcPr>
          <w:p w14:paraId="5902ADA1" w14:textId="77777777" w:rsidR="0084406A" w:rsidRDefault="0084406A">
            <w:pPr>
              <w:rPr>
                <w:rFonts w:ascii="宋体"/>
              </w:rPr>
            </w:pPr>
          </w:p>
        </w:tc>
        <w:tc>
          <w:tcPr>
            <w:tcW w:w="800" w:type="pct"/>
            <w:shd w:val="clear" w:color="auto" w:fill="auto"/>
            <w:vAlign w:val="bottom"/>
          </w:tcPr>
          <w:p w14:paraId="5902ADA2" w14:textId="77777777" w:rsidR="0084406A" w:rsidRDefault="0084406A">
            <w:pPr>
              <w:rPr>
                <w:rFonts w:ascii="宋体"/>
              </w:rPr>
            </w:pPr>
          </w:p>
        </w:tc>
        <w:tc>
          <w:tcPr>
            <w:tcW w:w="5" w:type="pct"/>
            <w:shd w:val="clear" w:color="auto" w:fill="auto"/>
            <w:vAlign w:val="bottom"/>
          </w:tcPr>
          <w:p w14:paraId="5902ADA3" w14:textId="77777777" w:rsidR="0084406A" w:rsidRDefault="0084406A">
            <w:pPr>
              <w:rPr>
                <w:rFonts w:ascii="宋体"/>
              </w:rPr>
            </w:pPr>
          </w:p>
        </w:tc>
        <w:tc>
          <w:tcPr>
            <w:tcW w:w="5" w:type="pct"/>
            <w:shd w:val="clear" w:color="auto" w:fill="auto"/>
            <w:vAlign w:val="bottom"/>
          </w:tcPr>
          <w:p w14:paraId="5902ADA4" w14:textId="77777777" w:rsidR="0084406A" w:rsidRDefault="0084406A">
            <w:pPr>
              <w:rPr>
                <w:rFonts w:ascii="宋体"/>
              </w:rPr>
            </w:pPr>
          </w:p>
        </w:tc>
        <w:tc>
          <w:tcPr>
            <w:tcW w:w="26" w:type="pct"/>
            <w:shd w:val="clear" w:color="auto" w:fill="auto"/>
            <w:vAlign w:val="bottom"/>
          </w:tcPr>
          <w:p w14:paraId="5902ADA5" w14:textId="77777777" w:rsidR="0084406A" w:rsidRDefault="0084406A">
            <w:pPr>
              <w:rPr>
                <w:rFonts w:ascii="宋体"/>
              </w:rPr>
            </w:pPr>
          </w:p>
        </w:tc>
        <w:tc>
          <w:tcPr>
            <w:tcW w:w="5" w:type="pct"/>
            <w:shd w:val="clear" w:color="auto" w:fill="auto"/>
            <w:vAlign w:val="bottom"/>
          </w:tcPr>
          <w:p w14:paraId="5902ADA6" w14:textId="77777777" w:rsidR="0084406A" w:rsidRDefault="0084406A">
            <w:pPr>
              <w:rPr>
                <w:rFonts w:ascii="宋体"/>
              </w:rPr>
            </w:pPr>
          </w:p>
        </w:tc>
        <w:tc>
          <w:tcPr>
            <w:tcW w:w="50" w:type="pct"/>
            <w:shd w:val="clear" w:color="auto" w:fill="auto"/>
            <w:vAlign w:val="bottom"/>
          </w:tcPr>
          <w:p w14:paraId="5902ADA7" w14:textId="77777777" w:rsidR="0084406A" w:rsidRDefault="0084406A">
            <w:pPr>
              <w:rPr>
                <w:rFonts w:ascii="宋体"/>
              </w:rPr>
            </w:pPr>
          </w:p>
        </w:tc>
        <w:tc>
          <w:tcPr>
            <w:tcW w:w="800" w:type="pct"/>
            <w:shd w:val="clear" w:color="auto" w:fill="auto"/>
            <w:vAlign w:val="bottom"/>
          </w:tcPr>
          <w:p w14:paraId="5902ADA8" w14:textId="77777777" w:rsidR="0084406A" w:rsidRDefault="0084406A">
            <w:pPr>
              <w:rPr>
                <w:rFonts w:ascii="宋体"/>
              </w:rPr>
            </w:pPr>
          </w:p>
        </w:tc>
        <w:tc>
          <w:tcPr>
            <w:tcW w:w="5" w:type="pct"/>
            <w:shd w:val="clear" w:color="auto" w:fill="auto"/>
            <w:vAlign w:val="bottom"/>
          </w:tcPr>
          <w:p w14:paraId="5902ADA9" w14:textId="77777777" w:rsidR="0084406A" w:rsidRDefault="0084406A">
            <w:pPr>
              <w:rPr>
                <w:rFonts w:ascii="宋体"/>
              </w:rPr>
            </w:pPr>
          </w:p>
        </w:tc>
        <w:tc>
          <w:tcPr>
            <w:tcW w:w="5" w:type="pct"/>
            <w:shd w:val="clear" w:color="auto" w:fill="auto"/>
            <w:vAlign w:val="bottom"/>
          </w:tcPr>
          <w:p w14:paraId="5902ADAA" w14:textId="77777777" w:rsidR="0084406A" w:rsidRDefault="0084406A">
            <w:pPr>
              <w:rPr>
                <w:rFonts w:ascii="宋体"/>
              </w:rPr>
            </w:pPr>
          </w:p>
        </w:tc>
        <w:tc>
          <w:tcPr>
            <w:tcW w:w="26" w:type="pct"/>
            <w:shd w:val="clear" w:color="auto" w:fill="auto"/>
            <w:vAlign w:val="bottom"/>
          </w:tcPr>
          <w:p w14:paraId="5902ADAB" w14:textId="77777777" w:rsidR="0084406A" w:rsidRDefault="0084406A">
            <w:pPr>
              <w:rPr>
                <w:rFonts w:ascii="宋体"/>
              </w:rPr>
            </w:pPr>
          </w:p>
        </w:tc>
        <w:tc>
          <w:tcPr>
            <w:tcW w:w="5" w:type="pct"/>
            <w:shd w:val="clear" w:color="auto" w:fill="auto"/>
            <w:vAlign w:val="bottom"/>
          </w:tcPr>
          <w:p w14:paraId="5902ADAC" w14:textId="77777777" w:rsidR="0084406A" w:rsidRDefault="0084406A">
            <w:pPr>
              <w:rPr>
                <w:rFonts w:ascii="宋体"/>
              </w:rPr>
            </w:pPr>
          </w:p>
        </w:tc>
        <w:tc>
          <w:tcPr>
            <w:tcW w:w="50" w:type="pct"/>
            <w:shd w:val="clear" w:color="auto" w:fill="auto"/>
            <w:vAlign w:val="bottom"/>
          </w:tcPr>
          <w:p w14:paraId="5902ADAD" w14:textId="77777777" w:rsidR="0084406A" w:rsidRDefault="0084406A">
            <w:pPr>
              <w:rPr>
                <w:rFonts w:ascii="宋体"/>
              </w:rPr>
            </w:pPr>
          </w:p>
        </w:tc>
        <w:tc>
          <w:tcPr>
            <w:tcW w:w="800" w:type="pct"/>
            <w:shd w:val="clear" w:color="auto" w:fill="auto"/>
            <w:vAlign w:val="bottom"/>
          </w:tcPr>
          <w:p w14:paraId="5902ADAE" w14:textId="77777777" w:rsidR="0084406A" w:rsidRDefault="0084406A">
            <w:pPr>
              <w:rPr>
                <w:rFonts w:ascii="宋体"/>
              </w:rPr>
            </w:pPr>
          </w:p>
        </w:tc>
        <w:tc>
          <w:tcPr>
            <w:tcW w:w="5" w:type="pct"/>
            <w:shd w:val="clear" w:color="auto" w:fill="auto"/>
            <w:vAlign w:val="bottom"/>
          </w:tcPr>
          <w:p w14:paraId="5902ADAF" w14:textId="77777777" w:rsidR="0084406A" w:rsidRDefault="0084406A">
            <w:pPr>
              <w:rPr>
                <w:rFonts w:ascii="宋体"/>
              </w:rPr>
            </w:pPr>
          </w:p>
        </w:tc>
        <w:tc>
          <w:tcPr>
            <w:tcW w:w="0" w:type="auto"/>
            <w:shd w:val="clear" w:color="auto" w:fill="auto"/>
            <w:vAlign w:val="bottom"/>
          </w:tcPr>
          <w:p w14:paraId="5902ADB0" w14:textId="77777777" w:rsidR="0084406A" w:rsidRDefault="0084406A">
            <w:pPr>
              <w:rPr>
                <w:rFonts w:ascii="宋体"/>
                <w:vanish/>
              </w:rPr>
            </w:pPr>
          </w:p>
        </w:tc>
        <w:tc>
          <w:tcPr>
            <w:tcW w:w="0" w:type="auto"/>
            <w:shd w:val="clear" w:color="auto" w:fill="auto"/>
            <w:vAlign w:val="bottom"/>
          </w:tcPr>
          <w:p w14:paraId="5902ADB1" w14:textId="77777777" w:rsidR="0084406A" w:rsidRDefault="0084406A">
            <w:pPr>
              <w:rPr>
                <w:rFonts w:ascii="宋体"/>
                <w:vanish/>
              </w:rPr>
            </w:pPr>
          </w:p>
        </w:tc>
        <w:tc>
          <w:tcPr>
            <w:tcW w:w="0" w:type="auto"/>
            <w:shd w:val="clear" w:color="auto" w:fill="auto"/>
            <w:vAlign w:val="bottom"/>
          </w:tcPr>
          <w:p w14:paraId="5902ADB2" w14:textId="77777777" w:rsidR="0084406A" w:rsidRDefault="0084406A">
            <w:pPr>
              <w:rPr>
                <w:rFonts w:ascii="宋体"/>
                <w:vanish/>
              </w:rPr>
            </w:pPr>
          </w:p>
        </w:tc>
        <w:tc>
          <w:tcPr>
            <w:tcW w:w="0" w:type="auto"/>
            <w:shd w:val="clear" w:color="auto" w:fill="auto"/>
            <w:vAlign w:val="bottom"/>
          </w:tcPr>
          <w:p w14:paraId="5902ADB3" w14:textId="77777777" w:rsidR="0084406A" w:rsidRDefault="0084406A">
            <w:pPr>
              <w:rPr>
                <w:rFonts w:ascii="宋体"/>
                <w:vanish/>
              </w:rPr>
            </w:pPr>
          </w:p>
        </w:tc>
      </w:tr>
      <w:tr w:rsidR="0084406A" w14:paraId="5902ADBF" w14:textId="77777777">
        <w:trPr>
          <w:jc w:val="center"/>
        </w:trPr>
        <w:tc>
          <w:tcPr>
            <w:tcW w:w="0" w:type="auto"/>
            <w:gridSpan w:val="3"/>
            <w:shd w:val="clear" w:color="auto" w:fill="auto"/>
            <w:tcMar>
              <w:top w:w="0" w:type="dxa"/>
              <w:left w:w="20" w:type="dxa"/>
              <w:bottom w:w="0" w:type="dxa"/>
              <w:right w:w="20" w:type="dxa"/>
            </w:tcMar>
            <w:vAlign w:val="bottom"/>
          </w:tcPr>
          <w:p w14:paraId="5902ADB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B6"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DB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B8"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DB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DBA" w14:textId="77777777" w:rsidR="0084406A" w:rsidRDefault="002B18AF">
            <w:pPr>
              <w:jc w:val="center"/>
              <w:textAlignment w:val="bottom"/>
            </w:pPr>
            <w:r>
              <w:rPr>
                <w:rFonts w:ascii="Arial" w:eastAsia="宋体" w:hAnsi="Arial" w:cs="Arial"/>
                <w:b/>
                <w:bCs/>
                <w:color w:val="000000"/>
                <w:sz w:val="16"/>
                <w:szCs w:val="16"/>
              </w:rPr>
              <w:t>December 28, 2019</w:t>
            </w:r>
          </w:p>
        </w:tc>
        <w:tc>
          <w:tcPr>
            <w:tcW w:w="0" w:type="auto"/>
            <w:shd w:val="clear" w:color="auto" w:fill="auto"/>
            <w:vAlign w:val="bottom"/>
          </w:tcPr>
          <w:p w14:paraId="5902ADBB" w14:textId="77777777" w:rsidR="0084406A" w:rsidRDefault="0084406A">
            <w:pPr>
              <w:rPr>
                <w:rFonts w:ascii="宋体"/>
                <w:vanish/>
              </w:rPr>
            </w:pPr>
          </w:p>
        </w:tc>
        <w:tc>
          <w:tcPr>
            <w:tcW w:w="0" w:type="auto"/>
            <w:shd w:val="clear" w:color="auto" w:fill="auto"/>
            <w:vAlign w:val="bottom"/>
          </w:tcPr>
          <w:p w14:paraId="5902ADBC" w14:textId="77777777" w:rsidR="0084406A" w:rsidRDefault="0084406A">
            <w:pPr>
              <w:rPr>
                <w:rFonts w:ascii="宋体"/>
                <w:vanish/>
              </w:rPr>
            </w:pPr>
          </w:p>
        </w:tc>
        <w:tc>
          <w:tcPr>
            <w:tcW w:w="0" w:type="auto"/>
            <w:shd w:val="clear" w:color="auto" w:fill="auto"/>
            <w:vAlign w:val="bottom"/>
          </w:tcPr>
          <w:p w14:paraId="5902ADBD" w14:textId="77777777" w:rsidR="0084406A" w:rsidRDefault="0084406A">
            <w:pPr>
              <w:rPr>
                <w:rFonts w:ascii="宋体"/>
                <w:vanish/>
              </w:rPr>
            </w:pPr>
          </w:p>
        </w:tc>
        <w:tc>
          <w:tcPr>
            <w:tcW w:w="0" w:type="auto"/>
            <w:shd w:val="clear" w:color="auto" w:fill="auto"/>
            <w:vAlign w:val="bottom"/>
          </w:tcPr>
          <w:p w14:paraId="5902ADBE" w14:textId="77777777" w:rsidR="0084406A" w:rsidRDefault="0084406A">
            <w:pPr>
              <w:rPr>
                <w:rFonts w:ascii="宋体"/>
                <w:vanish/>
              </w:rPr>
            </w:pPr>
          </w:p>
        </w:tc>
      </w:tr>
      <w:tr w:rsidR="0084406A" w14:paraId="5902ADCA" w14:textId="77777777">
        <w:trPr>
          <w:jc w:val="center"/>
        </w:trPr>
        <w:tc>
          <w:tcPr>
            <w:tcW w:w="0" w:type="auto"/>
            <w:gridSpan w:val="3"/>
            <w:shd w:val="clear" w:color="auto" w:fill="CCEEFF"/>
            <w:tcMar>
              <w:top w:w="40" w:type="dxa"/>
              <w:left w:w="20" w:type="dxa"/>
              <w:bottom w:w="40" w:type="dxa"/>
              <w:right w:w="20" w:type="dxa"/>
            </w:tcMar>
            <w:vAlign w:val="bottom"/>
          </w:tcPr>
          <w:p w14:paraId="5902ADC0" w14:textId="77777777" w:rsidR="0084406A" w:rsidRDefault="002B18AF">
            <w:pPr>
              <w:textAlignment w:val="bottom"/>
            </w:pPr>
            <w:r>
              <w:rPr>
                <w:rFonts w:ascii="Arial" w:eastAsia="宋体" w:hAnsi="Arial" w:cs="Arial"/>
                <w:color w:val="000000"/>
                <w:sz w:val="20"/>
                <w:szCs w:val="20"/>
              </w:rPr>
              <w:t>Expected volatility</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ADC1" w14:textId="77777777" w:rsidR="0084406A" w:rsidRDefault="002B18AF">
            <w:pPr>
              <w:jc w:val="right"/>
              <w:textAlignment w:val="bottom"/>
            </w:pPr>
            <w:r>
              <w:rPr>
                <w:rFonts w:ascii="Arial" w:eastAsia="宋体" w:hAnsi="Arial" w:cs="Arial"/>
                <w:color w:val="000000"/>
                <w:sz w:val="20"/>
                <w:szCs w:val="20"/>
              </w:rPr>
              <w:t>36.90% - 39.39%</w:t>
            </w:r>
          </w:p>
        </w:tc>
        <w:tc>
          <w:tcPr>
            <w:tcW w:w="0" w:type="auto"/>
            <w:gridSpan w:val="3"/>
            <w:shd w:val="clear" w:color="auto" w:fill="CCEEFF"/>
            <w:tcMar>
              <w:top w:w="0" w:type="dxa"/>
              <w:left w:w="20" w:type="dxa"/>
              <w:bottom w:w="0" w:type="dxa"/>
              <w:right w:w="20" w:type="dxa"/>
            </w:tcMar>
            <w:vAlign w:val="bottom"/>
          </w:tcPr>
          <w:p w14:paraId="5902ADC2"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ADC3" w14:textId="77777777" w:rsidR="0084406A" w:rsidRDefault="002B18AF">
            <w:pPr>
              <w:jc w:val="right"/>
              <w:textAlignment w:val="bottom"/>
            </w:pPr>
            <w:r>
              <w:rPr>
                <w:rFonts w:ascii="Arial" w:eastAsia="宋体" w:hAnsi="Arial" w:cs="Arial"/>
                <w:color w:val="000000"/>
                <w:sz w:val="20"/>
                <w:szCs w:val="20"/>
              </w:rPr>
              <w:t>55.16% - 66.53%</w:t>
            </w:r>
          </w:p>
        </w:tc>
        <w:tc>
          <w:tcPr>
            <w:tcW w:w="0" w:type="auto"/>
            <w:gridSpan w:val="3"/>
            <w:shd w:val="clear" w:color="auto" w:fill="CCEEFF"/>
            <w:tcMar>
              <w:top w:w="0" w:type="dxa"/>
              <w:left w:w="20" w:type="dxa"/>
              <w:bottom w:w="0" w:type="dxa"/>
              <w:right w:w="20" w:type="dxa"/>
            </w:tcMar>
            <w:vAlign w:val="bottom"/>
          </w:tcPr>
          <w:p w14:paraId="5902ADC4"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ADC5" w14:textId="77777777" w:rsidR="0084406A" w:rsidRDefault="002B18AF">
            <w:pPr>
              <w:jc w:val="right"/>
              <w:textAlignment w:val="bottom"/>
            </w:pPr>
            <w:r>
              <w:rPr>
                <w:rFonts w:ascii="Arial" w:eastAsia="宋体" w:hAnsi="Arial" w:cs="Arial"/>
                <w:color w:val="000000"/>
                <w:sz w:val="20"/>
                <w:szCs w:val="20"/>
              </w:rPr>
              <w:t>48.95% - 67.02%</w:t>
            </w:r>
          </w:p>
        </w:tc>
        <w:tc>
          <w:tcPr>
            <w:tcW w:w="0" w:type="auto"/>
            <w:shd w:val="clear" w:color="auto" w:fill="auto"/>
            <w:vAlign w:val="bottom"/>
          </w:tcPr>
          <w:p w14:paraId="5902ADC6" w14:textId="77777777" w:rsidR="0084406A" w:rsidRDefault="0084406A">
            <w:pPr>
              <w:rPr>
                <w:rFonts w:ascii="宋体"/>
                <w:vanish/>
              </w:rPr>
            </w:pPr>
          </w:p>
        </w:tc>
        <w:tc>
          <w:tcPr>
            <w:tcW w:w="0" w:type="auto"/>
            <w:shd w:val="clear" w:color="auto" w:fill="auto"/>
            <w:vAlign w:val="bottom"/>
          </w:tcPr>
          <w:p w14:paraId="5902ADC7" w14:textId="77777777" w:rsidR="0084406A" w:rsidRDefault="0084406A">
            <w:pPr>
              <w:rPr>
                <w:rFonts w:ascii="宋体"/>
                <w:vanish/>
              </w:rPr>
            </w:pPr>
          </w:p>
        </w:tc>
        <w:tc>
          <w:tcPr>
            <w:tcW w:w="0" w:type="auto"/>
            <w:shd w:val="clear" w:color="auto" w:fill="auto"/>
            <w:vAlign w:val="bottom"/>
          </w:tcPr>
          <w:p w14:paraId="5902ADC8" w14:textId="77777777" w:rsidR="0084406A" w:rsidRDefault="0084406A">
            <w:pPr>
              <w:rPr>
                <w:rFonts w:ascii="宋体"/>
                <w:vanish/>
              </w:rPr>
            </w:pPr>
          </w:p>
        </w:tc>
        <w:tc>
          <w:tcPr>
            <w:tcW w:w="0" w:type="auto"/>
            <w:shd w:val="clear" w:color="auto" w:fill="auto"/>
            <w:vAlign w:val="bottom"/>
          </w:tcPr>
          <w:p w14:paraId="5902ADC9" w14:textId="77777777" w:rsidR="0084406A" w:rsidRDefault="0084406A">
            <w:pPr>
              <w:rPr>
                <w:rFonts w:ascii="宋体"/>
                <w:vanish/>
              </w:rPr>
            </w:pPr>
          </w:p>
        </w:tc>
      </w:tr>
      <w:tr w:rsidR="0084406A" w14:paraId="5902ADD5" w14:textId="77777777">
        <w:trPr>
          <w:jc w:val="center"/>
        </w:trPr>
        <w:tc>
          <w:tcPr>
            <w:tcW w:w="0" w:type="auto"/>
            <w:gridSpan w:val="3"/>
            <w:shd w:val="clear" w:color="auto" w:fill="FFFFFF"/>
            <w:tcMar>
              <w:top w:w="40" w:type="dxa"/>
              <w:left w:w="20" w:type="dxa"/>
              <w:bottom w:w="40" w:type="dxa"/>
              <w:right w:w="20" w:type="dxa"/>
            </w:tcMar>
            <w:vAlign w:val="bottom"/>
          </w:tcPr>
          <w:p w14:paraId="5902ADCB" w14:textId="77777777" w:rsidR="0084406A" w:rsidRDefault="002B18AF">
            <w:pPr>
              <w:textAlignment w:val="bottom"/>
            </w:pPr>
            <w:r>
              <w:rPr>
                <w:rFonts w:ascii="Arial" w:eastAsia="宋体" w:hAnsi="Arial" w:cs="Arial"/>
                <w:color w:val="000000"/>
                <w:sz w:val="20"/>
                <w:szCs w:val="20"/>
              </w:rPr>
              <w:t>Risk-free interest rate</w:t>
            </w:r>
          </w:p>
        </w:tc>
        <w:tc>
          <w:tcPr>
            <w:tcW w:w="0" w:type="auto"/>
            <w:gridSpan w:val="3"/>
            <w:shd w:val="clear" w:color="auto" w:fill="auto"/>
            <w:tcMar>
              <w:top w:w="40" w:type="dxa"/>
              <w:left w:w="20" w:type="dxa"/>
              <w:bottom w:w="40" w:type="dxa"/>
              <w:right w:w="20" w:type="dxa"/>
            </w:tcMar>
            <w:vAlign w:val="bottom"/>
          </w:tcPr>
          <w:p w14:paraId="5902ADCC" w14:textId="77777777" w:rsidR="0084406A" w:rsidRDefault="002B18AF">
            <w:pPr>
              <w:jc w:val="right"/>
              <w:textAlignment w:val="bottom"/>
            </w:pPr>
            <w:r>
              <w:rPr>
                <w:rFonts w:ascii="Arial" w:eastAsia="宋体" w:hAnsi="Arial" w:cs="Arial"/>
                <w:color w:val="000000"/>
                <w:sz w:val="20"/>
                <w:szCs w:val="20"/>
              </w:rPr>
              <w:t>0.04% - 0.07%</w:t>
            </w:r>
          </w:p>
        </w:tc>
        <w:tc>
          <w:tcPr>
            <w:tcW w:w="0" w:type="auto"/>
            <w:gridSpan w:val="3"/>
            <w:shd w:val="clear" w:color="auto" w:fill="FFFFFF"/>
            <w:tcMar>
              <w:top w:w="0" w:type="dxa"/>
              <w:left w:w="20" w:type="dxa"/>
              <w:bottom w:w="0" w:type="dxa"/>
              <w:right w:w="20" w:type="dxa"/>
            </w:tcMar>
            <w:vAlign w:val="bottom"/>
          </w:tcPr>
          <w:p w14:paraId="5902ADCD"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CE" w14:textId="77777777" w:rsidR="0084406A" w:rsidRDefault="002B18AF">
            <w:pPr>
              <w:jc w:val="right"/>
              <w:textAlignment w:val="bottom"/>
            </w:pPr>
            <w:r>
              <w:rPr>
                <w:rFonts w:ascii="Arial" w:eastAsia="宋体" w:hAnsi="Arial" w:cs="Arial"/>
                <w:color w:val="000000"/>
                <w:sz w:val="20"/>
                <w:szCs w:val="20"/>
              </w:rPr>
              <w:t>0.11% - 0.15%</w:t>
            </w:r>
          </w:p>
        </w:tc>
        <w:tc>
          <w:tcPr>
            <w:tcW w:w="0" w:type="auto"/>
            <w:gridSpan w:val="3"/>
            <w:shd w:val="clear" w:color="auto" w:fill="FFFFFF"/>
            <w:tcMar>
              <w:top w:w="0" w:type="dxa"/>
              <w:left w:w="20" w:type="dxa"/>
              <w:bottom w:w="0" w:type="dxa"/>
              <w:right w:w="20" w:type="dxa"/>
            </w:tcMar>
            <w:vAlign w:val="bottom"/>
          </w:tcPr>
          <w:p w14:paraId="5902ADCF"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D0" w14:textId="77777777" w:rsidR="0084406A" w:rsidRDefault="002B18AF">
            <w:pPr>
              <w:jc w:val="right"/>
              <w:textAlignment w:val="bottom"/>
            </w:pPr>
            <w:r>
              <w:rPr>
                <w:rFonts w:ascii="Arial" w:eastAsia="宋体" w:hAnsi="Arial" w:cs="Arial"/>
                <w:color w:val="000000"/>
                <w:sz w:val="20"/>
                <w:szCs w:val="20"/>
              </w:rPr>
              <w:t>1.58% - 2.46%</w:t>
            </w:r>
          </w:p>
        </w:tc>
        <w:tc>
          <w:tcPr>
            <w:tcW w:w="0" w:type="auto"/>
            <w:shd w:val="clear" w:color="auto" w:fill="auto"/>
            <w:vAlign w:val="bottom"/>
          </w:tcPr>
          <w:p w14:paraId="5902ADD1" w14:textId="77777777" w:rsidR="0084406A" w:rsidRDefault="0084406A">
            <w:pPr>
              <w:rPr>
                <w:rFonts w:ascii="宋体"/>
                <w:vanish/>
              </w:rPr>
            </w:pPr>
          </w:p>
        </w:tc>
        <w:tc>
          <w:tcPr>
            <w:tcW w:w="0" w:type="auto"/>
            <w:shd w:val="clear" w:color="auto" w:fill="auto"/>
            <w:vAlign w:val="bottom"/>
          </w:tcPr>
          <w:p w14:paraId="5902ADD2" w14:textId="77777777" w:rsidR="0084406A" w:rsidRDefault="0084406A">
            <w:pPr>
              <w:rPr>
                <w:rFonts w:ascii="宋体"/>
                <w:vanish/>
              </w:rPr>
            </w:pPr>
          </w:p>
        </w:tc>
        <w:tc>
          <w:tcPr>
            <w:tcW w:w="0" w:type="auto"/>
            <w:shd w:val="clear" w:color="auto" w:fill="auto"/>
            <w:vAlign w:val="bottom"/>
          </w:tcPr>
          <w:p w14:paraId="5902ADD3" w14:textId="77777777" w:rsidR="0084406A" w:rsidRDefault="0084406A">
            <w:pPr>
              <w:rPr>
                <w:rFonts w:ascii="宋体"/>
                <w:vanish/>
              </w:rPr>
            </w:pPr>
          </w:p>
        </w:tc>
        <w:tc>
          <w:tcPr>
            <w:tcW w:w="0" w:type="auto"/>
            <w:shd w:val="clear" w:color="auto" w:fill="auto"/>
            <w:vAlign w:val="bottom"/>
          </w:tcPr>
          <w:p w14:paraId="5902ADD4" w14:textId="77777777" w:rsidR="0084406A" w:rsidRDefault="0084406A">
            <w:pPr>
              <w:rPr>
                <w:rFonts w:ascii="宋体"/>
                <w:vanish/>
              </w:rPr>
            </w:pPr>
          </w:p>
        </w:tc>
      </w:tr>
      <w:tr w:rsidR="0084406A" w14:paraId="5902ADE3" w14:textId="77777777">
        <w:trPr>
          <w:jc w:val="center"/>
        </w:trPr>
        <w:tc>
          <w:tcPr>
            <w:tcW w:w="0" w:type="auto"/>
            <w:gridSpan w:val="3"/>
            <w:shd w:val="clear" w:color="auto" w:fill="CCEEFF"/>
            <w:tcMar>
              <w:top w:w="40" w:type="dxa"/>
              <w:left w:w="20" w:type="dxa"/>
              <w:bottom w:w="40" w:type="dxa"/>
              <w:right w:w="20" w:type="dxa"/>
            </w:tcMar>
            <w:vAlign w:val="bottom"/>
          </w:tcPr>
          <w:p w14:paraId="5902ADD6" w14:textId="77777777" w:rsidR="0084406A" w:rsidRDefault="002B18AF">
            <w:pPr>
              <w:textAlignment w:val="bottom"/>
            </w:pPr>
            <w:r>
              <w:rPr>
                <w:rFonts w:ascii="Arial" w:eastAsia="宋体" w:hAnsi="Arial" w:cs="Arial"/>
                <w:color w:val="000000"/>
                <w:sz w:val="20"/>
                <w:szCs w:val="20"/>
              </w:rPr>
              <w:t>Expected dividends</w:t>
            </w:r>
          </w:p>
        </w:tc>
        <w:tc>
          <w:tcPr>
            <w:tcW w:w="0" w:type="auto"/>
            <w:gridSpan w:val="2"/>
            <w:shd w:val="clear" w:color="auto" w:fill="CCEEFF"/>
            <w:tcMar>
              <w:top w:w="40" w:type="dxa"/>
              <w:left w:w="20" w:type="dxa"/>
              <w:bottom w:w="40" w:type="dxa"/>
              <w:right w:w="0" w:type="dxa"/>
            </w:tcMar>
            <w:vAlign w:val="bottom"/>
          </w:tcPr>
          <w:p w14:paraId="5902ADD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D8"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DD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DD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DB"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ADD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DD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DDE" w14:textId="77777777" w:rsidR="0084406A" w:rsidRDefault="002B18AF">
            <w:pPr>
              <w:jc w:val="right"/>
              <w:textAlignment w:val="bottom"/>
            </w:pPr>
            <w:r>
              <w:rPr>
                <w:rFonts w:ascii="Arial" w:eastAsia="宋体" w:hAnsi="Arial" w:cs="Arial"/>
                <w:color w:val="000000"/>
                <w:sz w:val="20"/>
                <w:szCs w:val="20"/>
              </w:rPr>
              <w:t>%</w:t>
            </w:r>
          </w:p>
        </w:tc>
        <w:tc>
          <w:tcPr>
            <w:tcW w:w="0" w:type="auto"/>
            <w:shd w:val="clear" w:color="auto" w:fill="auto"/>
            <w:vAlign w:val="bottom"/>
          </w:tcPr>
          <w:p w14:paraId="5902ADDF" w14:textId="77777777" w:rsidR="0084406A" w:rsidRDefault="0084406A">
            <w:pPr>
              <w:rPr>
                <w:rFonts w:ascii="宋体"/>
                <w:vanish/>
              </w:rPr>
            </w:pPr>
          </w:p>
        </w:tc>
        <w:tc>
          <w:tcPr>
            <w:tcW w:w="0" w:type="auto"/>
            <w:shd w:val="clear" w:color="auto" w:fill="auto"/>
            <w:vAlign w:val="bottom"/>
          </w:tcPr>
          <w:p w14:paraId="5902ADE0" w14:textId="77777777" w:rsidR="0084406A" w:rsidRDefault="0084406A">
            <w:pPr>
              <w:rPr>
                <w:rFonts w:ascii="宋体"/>
                <w:vanish/>
              </w:rPr>
            </w:pPr>
          </w:p>
        </w:tc>
        <w:tc>
          <w:tcPr>
            <w:tcW w:w="0" w:type="auto"/>
            <w:shd w:val="clear" w:color="auto" w:fill="auto"/>
            <w:vAlign w:val="bottom"/>
          </w:tcPr>
          <w:p w14:paraId="5902ADE1" w14:textId="77777777" w:rsidR="0084406A" w:rsidRDefault="0084406A">
            <w:pPr>
              <w:rPr>
                <w:rFonts w:ascii="宋体"/>
                <w:vanish/>
              </w:rPr>
            </w:pPr>
          </w:p>
        </w:tc>
        <w:tc>
          <w:tcPr>
            <w:tcW w:w="0" w:type="auto"/>
            <w:shd w:val="clear" w:color="auto" w:fill="auto"/>
            <w:vAlign w:val="bottom"/>
          </w:tcPr>
          <w:p w14:paraId="5902ADE2" w14:textId="77777777" w:rsidR="0084406A" w:rsidRDefault="0084406A">
            <w:pPr>
              <w:rPr>
                <w:rFonts w:ascii="宋体"/>
                <w:vanish/>
              </w:rPr>
            </w:pPr>
          </w:p>
        </w:tc>
      </w:tr>
      <w:tr w:rsidR="0084406A" w14:paraId="5902ADEE" w14:textId="77777777">
        <w:trPr>
          <w:jc w:val="center"/>
        </w:trPr>
        <w:tc>
          <w:tcPr>
            <w:tcW w:w="0" w:type="auto"/>
            <w:gridSpan w:val="3"/>
            <w:shd w:val="clear" w:color="auto" w:fill="FFFFFF"/>
            <w:tcMar>
              <w:top w:w="40" w:type="dxa"/>
              <w:left w:w="20" w:type="dxa"/>
              <w:bottom w:w="40" w:type="dxa"/>
              <w:right w:w="20" w:type="dxa"/>
            </w:tcMar>
            <w:vAlign w:val="bottom"/>
          </w:tcPr>
          <w:p w14:paraId="5902ADE4" w14:textId="77777777" w:rsidR="0084406A" w:rsidRDefault="002B18AF">
            <w:pPr>
              <w:textAlignment w:val="bottom"/>
            </w:pPr>
            <w:r>
              <w:rPr>
                <w:rFonts w:ascii="Arial" w:eastAsia="宋体" w:hAnsi="Arial" w:cs="Arial"/>
                <w:color w:val="000000"/>
                <w:sz w:val="20"/>
                <w:szCs w:val="20"/>
              </w:rPr>
              <w:t>Expected te</w:t>
            </w:r>
            <w:r>
              <w:rPr>
                <w:rFonts w:ascii="Arial" w:eastAsia="宋体" w:hAnsi="Arial" w:cs="Arial"/>
                <w:color w:val="000000"/>
                <w:sz w:val="20"/>
                <w:szCs w:val="20"/>
              </w:rPr>
              <w:t>rm (in years)</w:t>
            </w:r>
          </w:p>
        </w:tc>
        <w:tc>
          <w:tcPr>
            <w:tcW w:w="0" w:type="auto"/>
            <w:gridSpan w:val="3"/>
            <w:shd w:val="clear" w:color="auto" w:fill="auto"/>
            <w:tcMar>
              <w:top w:w="40" w:type="dxa"/>
              <w:left w:w="20" w:type="dxa"/>
              <w:bottom w:w="40" w:type="dxa"/>
              <w:right w:w="20" w:type="dxa"/>
            </w:tcMar>
            <w:vAlign w:val="bottom"/>
          </w:tcPr>
          <w:p w14:paraId="5902ADE5" w14:textId="77777777" w:rsidR="0084406A" w:rsidRDefault="002B18AF">
            <w:pPr>
              <w:jc w:val="right"/>
              <w:textAlignment w:val="bottom"/>
            </w:pPr>
            <w:r>
              <w:rPr>
                <w:rFonts w:ascii="Arial" w:eastAsia="宋体" w:hAnsi="Arial" w:cs="Arial"/>
                <w:color w:val="000000"/>
                <w:sz w:val="20"/>
                <w:szCs w:val="20"/>
              </w:rPr>
              <w:t>0.50</w:t>
            </w:r>
          </w:p>
        </w:tc>
        <w:tc>
          <w:tcPr>
            <w:tcW w:w="0" w:type="auto"/>
            <w:gridSpan w:val="3"/>
            <w:shd w:val="clear" w:color="auto" w:fill="FFFFFF"/>
            <w:tcMar>
              <w:top w:w="0" w:type="dxa"/>
              <w:left w:w="20" w:type="dxa"/>
              <w:bottom w:w="0" w:type="dxa"/>
              <w:right w:w="20" w:type="dxa"/>
            </w:tcMar>
            <w:vAlign w:val="bottom"/>
          </w:tcPr>
          <w:p w14:paraId="5902ADE6"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E7" w14:textId="77777777" w:rsidR="0084406A" w:rsidRDefault="002B18AF">
            <w:pPr>
              <w:jc w:val="right"/>
              <w:textAlignment w:val="bottom"/>
            </w:pPr>
            <w:r>
              <w:rPr>
                <w:rFonts w:ascii="Arial" w:eastAsia="宋体" w:hAnsi="Arial" w:cs="Arial"/>
                <w:color w:val="000000"/>
                <w:sz w:val="20"/>
                <w:szCs w:val="20"/>
              </w:rPr>
              <w:t>0.50</w:t>
            </w:r>
          </w:p>
        </w:tc>
        <w:tc>
          <w:tcPr>
            <w:tcW w:w="0" w:type="auto"/>
            <w:gridSpan w:val="3"/>
            <w:shd w:val="clear" w:color="auto" w:fill="FFFFFF"/>
            <w:tcMar>
              <w:top w:w="0" w:type="dxa"/>
              <w:left w:w="20" w:type="dxa"/>
              <w:bottom w:w="0" w:type="dxa"/>
              <w:right w:w="20" w:type="dxa"/>
            </w:tcMar>
            <w:vAlign w:val="bottom"/>
          </w:tcPr>
          <w:p w14:paraId="5902ADE8"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ADE9" w14:textId="77777777" w:rsidR="0084406A" w:rsidRDefault="002B18AF">
            <w:pPr>
              <w:jc w:val="right"/>
              <w:textAlignment w:val="bottom"/>
            </w:pPr>
            <w:r>
              <w:rPr>
                <w:rFonts w:ascii="Arial" w:eastAsia="宋体" w:hAnsi="Arial" w:cs="Arial"/>
                <w:color w:val="000000"/>
                <w:sz w:val="20"/>
                <w:szCs w:val="20"/>
              </w:rPr>
              <w:t>0.50</w:t>
            </w:r>
          </w:p>
        </w:tc>
        <w:tc>
          <w:tcPr>
            <w:tcW w:w="0" w:type="auto"/>
            <w:shd w:val="clear" w:color="auto" w:fill="auto"/>
            <w:vAlign w:val="bottom"/>
          </w:tcPr>
          <w:p w14:paraId="5902ADEA" w14:textId="77777777" w:rsidR="0084406A" w:rsidRDefault="0084406A">
            <w:pPr>
              <w:rPr>
                <w:rFonts w:ascii="宋体"/>
                <w:vanish/>
              </w:rPr>
            </w:pPr>
          </w:p>
        </w:tc>
        <w:tc>
          <w:tcPr>
            <w:tcW w:w="0" w:type="auto"/>
            <w:shd w:val="clear" w:color="auto" w:fill="auto"/>
            <w:vAlign w:val="bottom"/>
          </w:tcPr>
          <w:p w14:paraId="5902ADEB" w14:textId="77777777" w:rsidR="0084406A" w:rsidRDefault="0084406A">
            <w:pPr>
              <w:rPr>
                <w:rFonts w:ascii="宋体"/>
                <w:vanish/>
              </w:rPr>
            </w:pPr>
          </w:p>
        </w:tc>
        <w:tc>
          <w:tcPr>
            <w:tcW w:w="0" w:type="auto"/>
            <w:shd w:val="clear" w:color="auto" w:fill="auto"/>
            <w:vAlign w:val="bottom"/>
          </w:tcPr>
          <w:p w14:paraId="5902ADEC" w14:textId="77777777" w:rsidR="0084406A" w:rsidRDefault="0084406A">
            <w:pPr>
              <w:rPr>
                <w:rFonts w:ascii="宋体"/>
                <w:vanish/>
              </w:rPr>
            </w:pPr>
          </w:p>
        </w:tc>
        <w:tc>
          <w:tcPr>
            <w:tcW w:w="0" w:type="auto"/>
            <w:shd w:val="clear" w:color="auto" w:fill="auto"/>
            <w:vAlign w:val="bottom"/>
          </w:tcPr>
          <w:p w14:paraId="5902ADED" w14:textId="77777777" w:rsidR="0084406A" w:rsidRDefault="0084406A">
            <w:pPr>
              <w:rPr>
                <w:rFonts w:ascii="宋体"/>
                <w:vanish/>
              </w:rPr>
            </w:pPr>
          </w:p>
        </w:tc>
      </w:tr>
    </w:tbl>
    <w:p w14:paraId="5902ADEF" w14:textId="77777777" w:rsidR="0084406A" w:rsidRDefault="002B18AF">
      <w:pPr>
        <w:spacing w:before="180"/>
        <w:jc w:val="both"/>
      </w:pPr>
      <w:r>
        <w:rPr>
          <w:rFonts w:ascii="Arial" w:eastAsia="宋体" w:hAnsi="Arial" w:cs="Arial"/>
          <w:color w:val="000000"/>
          <w:sz w:val="20"/>
          <w:szCs w:val="20"/>
        </w:rPr>
        <w:t xml:space="preserve">The Company uses the historical volatility of its common stock and the risk-free interest rate based on the rate for a U.S. Treasury zero-coupon yield curve with a term that approximates the expected life of the ESPP </w:t>
      </w:r>
      <w:r>
        <w:rPr>
          <w:rFonts w:ascii="Arial" w:eastAsia="宋体" w:hAnsi="Arial" w:cs="Arial"/>
          <w:color w:val="000000"/>
          <w:sz w:val="20"/>
          <w:szCs w:val="20"/>
        </w:rPr>
        <w:t>grant at the date closest to the ESPP grant date. The expected dividend yield is zero as the Company does not expect to pay dividends in the near future. The expected term of the ESPP represents the six-month offering period.</w:t>
      </w:r>
    </w:p>
    <w:p w14:paraId="5902ADF0" w14:textId="77777777" w:rsidR="0084406A" w:rsidRDefault="002B18AF">
      <w:pPr>
        <w:spacing w:before="180"/>
        <w:jc w:val="both"/>
      </w:pPr>
      <w:r>
        <w:rPr>
          <w:rFonts w:ascii="Arial" w:eastAsia="宋体" w:hAnsi="Arial" w:cs="Arial"/>
          <w:color w:val="000000"/>
          <w:sz w:val="20"/>
          <w:szCs w:val="20"/>
        </w:rPr>
        <w:t xml:space="preserve">During 2021, 1 million shares </w:t>
      </w:r>
      <w:r>
        <w:rPr>
          <w:rFonts w:ascii="Arial" w:eastAsia="宋体" w:hAnsi="Arial" w:cs="Arial"/>
          <w:color w:val="000000"/>
          <w:sz w:val="20"/>
          <w:szCs w:val="20"/>
        </w:rPr>
        <w:t>of common stock were purchased under the ESPP at a purchase price of $65.43 resulting in aggregate cash proceeds of $92 million. As of December 25, 2021, the Company had $19 million of total unrecognized compensation expense related to the ESPP, which will</w:t>
      </w:r>
      <w:r>
        <w:rPr>
          <w:rFonts w:ascii="Arial" w:eastAsia="宋体" w:hAnsi="Arial" w:cs="Arial"/>
          <w:color w:val="000000"/>
          <w:sz w:val="20"/>
          <w:szCs w:val="20"/>
        </w:rPr>
        <w:t xml:space="preserve"> be recognized over the weighted-average period of 0.38 years.</w:t>
      </w:r>
    </w:p>
    <w:p w14:paraId="5902ADF1" w14:textId="77777777" w:rsidR="0084406A" w:rsidRDefault="002B18AF">
      <w:pPr>
        <w:spacing w:before="280"/>
        <w:jc w:val="both"/>
      </w:pPr>
      <w:r>
        <w:rPr>
          <w:rFonts w:ascii="Arial" w:eastAsia="宋体" w:hAnsi="Arial" w:cs="Arial"/>
          <w:b/>
          <w:bCs/>
          <w:color w:val="000000"/>
          <w:sz w:val="20"/>
          <w:szCs w:val="20"/>
        </w:rPr>
        <w:t>NOTE 12 – Retirement Benefit Plans</w:t>
      </w:r>
    </w:p>
    <w:p w14:paraId="5902ADF2" w14:textId="77777777" w:rsidR="0084406A" w:rsidRDefault="002B18AF">
      <w:pPr>
        <w:spacing w:before="180"/>
        <w:jc w:val="both"/>
      </w:pPr>
      <w:r>
        <w:rPr>
          <w:rFonts w:ascii="Arial" w:eastAsia="宋体" w:hAnsi="Arial" w:cs="Arial"/>
          <w:color w:val="000000"/>
          <w:sz w:val="20"/>
          <w:szCs w:val="20"/>
        </w:rPr>
        <w:t>The Company provides retirement benefit plans in the United States and certain foreign countries. The Company has a 401(k) retirement plan that allows partici</w:t>
      </w:r>
      <w:r>
        <w:rPr>
          <w:rFonts w:ascii="Arial" w:eastAsia="宋体" w:hAnsi="Arial" w:cs="Arial"/>
          <w:color w:val="000000"/>
          <w:sz w:val="20"/>
          <w:szCs w:val="20"/>
        </w:rPr>
        <w:t xml:space="preserve">pating employees in the United States to contribute as defined by the plan and subject to Internal Revenue Service limitations. The Company matches 75% of employees’ contributions up to 6% of their eligible compensation. The Company’s contributions to the </w:t>
      </w:r>
      <w:r>
        <w:rPr>
          <w:rFonts w:ascii="Arial" w:eastAsia="宋体" w:hAnsi="Arial" w:cs="Arial"/>
          <w:color w:val="000000"/>
          <w:sz w:val="20"/>
          <w:szCs w:val="20"/>
        </w:rPr>
        <w:t xml:space="preserve">401(k) plan for 2021, 2020 and 2019 were approximately </w:t>
      </w:r>
      <w:r>
        <w:rPr>
          <w:rFonts w:ascii="Arial" w:eastAsia="宋体" w:hAnsi="Arial" w:cs="Arial"/>
          <w:color w:val="000000"/>
          <w:sz w:val="20"/>
          <w:szCs w:val="20"/>
          <w:shd w:val="clear" w:color="auto" w:fill="FFFFFF"/>
        </w:rPr>
        <w:t>$35 million</w:t>
      </w:r>
      <w:r>
        <w:rPr>
          <w:rFonts w:ascii="Arial" w:eastAsia="宋体" w:hAnsi="Arial" w:cs="Arial"/>
          <w:color w:val="000000"/>
          <w:sz w:val="20"/>
          <w:szCs w:val="20"/>
        </w:rPr>
        <w:t>, $29 million and $25 million, respectively.</w:t>
      </w:r>
    </w:p>
    <w:p w14:paraId="5902ADF3" w14:textId="77777777" w:rsidR="0084406A" w:rsidRDefault="002B18AF">
      <w:pPr>
        <w:jc w:val="center"/>
      </w:pPr>
      <w:r>
        <w:rPr>
          <w:rFonts w:ascii="Arial" w:eastAsia="宋体" w:hAnsi="Arial" w:cs="Arial"/>
          <w:color w:val="000000"/>
          <w:sz w:val="20"/>
          <w:szCs w:val="20"/>
        </w:rPr>
        <w:t>69</w:t>
      </w:r>
    </w:p>
    <w:p w14:paraId="5902ADF4" w14:textId="77777777" w:rsidR="0084406A" w:rsidRDefault="002B18AF">
      <w:r>
        <w:pict w14:anchorId="5902BB3B">
          <v:rect id="_x0000_i1096" style="width:415.3pt;height:1.5pt" o:hralign="center" o:hrstd="t" o:hr="t" fillcolor="#a0a0a0" stroked="f"/>
        </w:pict>
      </w:r>
    </w:p>
    <w:p w14:paraId="5902ADF5" w14:textId="77777777" w:rsidR="0084406A" w:rsidRDefault="0084406A"/>
    <w:p w14:paraId="5902ADF6" w14:textId="77777777" w:rsidR="0084406A" w:rsidRDefault="002B18AF">
      <w:pPr>
        <w:spacing w:before="280"/>
      </w:pPr>
      <w:r>
        <w:rPr>
          <w:rFonts w:ascii="Arial" w:eastAsia="宋体" w:hAnsi="Arial" w:cs="Arial"/>
          <w:b/>
          <w:bCs/>
          <w:color w:val="000000"/>
          <w:sz w:val="20"/>
          <w:szCs w:val="20"/>
        </w:rPr>
        <w:t>NOTE 13 – Income Taxes</w:t>
      </w:r>
    </w:p>
    <w:p w14:paraId="5902ADF7" w14:textId="77777777" w:rsidR="0084406A" w:rsidRDefault="002B18AF">
      <w:pPr>
        <w:spacing w:before="180"/>
      </w:pPr>
      <w:r>
        <w:rPr>
          <w:rFonts w:ascii="Arial" w:eastAsia="宋体" w:hAnsi="Arial" w:cs="Arial"/>
          <w:color w:val="000000"/>
          <w:sz w:val="20"/>
          <w:szCs w:val="20"/>
        </w:rPr>
        <w:t>Income before income taxes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480"/>
        <w:gridCol w:w="36"/>
        <w:gridCol w:w="133"/>
        <w:gridCol w:w="1049"/>
        <w:gridCol w:w="36"/>
        <w:gridCol w:w="36"/>
        <w:gridCol w:w="36"/>
        <w:gridCol w:w="36"/>
        <w:gridCol w:w="133"/>
        <w:gridCol w:w="1005"/>
        <w:gridCol w:w="36"/>
        <w:gridCol w:w="36"/>
        <w:gridCol w:w="36"/>
        <w:gridCol w:w="36"/>
        <w:gridCol w:w="133"/>
        <w:gridCol w:w="1005"/>
        <w:gridCol w:w="36"/>
      </w:tblGrid>
      <w:tr w:rsidR="0084406A" w14:paraId="5902AE0A" w14:textId="77777777">
        <w:tc>
          <w:tcPr>
            <w:tcW w:w="50" w:type="pct"/>
            <w:shd w:val="clear" w:color="auto" w:fill="auto"/>
            <w:vAlign w:val="bottom"/>
          </w:tcPr>
          <w:p w14:paraId="5902ADF8" w14:textId="77777777" w:rsidR="0084406A" w:rsidRDefault="0084406A">
            <w:pPr>
              <w:rPr>
                <w:rFonts w:ascii="宋体"/>
              </w:rPr>
            </w:pPr>
          </w:p>
        </w:tc>
        <w:tc>
          <w:tcPr>
            <w:tcW w:w="2722" w:type="pct"/>
            <w:shd w:val="clear" w:color="auto" w:fill="auto"/>
            <w:vAlign w:val="bottom"/>
          </w:tcPr>
          <w:p w14:paraId="5902ADF9" w14:textId="77777777" w:rsidR="0084406A" w:rsidRDefault="0084406A">
            <w:pPr>
              <w:rPr>
                <w:rFonts w:ascii="宋体"/>
              </w:rPr>
            </w:pPr>
          </w:p>
        </w:tc>
        <w:tc>
          <w:tcPr>
            <w:tcW w:w="5" w:type="pct"/>
            <w:shd w:val="clear" w:color="auto" w:fill="auto"/>
            <w:vAlign w:val="bottom"/>
          </w:tcPr>
          <w:p w14:paraId="5902ADFA" w14:textId="77777777" w:rsidR="0084406A" w:rsidRDefault="0084406A">
            <w:pPr>
              <w:rPr>
                <w:rFonts w:ascii="宋体"/>
              </w:rPr>
            </w:pPr>
          </w:p>
        </w:tc>
        <w:tc>
          <w:tcPr>
            <w:tcW w:w="50" w:type="pct"/>
            <w:shd w:val="clear" w:color="auto" w:fill="auto"/>
            <w:vAlign w:val="bottom"/>
          </w:tcPr>
          <w:p w14:paraId="5902ADFB" w14:textId="77777777" w:rsidR="0084406A" w:rsidRDefault="0084406A">
            <w:pPr>
              <w:rPr>
                <w:rFonts w:ascii="宋体"/>
              </w:rPr>
            </w:pPr>
          </w:p>
        </w:tc>
        <w:tc>
          <w:tcPr>
            <w:tcW w:w="661" w:type="pct"/>
            <w:shd w:val="clear" w:color="auto" w:fill="auto"/>
            <w:vAlign w:val="bottom"/>
          </w:tcPr>
          <w:p w14:paraId="5902ADFC" w14:textId="77777777" w:rsidR="0084406A" w:rsidRDefault="0084406A">
            <w:pPr>
              <w:rPr>
                <w:rFonts w:ascii="宋体"/>
              </w:rPr>
            </w:pPr>
          </w:p>
        </w:tc>
        <w:tc>
          <w:tcPr>
            <w:tcW w:w="5" w:type="pct"/>
            <w:shd w:val="clear" w:color="auto" w:fill="auto"/>
            <w:vAlign w:val="bottom"/>
          </w:tcPr>
          <w:p w14:paraId="5902ADFD" w14:textId="77777777" w:rsidR="0084406A" w:rsidRDefault="0084406A">
            <w:pPr>
              <w:rPr>
                <w:rFonts w:ascii="宋体"/>
              </w:rPr>
            </w:pPr>
          </w:p>
        </w:tc>
        <w:tc>
          <w:tcPr>
            <w:tcW w:w="5" w:type="pct"/>
            <w:shd w:val="clear" w:color="auto" w:fill="auto"/>
            <w:vAlign w:val="bottom"/>
          </w:tcPr>
          <w:p w14:paraId="5902ADFE" w14:textId="77777777" w:rsidR="0084406A" w:rsidRDefault="0084406A">
            <w:pPr>
              <w:rPr>
                <w:rFonts w:ascii="宋体"/>
              </w:rPr>
            </w:pPr>
          </w:p>
        </w:tc>
        <w:tc>
          <w:tcPr>
            <w:tcW w:w="26" w:type="pct"/>
            <w:shd w:val="clear" w:color="auto" w:fill="auto"/>
            <w:vAlign w:val="bottom"/>
          </w:tcPr>
          <w:p w14:paraId="5902ADFF" w14:textId="77777777" w:rsidR="0084406A" w:rsidRDefault="0084406A">
            <w:pPr>
              <w:rPr>
                <w:rFonts w:ascii="宋体"/>
              </w:rPr>
            </w:pPr>
          </w:p>
        </w:tc>
        <w:tc>
          <w:tcPr>
            <w:tcW w:w="5" w:type="pct"/>
            <w:shd w:val="clear" w:color="auto" w:fill="auto"/>
            <w:vAlign w:val="bottom"/>
          </w:tcPr>
          <w:p w14:paraId="5902AE00" w14:textId="77777777" w:rsidR="0084406A" w:rsidRDefault="0084406A">
            <w:pPr>
              <w:rPr>
                <w:rFonts w:ascii="宋体"/>
              </w:rPr>
            </w:pPr>
          </w:p>
        </w:tc>
        <w:tc>
          <w:tcPr>
            <w:tcW w:w="50" w:type="pct"/>
            <w:shd w:val="clear" w:color="auto" w:fill="auto"/>
            <w:vAlign w:val="bottom"/>
          </w:tcPr>
          <w:p w14:paraId="5902AE01" w14:textId="77777777" w:rsidR="0084406A" w:rsidRDefault="0084406A">
            <w:pPr>
              <w:rPr>
                <w:rFonts w:ascii="宋体"/>
              </w:rPr>
            </w:pPr>
          </w:p>
        </w:tc>
        <w:tc>
          <w:tcPr>
            <w:tcW w:w="661" w:type="pct"/>
            <w:shd w:val="clear" w:color="auto" w:fill="auto"/>
            <w:vAlign w:val="bottom"/>
          </w:tcPr>
          <w:p w14:paraId="5902AE02" w14:textId="77777777" w:rsidR="0084406A" w:rsidRDefault="0084406A">
            <w:pPr>
              <w:rPr>
                <w:rFonts w:ascii="宋体"/>
              </w:rPr>
            </w:pPr>
          </w:p>
        </w:tc>
        <w:tc>
          <w:tcPr>
            <w:tcW w:w="5" w:type="pct"/>
            <w:shd w:val="clear" w:color="auto" w:fill="auto"/>
            <w:vAlign w:val="bottom"/>
          </w:tcPr>
          <w:p w14:paraId="5902AE03" w14:textId="77777777" w:rsidR="0084406A" w:rsidRDefault="0084406A">
            <w:pPr>
              <w:rPr>
                <w:rFonts w:ascii="宋体"/>
              </w:rPr>
            </w:pPr>
          </w:p>
        </w:tc>
        <w:tc>
          <w:tcPr>
            <w:tcW w:w="5" w:type="pct"/>
            <w:shd w:val="clear" w:color="auto" w:fill="auto"/>
            <w:vAlign w:val="bottom"/>
          </w:tcPr>
          <w:p w14:paraId="5902AE04" w14:textId="77777777" w:rsidR="0084406A" w:rsidRDefault="0084406A">
            <w:pPr>
              <w:rPr>
                <w:rFonts w:ascii="宋体"/>
              </w:rPr>
            </w:pPr>
          </w:p>
        </w:tc>
        <w:tc>
          <w:tcPr>
            <w:tcW w:w="26" w:type="pct"/>
            <w:shd w:val="clear" w:color="auto" w:fill="auto"/>
            <w:vAlign w:val="bottom"/>
          </w:tcPr>
          <w:p w14:paraId="5902AE05" w14:textId="77777777" w:rsidR="0084406A" w:rsidRDefault="0084406A">
            <w:pPr>
              <w:rPr>
                <w:rFonts w:ascii="宋体"/>
              </w:rPr>
            </w:pPr>
          </w:p>
        </w:tc>
        <w:tc>
          <w:tcPr>
            <w:tcW w:w="5" w:type="pct"/>
            <w:shd w:val="clear" w:color="auto" w:fill="auto"/>
            <w:vAlign w:val="bottom"/>
          </w:tcPr>
          <w:p w14:paraId="5902AE06" w14:textId="77777777" w:rsidR="0084406A" w:rsidRDefault="0084406A">
            <w:pPr>
              <w:rPr>
                <w:rFonts w:ascii="宋体"/>
              </w:rPr>
            </w:pPr>
          </w:p>
        </w:tc>
        <w:tc>
          <w:tcPr>
            <w:tcW w:w="50" w:type="pct"/>
            <w:shd w:val="clear" w:color="auto" w:fill="auto"/>
            <w:vAlign w:val="bottom"/>
          </w:tcPr>
          <w:p w14:paraId="5902AE07" w14:textId="77777777" w:rsidR="0084406A" w:rsidRDefault="0084406A">
            <w:pPr>
              <w:rPr>
                <w:rFonts w:ascii="宋体"/>
              </w:rPr>
            </w:pPr>
          </w:p>
        </w:tc>
        <w:tc>
          <w:tcPr>
            <w:tcW w:w="661" w:type="pct"/>
            <w:shd w:val="clear" w:color="auto" w:fill="auto"/>
            <w:vAlign w:val="bottom"/>
          </w:tcPr>
          <w:p w14:paraId="5902AE08" w14:textId="77777777" w:rsidR="0084406A" w:rsidRDefault="0084406A">
            <w:pPr>
              <w:rPr>
                <w:rFonts w:ascii="宋体"/>
              </w:rPr>
            </w:pPr>
          </w:p>
        </w:tc>
        <w:tc>
          <w:tcPr>
            <w:tcW w:w="5" w:type="pct"/>
            <w:shd w:val="clear" w:color="auto" w:fill="auto"/>
            <w:vAlign w:val="bottom"/>
          </w:tcPr>
          <w:p w14:paraId="5902AE09" w14:textId="77777777" w:rsidR="0084406A" w:rsidRDefault="0084406A">
            <w:pPr>
              <w:rPr>
                <w:rFonts w:ascii="宋体"/>
              </w:rPr>
            </w:pPr>
          </w:p>
        </w:tc>
      </w:tr>
      <w:tr w:rsidR="0084406A" w14:paraId="5902AE11" w14:textId="77777777">
        <w:tc>
          <w:tcPr>
            <w:tcW w:w="0" w:type="auto"/>
            <w:gridSpan w:val="3"/>
            <w:shd w:val="clear" w:color="auto" w:fill="auto"/>
            <w:tcMar>
              <w:top w:w="0" w:type="dxa"/>
              <w:left w:w="20" w:type="dxa"/>
              <w:bottom w:w="0" w:type="dxa"/>
              <w:right w:w="20" w:type="dxa"/>
            </w:tcMar>
            <w:vAlign w:val="bottom"/>
          </w:tcPr>
          <w:p w14:paraId="5902AE0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E0C"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E0D"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0E"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E0F"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10"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E14" w14:textId="77777777">
        <w:tc>
          <w:tcPr>
            <w:tcW w:w="0" w:type="auto"/>
            <w:gridSpan w:val="3"/>
            <w:shd w:val="clear" w:color="auto" w:fill="auto"/>
            <w:tcMar>
              <w:top w:w="40" w:type="dxa"/>
              <w:left w:w="20" w:type="dxa"/>
              <w:bottom w:w="40" w:type="dxa"/>
              <w:right w:w="20" w:type="dxa"/>
            </w:tcMar>
            <w:vAlign w:val="bottom"/>
          </w:tcPr>
          <w:p w14:paraId="5902AE12"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E13"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E21" w14:textId="77777777">
        <w:tc>
          <w:tcPr>
            <w:tcW w:w="0" w:type="auto"/>
            <w:gridSpan w:val="3"/>
            <w:shd w:val="clear" w:color="auto" w:fill="CCEEFF"/>
            <w:tcMar>
              <w:top w:w="40" w:type="dxa"/>
              <w:left w:w="20" w:type="dxa"/>
              <w:bottom w:w="40" w:type="dxa"/>
              <w:right w:w="20" w:type="dxa"/>
            </w:tcMar>
            <w:vAlign w:val="bottom"/>
          </w:tcPr>
          <w:p w14:paraId="5902AE15" w14:textId="77777777" w:rsidR="0084406A" w:rsidRDefault="002B18AF">
            <w:pPr>
              <w:textAlignment w:val="bottom"/>
            </w:pPr>
            <w:r>
              <w:rPr>
                <w:rFonts w:ascii="Arial" w:eastAsia="宋体" w:hAnsi="Arial" w:cs="Arial"/>
                <w:color w:val="000000"/>
                <w:sz w:val="20"/>
                <w:szCs w:val="20"/>
              </w:rPr>
              <w:t>U.S.</w:t>
            </w:r>
          </w:p>
        </w:tc>
        <w:tc>
          <w:tcPr>
            <w:tcW w:w="0" w:type="auto"/>
            <w:shd w:val="clear" w:color="auto" w:fill="CCEEFF"/>
            <w:tcMar>
              <w:top w:w="40" w:type="dxa"/>
              <w:left w:w="20" w:type="dxa"/>
              <w:bottom w:w="40" w:type="dxa"/>
              <w:right w:w="0" w:type="dxa"/>
            </w:tcMar>
            <w:vAlign w:val="bottom"/>
          </w:tcPr>
          <w:p w14:paraId="5902AE1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17" w14:textId="77777777" w:rsidR="0084406A" w:rsidRDefault="002B18AF">
            <w:pPr>
              <w:jc w:val="right"/>
              <w:textAlignment w:val="bottom"/>
            </w:pPr>
            <w:r>
              <w:rPr>
                <w:rFonts w:ascii="Arial" w:eastAsia="宋体" w:hAnsi="Arial" w:cs="Arial"/>
                <w:color w:val="000000"/>
                <w:sz w:val="20"/>
                <w:szCs w:val="20"/>
              </w:rPr>
              <w:t>3,528 </w:t>
            </w:r>
          </w:p>
        </w:tc>
        <w:tc>
          <w:tcPr>
            <w:tcW w:w="0" w:type="auto"/>
            <w:shd w:val="clear" w:color="auto" w:fill="CCEEFF"/>
            <w:tcMar>
              <w:top w:w="40" w:type="dxa"/>
              <w:left w:w="0" w:type="dxa"/>
              <w:bottom w:w="40" w:type="dxa"/>
              <w:right w:w="20" w:type="dxa"/>
            </w:tcMar>
            <w:vAlign w:val="bottom"/>
          </w:tcPr>
          <w:p w14:paraId="5902AE1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1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E1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1B" w14:textId="77777777" w:rsidR="0084406A" w:rsidRDefault="002B18AF">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5902AE1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1D"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E1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1F" w14:textId="77777777" w:rsidR="0084406A" w:rsidRDefault="002B18AF">
            <w:pPr>
              <w:jc w:val="right"/>
              <w:textAlignment w:val="bottom"/>
            </w:pPr>
            <w:r>
              <w:rPr>
                <w:rFonts w:ascii="Arial" w:eastAsia="宋体" w:hAnsi="Arial" w:cs="Arial"/>
                <w:color w:val="000000"/>
                <w:sz w:val="20"/>
                <w:szCs w:val="20"/>
              </w:rPr>
              <w:t>334 </w:t>
            </w:r>
          </w:p>
        </w:tc>
        <w:tc>
          <w:tcPr>
            <w:tcW w:w="0" w:type="auto"/>
            <w:shd w:val="clear" w:color="auto" w:fill="CCEEFF"/>
            <w:tcMar>
              <w:top w:w="40" w:type="dxa"/>
              <w:left w:w="0" w:type="dxa"/>
              <w:bottom w:w="40" w:type="dxa"/>
              <w:right w:w="20" w:type="dxa"/>
            </w:tcMar>
            <w:vAlign w:val="bottom"/>
          </w:tcPr>
          <w:p w14:paraId="5902AE20" w14:textId="77777777" w:rsidR="0084406A" w:rsidRDefault="0084406A">
            <w:pPr>
              <w:jc w:val="right"/>
              <w:rPr>
                <w:rFonts w:ascii="宋体"/>
              </w:rPr>
            </w:pPr>
          </w:p>
        </w:tc>
      </w:tr>
      <w:tr w:rsidR="0084406A" w14:paraId="5902AE2B" w14:textId="77777777">
        <w:tc>
          <w:tcPr>
            <w:tcW w:w="0" w:type="auto"/>
            <w:gridSpan w:val="3"/>
            <w:shd w:val="clear" w:color="auto" w:fill="FFFFFF"/>
            <w:tcMar>
              <w:top w:w="40" w:type="dxa"/>
              <w:left w:w="20" w:type="dxa"/>
              <w:bottom w:w="40" w:type="dxa"/>
              <w:right w:w="20" w:type="dxa"/>
            </w:tcMar>
            <w:vAlign w:val="bottom"/>
          </w:tcPr>
          <w:p w14:paraId="5902AE22" w14:textId="77777777" w:rsidR="0084406A" w:rsidRDefault="002B18AF">
            <w:pPr>
              <w:textAlignment w:val="bottom"/>
            </w:pPr>
            <w:r>
              <w:rPr>
                <w:rFonts w:ascii="Arial" w:eastAsia="宋体" w:hAnsi="Arial" w:cs="Arial"/>
                <w:color w:val="000000"/>
                <w:sz w:val="20"/>
                <w:szCs w:val="20"/>
              </w:rPr>
              <w:t>Non-U.S.</w:t>
            </w:r>
          </w:p>
        </w:tc>
        <w:tc>
          <w:tcPr>
            <w:tcW w:w="0" w:type="auto"/>
            <w:gridSpan w:val="2"/>
            <w:shd w:val="clear" w:color="auto" w:fill="FFFFFF"/>
            <w:tcMar>
              <w:top w:w="40" w:type="dxa"/>
              <w:left w:w="20" w:type="dxa"/>
              <w:bottom w:w="40" w:type="dxa"/>
              <w:right w:w="0" w:type="dxa"/>
            </w:tcMar>
            <w:vAlign w:val="bottom"/>
          </w:tcPr>
          <w:p w14:paraId="5902AE23" w14:textId="77777777" w:rsidR="0084406A" w:rsidRDefault="002B18AF">
            <w:pPr>
              <w:jc w:val="right"/>
              <w:textAlignment w:val="bottom"/>
            </w:pPr>
            <w:r>
              <w:rPr>
                <w:rFonts w:ascii="Arial" w:eastAsia="宋体" w:hAnsi="Arial" w:cs="Arial"/>
                <w:color w:val="000000"/>
                <w:sz w:val="20"/>
                <w:szCs w:val="20"/>
              </w:rPr>
              <w:t>147 </w:t>
            </w:r>
          </w:p>
        </w:tc>
        <w:tc>
          <w:tcPr>
            <w:tcW w:w="0" w:type="auto"/>
            <w:shd w:val="clear" w:color="auto" w:fill="FFFFFF"/>
            <w:tcMar>
              <w:top w:w="40" w:type="dxa"/>
              <w:left w:w="0" w:type="dxa"/>
              <w:bottom w:w="40" w:type="dxa"/>
              <w:right w:w="20" w:type="dxa"/>
            </w:tcMar>
            <w:vAlign w:val="bottom"/>
          </w:tcPr>
          <w:p w14:paraId="5902AE2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2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26" w14:textId="77777777" w:rsidR="0084406A" w:rsidRDefault="002B18AF">
            <w:pPr>
              <w:jc w:val="right"/>
              <w:textAlignment w:val="bottom"/>
            </w:pPr>
            <w:r>
              <w:rPr>
                <w:rFonts w:ascii="Arial" w:eastAsia="宋体" w:hAnsi="Arial" w:cs="Arial"/>
                <w:color w:val="000000"/>
                <w:sz w:val="20"/>
                <w:szCs w:val="20"/>
              </w:rPr>
              <w:t>67 </w:t>
            </w:r>
          </w:p>
        </w:tc>
        <w:tc>
          <w:tcPr>
            <w:tcW w:w="0" w:type="auto"/>
            <w:shd w:val="clear" w:color="auto" w:fill="FFFFFF"/>
            <w:tcMar>
              <w:top w:w="40" w:type="dxa"/>
              <w:left w:w="0" w:type="dxa"/>
              <w:bottom w:w="40" w:type="dxa"/>
              <w:right w:w="20" w:type="dxa"/>
            </w:tcMar>
            <w:vAlign w:val="bottom"/>
          </w:tcPr>
          <w:p w14:paraId="5902AE2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2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29" w14:textId="77777777" w:rsidR="0084406A" w:rsidRDefault="002B18AF">
            <w:pPr>
              <w:jc w:val="right"/>
              <w:textAlignment w:val="bottom"/>
            </w:pPr>
            <w:r>
              <w:rPr>
                <w:rFonts w:ascii="Arial" w:eastAsia="宋体" w:hAnsi="Arial" w:cs="Arial"/>
                <w:color w:val="000000"/>
                <w:sz w:val="20"/>
                <w:szCs w:val="20"/>
              </w:rPr>
              <w:t>38 </w:t>
            </w:r>
          </w:p>
        </w:tc>
        <w:tc>
          <w:tcPr>
            <w:tcW w:w="0" w:type="auto"/>
            <w:shd w:val="clear" w:color="auto" w:fill="FFFFFF"/>
            <w:tcMar>
              <w:top w:w="40" w:type="dxa"/>
              <w:left w:w="0" w:type="dxa"/>
              <w:bottom w:w="40" w:type="dxa"/>
              <w:right w:w="20" w:type="dxa"/>
            </w:tcMar>
            <w:vAlign w:val="bottom"/>
          </w:tcPr>
          <w:p w14:paraId="5902AE2A" w14:textId="77777777" w:rsidR="0084406A" w:rsidRDefault="0084406A">
            <w:pPr>
              <w:jc w:val="right"/>
              <w:rPr>
                <w:rFonts w:ascii="宋体"/>
              </w:rPr>
            </w:pPr>
          </w:p>
        </w:tc>
      </w:tr>
      <w:tr w:rsidR="0084406A" w14:paraId="5902AE38" w14:textId="77777777">
        <w:tc>
          <w:tcPr>
            <w:tcW w:w="0" w:type="auto"/>
            <w:gridSpan w:val="3"/>
            <w:shd w:val="clear" w:color="auto" w:fill="CCEEFF"/>
            <w:tcMar>
              <w:top w:w="40" w:type="dxa"/>
              <w:left w:w="20" w:type="dxa"/>
              <w:bottom w:w="40" w:type="dxa"/>
              <w:right w:w="20" w:type="dxa"/>
            </w:tcMar>
            <w:vAlign w:val="bottom"/>
          </w:tcPr>
          <w:p w14:paraId="5902AE2C" w14:textId="77777777" w:rsidR="0084406A" w:rsidRDefault="002B18AF">
            <w:pPr>
              <w:textAlignment w:val="bottom"/>
            </w:pPr>
            <w:r>
              <w:rPr>
                <w:rFonts w:ascii="Arial" w:eastAsia="宋体" w:hAnsi="Arial" w:cs="Arial"/>
                <w:color w:val="000000"/>
                <w:sz w:val="20"/>
                <w:szCs w:val="20"/>
              </w:rPr>
              <w:t>Total pre-tax income including equity income (loss) in investee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2D"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2E" w14:textId="77777777" w:rsidR="0084406A" w:rsidRDefault="002B18AF">
            <w:pPr>
              <w:jc w:val="right"/>
              <w:textAlignment w:val="bottom"/>
            </w:pPr>
            <w:r>
              <w:rPr>
                <w:rFonts w:ascii="Arial" w:eastAsia="宋体" w:hAnsi="Arial" w:cs="Arial"/>
                <w:color w:val="000000"/>
                <w:sz w:val="20"/>
                <w:szCs w:val="20"/>
              </w:rPr>
              <w:t>3,675 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2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30"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3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32" w14:textId="77777777" w:rsidR="0084406A" w:rsidRDefault="002B18AF">
            <w:pPr>
              <w:jc w:val="right"/>
              <w:textAlignment w:val="bottom"/>
            </w:pPr>
            <w:r>
              <w:rPr>
                <w:rFonts w:ascii="Arial" w:eastAsia="宋体" w:hAnsi="Arial" w:cs="Arial"/>
                <w:color w:val="000000"/>
                <w:sz w:val="20"/>
                <w:szCs w:val="20"/>
              </w:rPr>
              <w:t>1,280 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3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34"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35"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36" w14:textId="77777777" w:rsidR="0084406A" w:rsidRDefault="002B18AF">
            <w:pPr>
              <w:jc w:val="right"/>
              <w:textAlignment w:val="bottom"/>
            </w:pPr>
            <w:r>
              <w:rPr>
                <w:rFonts w:ascii="Arial" w:eastAsia="宋体" w:hAnsi="Arial" w:cs="Arial"/>
                <w:color w:val="000000"/>
                <w:sz w:val="20"/>
                <w:szCs w:val="20"/>
              </w:rPr>
              <w:t>372 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37" w14:textId="77777777" w:rsidR="0084406A" w:rsidRDefault="0084406A">
            <w:pPr>
              <w:jc w:val="right"/>
              <w:rPr>
                <w:rFonts w:ascii="宋体"/>
              </w:rPr>
            </w:pPr>
          </w:p>
        </w:tc>
      </w:tr>
    </w:tbl>
    <w:p w14:paraId="5902AE39" w14:textId="77777777" w:rsidR="0084406A" w:rsidRDefault="002B18AF">
      <w:pPr>
        <w:spacing w:before="180"/>
      </w:pPr>
      <w:r>
        <w:rPr>
          <w:rFonts w:ascii="Arial" w:eastAsia="宋体" w:hAnsi="Arial" w:cs="Arial"/>
          <w:color w:val="000000"/>
          <w:sz w:val="20"/>
          <w:szCs w:val="20"/>
        </w:rPr>
        <w:t>The income tax provision (benefit) consists of:</w:t>
      </w:r>
    </w:p>
    <w:tbl>
      <w:tblPr>
        <w:tblW w:w="5000" w:type="pct"/>
        <w:tblCellMar>
          <w:top w:w="15" w:type="dxa"/>
          <w:left w:w="15" w:type="dxa"/>
          <w:bottom w:w="15" w:type="dxa"/>
          <w:right w:w="15" w:type="dxa"/>
        </w:tblCellMar>
        <w:tblLook w:val="04A0" w:firstRow="1" w:lastRow="0" w:firstColumn="1" w:lastColumn="0" w:noHBand="0" w:noVBand="1"/>
      </w:tblPr>
      <w:tblGrid>
        <w:gridCol w:w="39"/>
        <w:gridCol w:w="4443"/>
        <w:gridCol w:w="37"/>
        <w:gridCol w:w="133"/>
        <w:gridCol w:w="1062"/>
        <w:gridCol w:w="36"/>
        <w:gridCol w:w="36"/>
        <w:gridCol w:w="36"/>
        <w:gridCol w:w="36"/>
        <w:gridCol w:w="133"/>
        <w:gridCol w:w="1016"/>
        <w:gridCol w:w="36"/>
        <w:gridCol w:w="36"/>
        <w:gridCol w:w="36"/>
        <w:gridCol w:w="36"/>
        <w:gridCol w:w="133"/>
        <w:gridCol w:w="1016"/>
        <w:gridCol w:w="36"/>
      </w:tblGrid>
      <w:tr w:rsidR="0084406A" w14:paraId="5902AE4C" w14:textId="77777777">
        <w:tc>
          <w:tcPr>
            <w:tcW w:w="50" w:type="pct"/>
            <w:shd w:val="clear" w:color="auto" w:fill="auto"/>
            <w:vAlign w:val="bottom"/>
          </w:tcPr>
          <w:p w14:paraId="5902AE3A" w14:textId="77777777" w:rsidR="0084406A" w:rsidRDefault="0084406A">
            <w:pPr>
              <w:rPr>
                <w:rFonts w:ascii="宋体"/>
              </w:rPr>
            </w:pPr>
          </w:p>
        </w:tc>
        <w:tc>
          <w:tcPr>
            <w:tcW w:w="2700" w:type="pct"/>
            <w:shd w:val="clear" w:color="auto" w:fill="auto"/>
            <w:vAlign w:val="bottom"/>
          </w:tcPr>
          <w:p w14:paraId="5902AE3B" w14:textId="77777777" w:rsidR="0084406A" w:rsidRDefault="0084406A">
            <w:pPr>
              <w:rPr>
                <w:rFonts w:ascii="宋体"/>
              </w:rPr>
            </w:pPr>
          </w:p>
        </w:tc>
        <w:tc>
          <w:tcPr>
            <w:tcW w:w="5" w:type="pct"/>
            <w:shd w:val="clear" w:color="auto" w:fill="auto"/>
            <w:vAlign w:val="bottom"/>
          </w:tcPr>
          <w:p w14:paraId="5902AE3C" w14:textId="77777777" w:rsidR="0084406A" w:rsidRDefault="0084406A">
            <w:pPr>
              <w:rPr>
                <w:rFonts w:ascii="宋体"/>
              </w:rPr>
            </w:pPr>
          </w:p>
        </w:tc>
        <w:tc>
          <w:tcPr>
            <w:tcW w:w="50" w:type="pct"/>
            <w:shd w:val="clear" w:color="auto" w:fill="auto"/>
            <w:vAlign w:val="bottom"/>
          </w:tcPr>
          <w:p w14:paraId="5902AE3D" w14:textId="77777777" w:rsidR="0084406A" w:rsidRDefault="0084406A">
            <w:pPr>
              <w:rPr>
                <w:rFonts w:ascii="宋体"/>
              </w:rPr>
            </w:pPr>
          </w:p>
        </w:tc>
        <w:tc>
          <w:tcPr>
            <w:tcW w:w="668" w:type="pct"/>
            <w:shd w:val="clear" w:color="auto" w:fill="auto"/>
            <w:vAlign w:val="bottom"/>
          </w:tcPr>
          <w:p w14:paraId="5902AE3E" w14:textId="77777777" w:rsidR="0084406A" w:rsidRDefault="0084406A">
            <w:pPr>
              <w:rPr>
                <w:rFonts w:ascii="宋体"/>
              </w:rPr>
            </w:pPr>
          </w:p>
        </w:tc>
        <w:tc>
          <w:tcPr>
            <w:tcW w:w="5" w:type="pct"/>
            <w:shd w:val="clear" w:color="auto" w:fill="auto"/>
            <w:vAlign w:val="bottom"/>
          </w:tcPr>
          <w:p w14:paraId="5902AE3F" w14:textId="77777777" w:rsidR="0084406A" w:rsidRDefault="0084406A">
            <w:pPr>
              <w:rPr>
                <w:rFonts w:ascii="宋体"/>
              </w:rPr>
            </w:pPr>
          </w:p>
        </w:tc>
        <w:tc>
          <w:tcPr>
            <w:tcW w:w="5" w:type="pct"/>
            <w:shd w:val="clear" w:color="auto" w:fill="auto"/>
            <w:vAlign w:val="bottom"/>
          </w:tcPr>
          <w:p w14:paraId="5902AE40" w14:textId="77777777" w:rsidR="0084406A" w:rsidRDefault="0084406A">
            <w:pPr>
              <w:rPr>
                <w:rFonts w:ascii="宋体"/>
              </w:rPr>
            </w:pPr>
          </w:p>
        </w:tc>
        <w:tc>
          <w:tcPr>
            <w:tcW w:w="26" w:type="pct"/>
            <w:shd w:val="clear" w:color="auto" w:fill="auto"/>
            <w:vAlign w:val="bottom"/>
          </w:tcPr>
          <w:p w14:paraId="5902AE41" w14:textId="77777777" w:rsidR="0084406A" w:rsidRDefault="0084406A">
            <w:pPr>
              <w:rPr>
                <w:rFonts w:ascii="宋体"/>
              </w:rPr>
            </w:pPr>
          </w:p>
        </w:tc>
        <w:tc>
          <w:tcPr>
            <w:tcW w:w="5" w:type="pct"/>
            <w:shd w:val="clear" w:color="auto" w:fill="auto"/>
            <w:vAlign w:val="bottom"/>
          </w:tcPr>
          <w:p w14:paraId="5902AE42" w14:textId="77777777" w:rsidR="0084406A" w:rsidRDefault="0084406A">
            <w:pPr>
              <w:rPr>
                <w:rFonts w:ascii="宋体"/>
              </w:rPr>
            </w:pPr>
          </w:p>
        </w:tc>
        <w:tc>
          <w:tcPr>
            <w:tcW w:w="50" w:type="pct"/>
            <w:shd w:val="clear" w:color="auto" w:fill="auto"/>
            <w:vAlign w:val="bottom"/>
          </w:tcPr>
          <w:p w14:paraId="5902AE43" w14:textId="77777777" w:rsidR="0084406A" w:rsidRDefault="0084406A">
            <w:pPr>
              <w:rPr>
                <w:rFonts w:ascii="宋体"/>
              </w:rPr>
            </w:pPr>
          </w:p>
        </w:tc>
        <w:tc>
          <w:tcPr>
            <w:tcW w:w="668" w:type="pct"/>
            <w:shd w:val="clear" w:color="auto" w:fill="auto"/>
            <w:vAlign w:val="bottom"/>
          </w:tcPr>
          <w:p w14:paraId="5902AE44" w14:textId="77777777" w:rsidR="0084406A" w:rsidRDefault="0084406A">
            <w:pPr>
              <w:rPr>
                <w:rFonts w:ascii="宋体"/>
              </w:rPr>
            </w:pPr>
          </w:p>
        </w:tc>
        <w:tc>
          <w:tcPr>
            <w:tcW w:w="5" w:type="pct"/>
            <w:shd w:val="clear" w:color="auto" w:fill="auto"/>
            <w:vAlign w:val="bottom"/>
          </w:tcPr>
          <w:p w14:paraId="5902AE45" w14:textId="77777777" w:rsidR="0084406A" w:rsidRDefault="0084406A">
            <w:pPr>
              <w:rPr>
                <w:rFonts w:ascii="宋体"/>
              </w:rPr>
            </w:pPr>
          </w:p>
        </w:tc>
        <w:tc>
          <w:tcPr>
            <w:tcW w:w="5" w:type="pct"/>
            <w:shd w:val="clear" w:color="auto" w:fill="auto"/>
            <w:vAlign w:val="bottom"/>
          </w:tcPr>
          <w:p w14:paraId="5902AE46" w14:textId="77777777" w:rsidR="0084406A" w:rsidRDefault="0084406A">
            <w:pPr>
              <w:rPr>
                <w:rFonts w:ascii="宋体"/>
              </w:rPr>
            </w:pPr>
          </w:p>
        </w:tc>
        <w:tc>
          <w:tcPr>
            <w:tcW w:w="26" w:type="pct"/>
            <w:shd w:val="clear" w:color="auto" w:fill="auto"/>
            <w:vAlign w:val="bottom"/>
          </w:tcPr>
          <w:p w14:paraId="5902AE47" w14:textId="77777777" w:rsidR="0084406A" w:rsidRDefault="0084406A">
            <w:pPr>
              <w:rPr>
                <w:rFonts w:ascii="宋体"/>
              </w:rPr>
            </w:pPr>
          </w:p>
        </w:tc>
        <w:tc>
          <w:tcPr>
            <w:tcW w:w="5" w:type="pct"/>
            <w:shd w:val="clear" w:color="auto" w:fill="auto"/>
            <w:vAlign w:val="bottom"/>
          </w:tcPr>
          <w:p w14:paraId="5902AE48" w14:textId="77777777" w:rsidR="0084406A" w:rsidRDefault="0084406A">
            <w:pPr>
              <w:rPr>
                <w:rFonts w:ascii="宋体"/>
              </w:rPr>
            </w:pPr>
          </w:p>
        </w:tc>
        <w:tc>
          <w:tcPr>
            <w:tcW w:w="50" w:type="pct"/>
            <w:shd w:val="clear" w:color="auto" w:fill="auto"/>
            <w:vAlign w:val="bottom"/>
          </w:tcPr>
          <w:p w14:paraId="5902AE49" w14:textId="77777777" w:rsidR="0084406A" w:rsidRDefault="0084406A">
            <w:pPr>
              <w:rPr>
                <w:rFonts w:ascii="宋体"/>
              </w:rPr>
            </w:pPr>
          </w:p>
        </w:tc>
        <w:tc>
          <w:tcPr>
            <w:tcW w:w="668" w:type="pct"/>
            <w:shd w:val="clear" w:color="auto" w:fill="auto"/>
            <w:vAlign w:val="bottom"/>
          </w:tcPr>
          <w:p w14:paraId="5902AE4A" w14:textId="77777777" w:rsidR="0084406A" w:rsidRDefault="0084406A">
            <w:pPr>
              <w:rPr>
                <w:rFonts w:ascii="宋体"/>
              </w:rPr>
            </w:pPr>
          </w:p>
        </w:tc>
        <w:tc>
          <w:tcPr>
            <w:tcW w:w="5" w:type="pct"/>
            <w:shd w:val="clear" w:color="auto" w:fill="auto"/>
            <w:vAlign w:val="bottom"/>
          </w:tcPr>
          <w:p w14:paraId="5902AE4B" w14:textId="77777777" w:rsidR="0084406A" w:rsidRDefault="0084406A">
            <w:pPr>
              <w:rPr>
                <w:rFonts w:ascii="宋体"/>
              </w:rPr>
            </w:pPr>
          </w:p>
        </w:tc>
      </w:tr>
      <w:tr w:rsidR="0084406A" w14:paraId="5902AE53" w14:textId="77777777">
        <w:tc>
          <w:tcPr>
            <w:tcW w:w="0" w:type="auto"/>
            <w:gridSpan w:val="3"/>
            <w:shd w:val="clear" w:color="auto" w:fill="auto"/>
            <w:tcMar>
              <w:top w:w="0" w:type="dxa"/>
              <w:left w:w="20" w:type="dxa"/>
              <w:bottom w:w="0" w:type="dxa"/>
              <w:right w:w="20" w:type="dxa"/>
            </w:tcMar>
            <w:vAlign w:val="bottom"/>
          </w:tcPr>
          <w:p w14:paraId="5902AE4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E4E"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E4F"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50"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E51"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52"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E56" w14:textId="77777777">
        <w:tc>
          <w:tcPr>
            <w:tcW w:w="0" w:type="auto"/>
            <w:gridSpan w:val="3"/>
            <w:shd w:val="clear" w:color="auto" w:fill="auto"/>
            <w:tcMar>
              <w:top w:w="40" w:type="dxa"/>
              <w:left w:w="20" w:type="dxa"/>
              <w:bottom w:w="40" w:type="dxa"/>
              <w:right w:w="20" w:type="dxa"/>
            </w:tcMar>
            <w:vAlign w:val="bottom"/>
          </w:tcPr>
          <w:p w14:paraId="5902AE54"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E55"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E5D" w14:textId="77777777">
        <w:tc>
          <w:tcPr>
            <w:tcW w:w="0" w:type="auto"/>
            <w:gridSpan w:val="3"/>
            <w:shd w:val="clear" w:color="auto" w:fill="CCEEFF"/>
            <w:tcMar>
              <w:top w:w="40" w:type="dxa"/>
              <w:left w:w="20" w:type="dxa"/>
              <w:bottom w:w="40" w:type="dxa"/>
              <w:right w:w="20" w:type="dxa"/>
            </w:tcMar>
            <w:vAlign w:val="bottom"/>
          </w:tcPr>
          <w:p w14:paraId="5902AE57" w14:textId="77777777" w:rsidR="0084406A" w:rsidRDefault="002B18AF">
            <w:pPr>
              <w:textAlignment w:val="bottom"/>
            </w:pPr>
            <w:r>
              <w:rPr>
                <w:rFonts w:ascii="Arial" w:eastAsia="宋体" w:hAnsi="Arial" w:cs="Arial"/>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5902AE5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E59"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E5A"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E5B"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E5C" w14:textId="77777777" w:rsidR="0084406A" w:rsidRDefault="0084406A">
            <w:pPr>
              <w:rPr>
                <w:rFonts w:ascii="宋体"/>
              </w:rPr>
            </w:pPr>
          </w:p>
        </w:tc>
      </w:tr>
      <w:tr w:rsidR="0084406A" w14:paraId="5902AE6A" w14:textId="77777777">
        <w:tc>
          <w:tcPr>
            <w:tcW w:w="0" w:type="auto"/>
            <w:gridSpan w:val="3"/>
            <w:shd w:val="clear" w:color="auto" w:fill="FFFFFF"/>
            <w:tcMar>
              <w:top w:w="40" w:type="dxa"/>
              <w:left w:w="380" w:type="dxa"/>
              <w:bottom w:w="40" w:type="dxa"/>
              <w:right w:w="20" w:type="dxa"/>
            </w:tcMar>
            <w:vAlign w:val="bottom"/>
          </w:tcPr>
          <w:p w14:paraId="5902AE5E" w14:textId="77777777" w:rsidR="0084406A" w:rsidRDefault="002B18AF">
            <w:pPr>
              <w:textAlignment w:val="bottom"/>
            </w:pPr>
            <w:r>
              <w:rPr>
                <w:rFonts w:ascii="Arial" w:eastAsia="宋体" w:hAnsi="Arial" w:cs="Arial"/>
                <w:color w:val="000000"/>
                <w:sz w:val="20"/>
                <w:szCs w:val="20"/>
              </w:rPr>
              <w:t>U.S. Federal</w:t>
            </w:r>
          </w:p>
        </w:tc>
        <w:tc>
          <w:tcPr>
            <w:tcW w:w="0" w:type="auto"/>
            <w:shd w:val="clear" w:color="auto" w:fill="FFFFFF"/>
            <w:tcMar>
              <w:top w:w="40" w:type="dxa"/>
              <w:left w:w="20" w:type="dxa"/>
              <w:bottom w:w="40" w:type="dxa"/>
              <w:right w:w="0" w:type="dxa"/>
            </w:tcMar>
            <w:vAlign w:val="bottom"/>
          </w:tcPr>
          <w:p w14:paraId="5902AE5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E60" w14:textId="77777777" w:rsidR="0084406A" w:rsidRDefault="002B18AF">
            <w:pPr>
              <w:jc w:val="right"/>
              <w:textAlignment w:val="bottom"/>
            </w:pPr>
            <w:r>
              <w:rPr>
                <w:rFonts w:ascii="Arial" w:eastAsia="宋体" w:hAnsi="Arial" w:cs="Arial"/>
                <w:color w:val="000000"/>
                <w:sz w:val="20"/>
                <w:szCs w:val="20"/>
              </w:rPr>
              <w:t>112 </w:t>
            </w:r>
          </w:p>
        </w:tc>
        <w:tc>
          <w:tcPr>
            <w:tcW w:w="0" w:type="auto"/>
            <w:shd w:val="clear" w:color="auto" w:fill="FFFFFF"/>
            <w:tcMar>
              <w:top w:w="40" w:type="dxa"/>
              <w:left w:w="0" w:type="dxa"/>
              <w:bottom w:w="40" w:type="dxa"/>
              <w:right w:w="20" w:type="dxa"/>
            </w:tcMar>
            <w:vAlign w:val="bottom"/>
          </w:tcPr>
          <w:p w14:paraId="5902AE6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62"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E63"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E6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E6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66"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E6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E68" w14:textId="77777777" w:rsidR="0084406A" w:rsidRDefault="002B18AF">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5902AE69" w14:textId="77777777" w:rsidR="0084406A" w:rsidRDefault="0084406A">
            <w:pPr>
              <w:jc w:val="right"/>
              <w:rPr>
                <w:rFonts w:ascii="宋体"/>
              </w:rPr>
            </w:pPr>
          </w:p>
        </w:tc>
      </w:tr>
      <w:tr w:rsidR="0084406A" w14:paraId="5902AE74" w14:textId="77777777">
        <w:tc>
          <w:tcPr>
            <w:tcW w:w="0" w:type="auto"/>
            <w:gridSpan w:val="3"/>
            <w:shd w:val="clear" w:color="auto" w:fill="CCEEFF"/>
            <w:tcMar>
              <w:top w:w="40" w:type="dxa"/>
              <w:left w:w="380" w:type="dxa"/>
              <w:bottom w:w="40" w:type="dxa"/>
              <w:right w:w="20" w:type="dxa"/>
            </w:tcMar>
            <w:vAlign w:val="bottom"/>
          </w:tcPr>
          <w:p w14:paraId="5902AE6B" w14:textId="77777777" w:rsidR="0084406A" w:rsidRDefault="002B18AF">
            <w:pPr>
              <w:textAlignment w:val="bottom"/>
            </w:pPr>
            <w:r>
              <w:rPr>
                <w:rFonts w:ascii="Arial" w:eastAsia="宋体" w:hAnsi="Arial" w:cs="Arial"/>
                <w:color w:val="000000"/>
                <w:sz w:val="20"/>
                <w:szCs w:val="20"/>
              </w:rPr>
              <w:t>U.S. State and Local</w:t>
            </w:r>
          </w:p>
        </w:tc>
        <w:tc>
          <w:tcPr>
            <w:tcW w:w="0" w:type="auto"/>
            <w:gridSpan w:val="2"/>
            <w:shd w:val="clear" w:color="auto" w:fill="CCEEFF"/>
            <w:tcMar>
              <w:top w:w="40" w:type="dxa"/>
              <w:left w:w="20" w:type="dxa"/>
              <w:bottom w:w="40" w:type="dxa"/>
              <w:right w:w="0" w:type="dxa"/>
            </w:tcMar>
            <w:vAlign w:val="bottom"/>
          </w:tcPr>
          <w:p w14:paraId="5902AE6C" w14:textId="77777777" w:rsidR="0084406A" w:rsidRDefault="002B18AF">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5902AE6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6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6F"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5902AE7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7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72"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AE73" w14:textId="77777777" w:rsidR="0084406A" w:rsidRDefault="0084406A">
            <w:pPr>
              <w:jc w:val="right"/>
              <w:rPr>
                <w:rFonts w:ascii="宋体"/>
              </w:rPr>
            </w:pPr>
          </w:p>
        </w:tc>
      </w:tr>
      <w:tr w:rsidR="0084406A" w14:paraId="5902AE7E" w14:textId="77777777">
        <w:tc>
          <w:tcPr>
            <w:tcW w:w="0" w:type="auto"/>
            <w:gridSpan w:val="3"/>
            <w:shd w:val="clear" w:color="auto" w:fill="FFFFFF"/>
            <w:tcMar>
              <w:top w:w="40" w:type="dxa"/>
              <w:left w:w="380" w:type="dxa"/>
              <w:bottom w:w="40" w:type="dxa"/>
              <w:right w:w="20" w:type="dxa"/>
            </w:tcMar>
            <w:vAlign w:val="bottom"/>
          </w:tcPr>
          <w:p w14:paraId="5902AE75" w14:textId="77777777" w:rsidR="0084406A" w:rsidRDefault="002B18AF">
            <w:pPr>
              <w:textAlignment w:val="bottom"/>
            </w:pPr>
            <w:r>
              <w:rPr>
                <w:rFonts w:ascii="Arial" w:eastAsia="宋体" w:hAnsi="Arial" w:cs="Arial"/>
                <w:color w:val="000000"/>
                <w:sz w:val="20"/>
                <w:szCs w:val="20"/>
              </w:rPr>
              <w:t>Non-U.S.</w:t>
            </w:r>
          </w:p>
        </w:tc>
        <w:tc>
          <w:tcPr>
            <w:tcW w:w="0" w:type="auto"/>
            <w:gridSpan w:val="2"/>
            <w:shd w:val="clear" w:color="auto" w:fill="FFFFFF"/>
            <w:tcMar>
              <w:top w:w="40" w:type="dxa"/>
              <w:left w:w="20" w:type="dxa"/>
              <w:bottom w:w="40" w:type="dxa"/>
              <w:right w:w="0" w:type="dxa"/>
            </w:tcMar>
            <w:vAlign w:val="bottom"/>
          </w:tcPr>
          <w:p w14:paraId="5902AE76" w14:textId="77777777" w:rsidR="0084406A" w:rsidRDefault="002B18AF">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5902AE7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7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79"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5902AE7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7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7C" w14:textId="77777777" w:rsidR="0084406A" w:rsidRDefault="002B18AF">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5902AE7D" w14:textId="77777777" w:rsidR="0084406A" w:rsidRDefault="0084406A">
            <w:pPr>
              <w:jc w:val="right"/>
              <w:rPr>
                <w:rFonts w:ascii="宋体"/>
              </w:rPr>
            </w:pPr>
          </w:p>
        </w:tc>
      </w:tr>
      <w:tr w:rsidR="0084406A" w14:paraId="5902AE88" w14:textId="77777777">
        <w:tc>
          <w:tcPr>
            <w:tcW w:w="0" w:type="auto"/>
            <w:gridSpan w:val="3"/>
            <w:shd w:val="clear" w:color="auto" w:fill="CCEEFF"/>
            <w:tcMar>
              <w:top w:w="40" w:type="dxa"/>
              <w:left w:w="740" w:type="dxa"/>
              <w:bottom w:w="40" w:type="dxa"/>
              <w:right w:w="20" w:type="dxa"/>
            </w:tcMar>
            <w:vAlign w:val="bottom"/>
          </w:tcPr>
          <w:p w14:paraId="5902AE7F" w14:textId="77777777" w:rsidR="0084406A" w:rsidRDefault="002B18AF">
            <w:pPr>
              <w:textAlignment w:val="bottom"/>
            </w:pPr>
            <w:r>
              <w:rPr>
                <w:rFonts w:ascii="Arial" w:eastAsia="宋体" w:hAnsi="Arial" w:cs="Arial"/>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E80" w14:textId="77777777" w:rsidR="0084406A" w:rsidRDefault="002B18AF">
            <w:pPr>
              <w:jc w:val="right"/>
              <w:textAlignment w:val="bottom"/>
            </w:pPr>
            <w:r>
              <w:rPr>
                <w:rFonts w:ascii="Arial" w:eastAsia="宋体" w:hAnsi="Arial" w:cs="Arial"/>
                <w:color w:val="000000"/>
                <w:sz w:val="20"/>
                <w:szCs w:val="20"/>
              </w:rPr>
              <w:t>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E8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82"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E83" w14:textId="77777777" w:rsidR="0084406A" w:rsidRDefault="002B18AF">
            <w:pPr>
              <w:jc w:val="right"/>
              <w:textAlignment w:val="bottom"/>
            </w:pPr>
            <w:r>
              <w:rPr>
                <w:rFonts w:ascii="Arial" w:eastAsia="宋体" w:hAnsi="Arial" w:cs="Arial"/>
                <w:color w:val="000000"/>
                <w:sz w:val="20"/>
                <w:szCs w:val="20"/>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E8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85"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E86" w14:textId="77777777" w:rsidR="0084406A" w:rsidRDefault="002B18AF">
            <w:pPr>
              <w:jc w:val="right"/>
              <w:textAlignment w:val="bottom"/>
            </w:pPr>
            <w:r>
              <w:rPr>
                <w:rFonts w:ascii="Arial" w:eastAsia="宋体" w:hAnsi="Arial" w:cs="Arial"/>
                <w:color w:val="000000"/>
                <w:sz w:val="20"/>
                <w:szCs w:val="20"/>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E87" w14:textId="77777777" w:rsidR="0084406A" w:rsidRDefault="0084406A">
            <w:pPr>
              <w:jc w:val="right"/>
              <w:rPr>
                <w:rFonts w:ascii="宋体"/>
              </w:rPr>
            </w:pPr>
          </w:p>
        </w:tc>
      </w:tr>
      <w:tr w:rsidR="0084406A" w14:paraId="5902AE8F" w14:textId="77777777">
        <w:tc>
          <w:tcPr>
            <w:tcW w:w="0" w:type="auto"/>
            <w:gridSpan w:val="3"/>
            <w:shd w:val="clear" w:color="auto" w:fill="FFFFFF"/>
            <w:tcMar>
              <w:top w:w="40" w:type="dxa"/>
              <w:left w:w="20" w:type="dxa"/>
              <w:bottom w:w="40" w:type="dxa"/>
              <w:right w:w="20" w:type="dxa"/>
            </w:tcMar>
            <w:vAlign w:val="bottom"/>
          </w:tcPr>
          <w:p w14:paraId="5902AE89" w14:textId="77777777" w:rsidR="0084406A" w:rsidRDefault="002B18AF">
            <w:pPr>
              <w:textAlignment w:val="bottom"/>
            </w:pPr>
            <w:r>
              <w:rPr>
                <w:rFonts w:ascii="Arial" w:eastAsia="宋体" w:hAnsi="Arial" w:cs="Arial"/>
                <w:color w:val="000000"/>
                <w:sz w:val="20"/>
                <w:szCs w:val="20"/>
              </w:rPr>
              <w:t>Deferred:</w:t>
            </w:r>
          </w:p>
        </w:tc>
        <w:tc>
          <w:tcPr>
            <w:tcW w:w="0" w:type="auto"/>
            <w:gridSpan w:val="3"/>
            <w:shd w:val="clear" w:color="auto" w:fill="FFFFFF"/>
            <w:tcMar>
              <w:top w:w="0" w:type="dxa"/>
              <w:left w:w="20" w:type="dxa"/>
              <w:bottom w:w="0" w:type="dxa"/>
              <w:right w:w="20" w:type="dxa"/>
            </w:tcMar>
            <w:vAlign w:val="bottom"/>
          </w:tcPr>
          <w:p w14:paraId="5902AE8A"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E8B"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E8C"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E8D" w14:textId="77777777" w:rsidR="0084406A" w:rsidRDefault="0084406A">
            <w:pPr>
              <w:rPr>
                <w:rFonts w:ascii="宋体"/>
              </w:rPr>
            </w:pPr>
          </w:p>
        </w:tc>
        <w:tc>
          <w:tcPr>
            <w:tcW w:w="0" w:type="auto"/>
            <w:gridSpan w:val="3"/>
            <w:shd w:val="clear" w:color="auto" w:fill="FFFFFF"/>
            <w:tcMar>
              <w:top w:w="0" w:type="dxa"/>
              <w:left w:w="20" w:type="dxa"/>
              <w:bottom w:w="0" w:type="dxa"/>
              <w:right w:w="20" w:type="dxa"/>
            </w:tcMar>
            <w:vAlign w:val="bottom"/>
          </w:tcPr>
          <w:p w14:paraId="5902AE8E" w14:textId="77777777" w:rsidR="0084406A" w:rsidRDefault="0084406A">
            <w:pPr>
              <w:rPr>
                <w:rFonts w:ascii="宋体"/>
              </w:rPr>
            </w:pPr>
          </w:p>
        </w:tc>
      </w:tr>
      <w:tr w:rsidR="0084406A" w14:paraId="5902AE99" w14:textId="77777777">
        <w:tc>
          <w:tcPr>
            <w:tcW w:w="0" w:type="auto"/>
            <w:gridSpan w:val="3"/>
            <w:shd w:val="clear" w:color="auto" w:fill="CCEEFF"/>
            <w:tcMar>
              <w:top w:w="40" w:type="dxa"/>
              <w:left w:w="380" w:type="dxa"/>
              <w:bottom w:w="40" w:type="dxa"/>
              <w:right w:w="20" w:type="dxa"/>
            </w:tcMar>
            <w:vAlign w:val="bottom"/>
          </w:tcPr>
          <w:p w14:paraId="5902AE90" w14:textId="77777777" w:rsidR="0084406A" w:rsidRDefault="002B18AF">
            <w:pPr>
              <w:textAlignment w:val="bottom"/>
            </w:pPr>
            <w:r>
              <w:rPr>
                <w:rFonts w:ascii="Arial" w:eastAsia="宋体" w:hAnsi="Arial" w:cs="Arial"/>
                <w:color w:val="000000"/>
                <w:sz w:val="20"/>
                <w:szCs w:val="20"/>
              </w:rPr>
              <w:t>U.S. Federal</w:t>
            </w:r>
          </w:p>
        </w:tc>
        <w:tc>
          <w:tcPr>
            <w:tcW w:w="0" w:type="auto"/>
            <w:gridSpan w:val="2"/>
            <w:shd w:val="clear" w:color="auto" w:fill="CCEEFF"/>
            <w:tcMar>
              <w:top w:w="40" w:type="dxa"/>
              <w:left w:w="20" w:type="dxa"/>
              <w:bottom w:w="40" w:type="dxa"/>
              <w:right w:w="0" w:type="dxa"/>
            </w:tcMar>
            <w:vAlign w:val="bottom"/>
          </w:tcPr>
          <w:p w14:paraId="5902AE91" w14:textId="77777777" w:rsidR="0084406A" w:rsidRDefault="002B18AF">
            <w:pPr>
              <w:jc w:val="right"/>
              <w:textAlignment w:val="bottom"/>
            </w:pPr>
            <w:r>
              <w:rPr>
                <w:rFonts w:ascii="Arial" w:eastAsia="宋体" w:hAnsi="Arial" w:cs="Arial"/>
                <w:color w:val="000000"/>
                <w:sz w:val="20"/>
                <w:szCs w:val="20"/>
              </w:rPr>
              <w:t>320 </w:t>
            </w:r>
          </w:p>
        </w:tc>
        <w:tc>
          <w:tcPr>
            <w:tcW w:w="0" w:type="auto"/>
            <w:shd w:val="clear" w:color="auto" w:fill="CCEEFF"/>
            <w:tcMar>
              <w:top w:w="40" w:type="dxa"/>
              <w:left w:w="0" w:type="dxa"/>
              <w:bottom w:w="40" w:type="dxa"/>
              <w:right w:w="20" w:type="dxa"/>
            </w:tcMar>
            <w:vAlign w:val="bottom"/>
          </w:tcPr>
          <w:p w14:paraId="5902AE9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9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94" w14:textId="77777777" w:rsidR="0084406A" w:rsidRDefault="002B18AF">
            <w:pPr>
              <w:jc w:val="right"/>
              <w:textAlignment w:val="bottom"/>
            </w:pPr>
            <w:r>
              <w:rPr>
                <w:rFonts w:ascii="Arial" w:eastAsia="宋体" w:hAnsi="Arial" w:cs="Arial"/>
                <w:color w:val="000000"/>
                <w:sz w:val="20"/>
                <w:szCs w:val="20"/>
              </w:rPr>
              <w:t>(1,193)</w:t>
            </w:r>
          </w:p>
        </w:tc>
        <w:tc>
          <w:tcPr>
            <w:tcW w:w="0" w:type="auto"/>
            <w:shd w:val="clear" w:color="auto" w:fill="CCEEFF"/>
            <w:tcMar>
              <w:top w:w="40" w:type="dxa"/>
              <w:left w:w="0" w:type="dxa"/>
              <w:bottom w:w="40" w:type="dxa"/>
              <w:right w:w="20" w:type="dxa"/>
            </w:tcMar>
            <w:vAlign w:val="bottom"/>
          </w:tcPr>
          <w:p w14:paraId="5902AE9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9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9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E98" w14:textId="77777777" w:rsidR="0084406A" w:rsidRDefault="0084406A">
            <w:pPr>
              <w:jc w:val="right"/>
              <w:rPr>
                <w:rFonts w:ascii="宋体"/>
              </w:rPr>
            </w:pPr>
          </w:p>
        </w:tc>
      </w:tr>
      <w:tr w:rsidR="0084406A" w14:paraId="5902AEA3" w14:textId="77777777">
        <w:tc>
          <w:tcPr>
            <w:tcW w:w="0" w:type="auto"/>
            <w:gridSpan w:val="3"/>
            <w:shd w:val="clear" w:color="auto" w:fill="FFFFFF"/>
            <w:tcMar>
              <w:top w:w="40" w:type="dxa"/>
              <w:left w:w="380" w:type="dxa"/>
              <w:bottom w:w="40" w:type="dxa"/>
              <w:right w:w="20" w:type="dxa"/>
            </w:tcMar>
            <w:vAlign w:val="bottom"/>
          </w:tcPr>
          <w:p w14:paraId="5902AE9A" w14:textId="77777777" w:rsidR="0084406A" w:rsidRDefault="002B18AF">
            <w:pPr>
              <w:textAlignment w:val="bottom"/>
            </w:pPr>
            <w:r>
              <w:rPr>
                <w:rFonts w:ascii="Arial" w:eastAsia="宋体" w:hAnsi="Arial" w:cs="Arial"/>
                <w:color w:val="000000"/>
                <w:sz w:val="20"/>
                <w:szCs w:val="20"/>
              </w:rPr>
              <w:t>U.S. State and Local</w:t>
            </w:r>
          </w:p>
        </w:tc>
        <w:tc>
          <w:tcPr>
            <w:tcW w:w="0" w:type="auto"/>
            <w:gridSpan w:val="2"/>
            <w:shd w:val="clear" w:color="auto" w:fill="FFFFFF"/>
            <w:tcMar>
              <w:top w:w="40" w:type="dxa"/>
              <w:left w:w="20" w:type="dxa"/>
              <w:bottom w:w="40" w:type="dxa"/>
              <w:right w:w="0" w:type="dxa"/>
            </w:tcMar>
            <w:vAlign w:val="bottom"/>
          </w:tcPr>
          <w:p w14:paraId="5902AE9B" w14:textId="77777777" w:rsidR="0084406A" w:rsidRDefault="002B18AF">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5902AE9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9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9E" w14:textId="77777777" w:rsidR="0084406A" w:rsidRDefault="002B18AF">
            <w:pPr>
              <w:jc w:val="right"/>
              <w:textAlignment w:val="bottom"/>
            </w:pPr>
            <w:r>
              <w:rPr>
                <w:rFonts w:ascii="Arial" w:eastAsia="宋体" w:hAnsi="Arial" w:cs="Arial"/>
                <w:color w:val="000000"/>
                <w:sz w:val="20"/>
                <w:szCs w:val="20"/>
              </w:rPr>
              <w:t>(28)</w:t>
            </w:r>
          </w:p>
        </w:tc>
        <w:tc>
          <w:tcPr>
            <w:tcW w:w="0" w:type="auto"/>
            <w:shd w:val="clear" w:color="auto" w:fill="FFFFFF"/>
            <w:tcMar>
              <w:top w:w="40" w:type="dxa"/>
              <w:left w:w="0" w:type="dxa"/>
              <w:bottom w:w="40" w:type="dxa"/>
              <w:right w:w="20" w:type="dxa"/>
            </w:tcMar>
            <w:vAlign w:val="bottom"/>
          </w:tcPr>
          <w:p w14:paraId="5902AE9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A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A1"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EA2" w14:textId="77777777" w:rsidR="0084406A" w:rsidRDefault="0084406A">
            <w:pPr>
              <w:jc w:val="right"/>
              <w:rPr>
                <w:rFonts w:ascii="宋体"/>
              </w:rPr>
            </w:pPr>
          </w:p>
        </w:tc>
      </w:tr>
      <w:tr w:rsidR="0084406A" w14:paraId="5902AEAD" w14:textId="77777777">
        <w:tc>
          <w:tcPr>
            <w:tcW w:w="0" w:type="auto"/>
            <w:gridSpan w:val="3"/>
            <w:shd w:val="clear" w:color="auto" w:fill="CCEEFF"/>
            <w:tcMar>
              <w:top w:w="40" w:type="dxa"/>
              <w:left w:w="380" w:type="dxa"/>
              <w:bottom w:w="40" w:type="dxa"/>
              <w:right w:w="20" w:type="dxa"/>
            </w:tcMar>
            <w:vAlign w:val="bottom"/>
          </w:tcPr>
          <w:p w14:paraId="5902AEA4" w14:textId="77777777" w:rsidR="0084406A" w:rsidRDefault="002B18AF">
            <w:pPr>
              <w:textAlignment w:val="bottom"/>
            </w:pPr>
            <w:r>
              <w:rPr>
                <w:rFonts w:ascii="Arial" w:eastAsia="宋体" w:hAnsi="Arial" w:cs="Arial"/>
                <w:color w:val="000000"/>
                <w:sz w:val="20"/>
                <w:szCs w:val="20"/>
              </w:rPr>
              <w:t>Non-U.S.</w:t>
            </w:r>
          </w:p>
        </w:tc>
        <w:tc>
          <w:tcPr>
            <w:tcW w:w="0" w:type="auto"/>
            <w:gridSpan w:val="2"/>
            <w:shd w:val="clear" w:color="auto" w:fill="CCEEFF"/>
            <w:tcMar>
              <w:top w:w="40" w:type="dxa"/>
              <w:left w:w="20" w:type="dxa"/>
              <w:bottom w:w="40" w:type="dxa"/>
              <w:right w:w="0" w:type="dxa"/>
            </w:tcMar>
            <w:vAlign w:val="bottom"/>
          </w:tcPr>
          <w:p w14:paraId="5902AEA5" w14:textId="77777777" w:rsidR="0084406A" w:rsidRDefault="002B18AF">
            <w:pPr>
              <w:jc w:val="right"/>
              <w:textAlignment w:val="bottom"/>
            </w:pPr>
            <w:r>
              <w:rPr>
                <w:rFonts w:ascii="Arial" w:eastAsia="宋体" w:hAnsi="Arial" w:cs="Arial"/>
                <w:color w:val="000000"/>
                <w:sz w:val="20"/>
                <w:szCs w:val="20"/>
              </w:rPr>
              <w:t>(5)</w:t>
            </w:r>
          </w:p>
        </w:tc>
        <w:tc>
          <w:tcPr>
            <w:tcW w:w="0" w:type="auto"/>
            <w:shd w:val="clear" w:color="auto" w:fill="CCEEFF"/>
            <w:tcMar>
              <w:top w:w="40" w:type="dxa"/>
              <w:left w:w="0" w:type="dxa"/>
              <w:bottom w:w="40" w:type="dxa"/>
              <w:right w:w="20" w:type="dxa"/>
            </w:tcMar>
            <w:vAlign w:val="bottom"/>
          </w:tcPr>
          <w:p w14:paraId="5902AEA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A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A8" w14:textId="77777777" w:rsidR="0084406A" w:rsidRDefault="002B18AF">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5902AEA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A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AB" w14:textId="77777777" w:rsidR="0084406A" w:rsidRDefault="002B18AF">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5902AEAC" w14:textId="77777777" w:rsidR="0084406A" w:rsidRDefault="0084406A">
            <w:pPr>
              <w:jc w:val="right"/>
              <w:rPr>
                <w:rFonts w:ascii="宋体"/>
              </w:rPr>
            </w:pPr>
          </w:p>
        </w:tc>
      </w:tr>
      <w:tr w:rsidR="0084406A" w14:paraId="5902AEB7" w14:textId="77777777">
        <w:tc>
          <w:tcPr>
            <w:tcW w:w="0" w:type="auto"/>
            <w:gridSpan w:val="3"/>
            <w:shd w:val="clear" w:color="auto" w:fill="FFFFFF"/>
            <w:tcMar>
              <w:top w:w="40" w:type="dxa"/>
              <w:left w:w="740" w:type="dxa"/>
              <w:bottom w:w="40" w:type="dxa"/>
              <w:right w:w="20" w:type="dxa"/>
            </w:tcMar>
            <w:vAlign w:val="bottom"/>
          </w:tcPr>
          <w:p w14:paraId="5902AEAE" w14:textId="77777777" w:rsidR="0084406A" w:rsidRDefault="002B18AF">
            <w:pPr>
              <w:textAlignment w:val="bottom"/>
            </w:pPr>
            <w:r>
              <w:rPr>
                <w:rFonts w:ascii="Arial" w:eastAsia="宋体" w:hAnsi="Arial" w:cs="Arial"/>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EAF" w14:textId="77777777" w:rsidR="0084406A" w:rsidRDefault="002B18AF">
            <w:pPr>
              <w:jc w:val="right"/>
              <w:textAlignment w:val="bottom"/>
            </w:pPr>
            <w:r>
              <w:rPr>
                <w:rFonts w:ascii="Arial" w:eastAsia="宋体" w:hAnsi="Arial" w:cs="Arial"/>
                <w:color w:val="000000"/>
                <w:sz w:val="20"/>
                <w:szCs w:val="20"/>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EB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B1"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EB2" w14:textId="77777777" w:rsidR="0084406A" w:rsidRDefault="002B18AF">
            <w:pPr>
              <w:jc w:val="right"/>
              <w:textAlignment w:val="bottom"/>
            </w:pPr>
            <w:r>
              <w:rPr>
                <w:rFonts w:ascii="Arial" w:eastAsia="宋体" w:hAnsi="Arial" w:cs="Arial"/>
                <w:color w:val="000000"/>
                <w:sz w:val="20"/>
                <w:szCs w:val="20"/>
              </w:rPr>
              <w:t>(1,223)</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EB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B4"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EB5" w14:textId="77777777" w:rsidR="0084406A" w:rsidRDefault="002B18AF">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EB6" w14:textId="77777777" w:rsidR="0084406A" w:rsidRDefault="0084406A">
            <w:pPr>
              <w:jc w:val="right"/>
              <w:rPr>
                <w:rFonts w:ascii="宋体"/>
              </w:rPr>
            </w:pPr>
          </w:p>
        </w:tc>
      </w:tr>
      <w:tr w:rsidR="0084406A" w14:paraId="5902AEC4" w14:textId="77777777">
        <w:tc>
          <w:tcPr>
            <w:tcW w:w="0" w:type="auto"/>
            <w:gridSpan w:val="3"/>
            <w:shd w:val="clear" w:color="auto" w:fill="CCEEFF"/>
            <w:tcMar>
              <w:top w:w="40" w:type="dxa"/>
              <w:left w:w="20" w:type="dxa"/>
              <w:bottom w:w="40" w:type="dxa"/>
              <w:right w:w="20" w:type="dxa"/>
            </w:tcMar>
            <w:vAlign w:val="bottom"/>
          </w:tcPr>
          <w:p w14:paraId="5902AEB8" w14:textId="77777777" w:rsidR="0084406A" w:rsidRDefault="002B18AF">
            <w:pPr>
              <w:textAlignment w:val="bottom"/>
            </w:pPr>
            <w:r>
              <w:rPr>
                <w:rFonts w:ascii="Arial" w:eastAsia="宋体" w:hAnsi="Arial" w:cs="Arial"/>
                <w:color w:val="000000"/>
                <w:sz w:val="20"/>
                <w:szCs w:val="20"/>
              </w:rPr>
              <w:t>Income tax provision (benefit)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B9"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BA" w14:textId="77777777" w:rsidR="0084406A" w:rsidRDefault="002B18AF">
            <w:pPr>
              <w:jc w:val="right"/>
              <w:textAlignment w:val="bottom"/>
            </w:pPr>
            <w:r>
              <w:rPr>
                <w:rFonts w:ascii="Arial" w:eastAsia="宋体" w:hAnsi="Arial" w:cs="Arial"/>
                <w:color w:val="000000"/>
                <w:sz w:val="20"/>
                <w:szCs w:val="20"/>
              </w:rPr>
              <w:t>513 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B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BC"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BD"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BE" w14:textId="77777777" w:rsidR="0084406A" w:rsidRDefault="002B18AF">
            <w:pPr>
              <w:jc w:val="right"/>
              <w:textAlignment w:val="bottom"/>
            </w:pPr>
            <w:r>
              <w:rPr>
                <w:rFonts w:ascii="Arial" w:eastAsia="宋体" w:hAnsi="Arial" w:cs="Arial"/>
                <w:color w:val="000000"/>
                <w:sz w:val="20"/>
                <w:szCs w:val="20"/>
              </w:rPr>
              <w:t>(1,210)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B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C0"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EC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EC2" w14:textId="77777777" w:rsidR="0084406A" w:rsidRDefault="002B18AF">
            <w:pPr>
              <w:jc w:val="right"/>
              <w:textAlignment w:val="bottom"/>
            </w:pPr>
            <w:r>
              <w:rPr>
                <w:rFonts w:ascii="Arial" w:eastAsia="宋体" w:hAnsi="Arial" w:cs="Arial"/>
                <w:color w:val="000000"/>
                <w:sz w:val="20"/>
                <w:szCs w:val="20"/>
              </w:rPr>
              <w:t>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EC3" w14:textId="77777777" w:rsidR="0084406A" w:rsidRDefault="0084406A">
            <w:pPr>
              <w:jc w:val="right"/>
              <w:rPr>
                <w:rFonts w:ascii="宋体"/>
              </w:rPr>
            </w:pPr>
          </w:p>
        </w:tc>
      </w:tr>
    </w:tbl>
    <w:p w14:paraId="5902AEC5" w14:textId="77777777" w:rsidR="0084406A" w:rsidRDefault="002B18AF">
      <w:pPr>
        <w:spacing w:before="180"/>
        <w:jc w:val="both"/>
      </w:pPr>
      <w:r>
        <w:rPr>
          <w:rFonts w:ascii="Arial" w:eastAsia="宋体" w:hAnsi="Arial" w:cs="Arial"/>
          <w:color w:val="000000"/>
          <w:sz w:val="20"/>
          <w:szCs w:val="20"/>
        </w:rPr>
        <w:t>The table below displays the reconciliation between statutory federal income taxes and the total income tax provision (benefit).</w:t>
      </w:r>
    </w:p>
    <w:tbl>
      <w:tblPr>
        <w:tblW w:w="5000" w:type="pct"/>
        <w:tblCellMar>
          <w:top w:w="15" w:type="dxa"/>
          <w:left w:w="15" w:type="dxa"/>
          <w:bottom w:w="15" w:type="dxa"/>
          <w:right w:w="15" w:type="dxa"/>
        </w:tblCellMar>
        <w:tblLook w:val="04A0" w:firstRow="1" w:lastRow="0" w:firstColumn="1" w:lastColumn="0" w:noHBand="0" w:noVBand="1"/>
      </w:tblPr>
      <w:tblGrid>
        <w:gridCol w:w="39"/>
        <w:gridCol w:w="4479"/>
        <w:gridCol w:w="38"/>
        <w:gridCol w:w="133"/>
        <w:gridCol w:w="1049"/>
        <w:gridCol w:w="36"/>
        <w:gridCol w:w="36"/>
        <w:gridCol w:w="36"/>
        <w:gridCol w:w="36"/>
        <w:gridCol w:w="133"/>
        <w:gridCol w:w="1003"/>
        <w:gridCol w:w="36"/>
        <w:gridCol w:w="36"/>
        <w:gridCol w:w="36"/>
        <w:gridCol w:w="36"/>
        <w:gridCol w:w="133"/>
        <w:gridCol w:w="1005"/>
        <w:gridCol w:w="36"/>
      </w:tblGrid>
      <w:tr w:rsidR="0084406A" w14:paraId="5902AED8" w14:textId="77777777">
        <w:tc>
          <w:tcPr>
            <w:tcW w:w="50" w:type="pct"/>
            <w:shd w:val="clear" w:color="auto" w:fill="auto"/>
            <w:vAlign w:val="bottom"/>
          </w:tcPr>
          <w:p w14:paraId="5902AEC6" w14:textId="77777777" w:rsidR="0084406A" w:rsidRDefault="0084406A">
            <w:pPr>
              <w:rPr>
                <w:rFonts w:ascii="宋体"/>
              </w:rPr>
            </w:pPr>
          </w:p>
        </w:tc>
        <w:tc>
          <w:tcPr>
            <w:tcW w:w="2722" w:type="pct"/>
            <w:shd w:val="clear" w:color="auto" w:fill="auto"/>
            <w:vAlign w:val="bottom"/>
          </w:tcPr>
          <w:p w14:paraId="5902AEC7" w14:textId="77777777" w:rsidR="0084406A" w:rsidRDefault="0084406A">
            <w:pPr>
              <w:rPr>
                <w:rFonts w:ascii="宋体"/>
              </w:rPr>
            </w:pPr>
          </w:p>
        </w:tc>
        <w:tc>
          <w:tcPr>
            <w:tcW w:w="5" w:type="pct"/>
            <w:shd w:val="clear" w:color="auto" w:fill="auto"/>
            <w:vAlign w:val="bottom"/>
          </w:tcPr>
          <w:p w14:paraId="5902AEC8" w14:textId="77777777" w:rsidR="0084406A" w:rsidRDefault="0084406A">
            <w:pPr>
              <w:rPr>
                <w:rFonts w:ascii="宋体"/>
              </w:rPr>
            </w:pPr>
          </w:p>
        </w:tc>
        <w:tc>
          <w:tcPr>
            <w:tcW w:w="50" w:type="pct"/>
            <w:shd w:val="clear" w:color="auto" w:fill="auto"/>
            <w:vAlign w:val="bottom"/>
          </w:tcPr>
          <w:p w14:paraId="5902AEC9" w14:textId="77777777" w:rsidR="0084406A" w:rsidRDefault="0084406A">
            <w:pPr>
              <w:rPr>
                <w:rFonts w:ascii="宋体"/>
              </w:rPr>
            </w:pPr>
          </w:p>
        </w:tc>
        <w:tc>
          <w:tcPr>
            <w:tcW w:w="661" w:type="pct"/>
            <w:shd w:val="clear" w:color="auto" w:fill="auto"/>
            <w:vAlign w:val="bottom"/>
          </w:tcPr>
          <w:p w14:paraId="5902AECA" w14:textId="77777777" w:rsidR="0084406A" w:rsidRDefault="0084406A">
            <w:pPr>
              <w:rPr>
                <w:rFonts w:ascii="宋体"/>
              </w:rPr>
            </w:pPr>
          </w:p>
        </w:tc>
        <w:tc>
          <w:tcPr>
            <w:tcW w:w="5" w:type="pct"/>
            <w:shd w:val="clear" w:color="auto" w:fill="auto"/>
            <w:vAlign w:val="bottom"/>
          </w:tcPr>
          <w:p w14:paraId="5902AECB" w14:textId="77777777" w:rsidR="0084406A" w:rsidRDefault="0084406A">
            <w:pPr>
              <w:rPr>
                <w:rFonts w:ascii="宋体"/>
              </w:rPr>
            </w:pPr>
          </w:p>
        </w:tc>
        <w:tc>
          <w:tcPr>
            <w:tcW w:w="5" w:type="pct"/>
            <w:shd w:val="clear" w:color="auto" w:fill="auto"/>
            <w:vAlign w:val="bottom"/>
          </w:tcPr>
          <w:p w14:paraId="5902AECC" w14:textId="77777777" w:rsidR="0084406A" w:rsidRDefault="0084406A">
            <w:pPr>
              <w:rPr>
                <w:rFonts w:ascii="宋体"/>
              </w:rPr>
            </w:pPr>
          </w:p>
        </w:tc>
        <w:tc>
          <w:tcPr>
            <w:tcW w:w="26" w:type="pct"/>
            <w:shd w:val="clear" w:color="auto" w:fill="auto"/>
            <w:vAlign w:val="bottom"/>
          </w:tcPr>
          <w:p w14:paraId="5902AECD" w14:textId="77777777" w:rsidR="0084406A" w:rsidRDefault="0084406A">
            <w:pPr>
              <w:rPr>
                <w:rFonts w:ascii="宋体"/>
              </w:rPr>
            </w:pPr>
          </w:p>
        </w:tc>
        <w:tc>
          <w:tcPr>
            <w:tcW w:w="5" w:type="pct"/>
            <w:shd w:val="clear" w:color="auto" w:fill="auto"/>
            <w:vAlign w:val="bottom"/>
          </w:tcPr>
          <w:p w14:paraId="5902AECE" w14:textId="77777777" w:rsidR="0084406A" w:rsidRDefault="0084406A">
            <w:pPr>
              <w:rPr>
                <w:rFonts w:ascii="宋体"/>
              </w:rPr>
            </w:pPr>
          </w:p>
        </w:tc>
        <w:tc>
          <w:tcPr>
            <w:tcW w:w="50" w:type="pct"/>
            <w:shd w:val="clear" w:color="auto" w:fill="auto"/>
            <w:vAlign w:val="bottom"/>
          </w:tcPr>
          <w:p w14:paraId="5902AECF" w14:textId="77777777" w:rsidR="0084406A" w:rsidRDefault="0084406A">
            <w:pPr>
              <w:rPr>
                <w:rFonts w:ascii="宋体"/>
              </w:rPr>
            </w:pPr>
          </w:p>
        </w:tc>
        <w:tc>
          <w:tcPr>
            <w:tcW w:w="661" w:type="pct"/>
            <w:shd w:val="clear" w:color="auto" w:fill="auto"/>
            <w:vAlign w:val="bottom"/>
          </w:tcPr>
          <w:p w14:paraId="5902AED0" w14:textId="77777777" w:rsidR="0084406A" w:rsidRDefault="0084406A">
            <w:pPr>
              <w:rPr>
                <w:rFonts w:ascii="宋体"/>
              </w:rPr>
            </w:pPr>
          </w:p>
        </w:tc>
        <w:tc>
          <w:tcPr>
            <w:tcW w:w="5" w:type="pct"/>
            <w:shd w:val="clear" w:color="auto" w:fill="auto"/>
            <w:vAlign w:val="bottom"/>
          </w:tcPr>
          <w:p w14:paraId="5902AED1" w14:textId="77777777" w:rsidR="0084406A" w:rsidRDefault="0084406A">
            <w:pPr>
              <w:rPr>
                <w:rFonts w:ascii="宋体"/>
              </w:rPr>
            </w:pPr>
          </w:p>
        </w:tc>
        <w:tc>
          <w:tcPr>
            <w:tcW w:w="5" w:type="pct"/>
            <w:shd w:val="clear" w:color="auto" w:fill="auto"/>
            <w:vAlign w:val="bottom"/>
          </w:tcPr>
          <w:p w14:paraId="5902AED2" w14:textId="77777777" w:rsidR="0084406A" w:rsidRDefault="0084406A">
            <w:pPr>
              <w:rPr>
                <w:rFonts w:ascii="宋体"/>
              </w:rPr>
            </w:pPr>
          </w:p>
        </w:tc>
        <w:tc>
          <w:tcPr>
            <w:tcW w:w="26" w:type="pct"/>
            <w:shd w:val="clear" w:color="auto" w:fill="auto"/>
            <w:vAlign w:val="bottom"/>
          </w:tcPr>
          <w:p w14:paraId="5902AED3" w14:textId="77777777" w:rsidR="0084406A" w:rsidRDefault="0084406A">
            <w:pPr>
              <w:rPr>
                <w:rFonts w:ascii="宋体"/>
              </w:rPr>
            </w:pPr>
          </w:p>
        </w:tc>
        <w:tc>
          <w:tcPr>
            <w:tcW w:w="5" w:type="pct"/>
            <w:shd w:val="clear" w:color="auto" w:fill="auto"/>
            <w:vAlign w:val="bottom"/>
          </w:tcPr>
          <w:p w14:paraId="5902AED4" w14:textId="77777777" w:rsidR="0084406A" w:rsidRDefault="0084406A">
            <w:pPr>
              <w:rPr>
                <w:rFonts w:ascii="宋体"/>
              </w:rPr>
            </w:pPr>
          </w:p>
        </w:tc>
        <w:tc>
          <w:tcPr>
            <w:tcW w:w="50" w:type="pct"/>
            <w:shd w:val="clear" w:color="auto" w:fill="auto"/>
            <w:vAlign w:val="bottom"/>
          </w:tcPr>
          <w:p w14:paraId="5902AED5" w14:textId="77777777" w:rsidR="0084406A" w:rsidRDefault="0084406A">
            <w:pPr>
              <w:rPr>
                <w:rFonts w:ascii="宋体"/>
              </w:rPr>
            </w:pPr>
          </w:p>
        </w:tc>
        <w:tc>
          <w:tcPr>
            <w:tcW w:w="661" w:type="pct"/>
            <w:shd w:val="clear" w:color="auto" w:fill="auto"/>
            <w:vAlign w:val="bottom"/>
          </w:tcPr>
          <w:p w14:paraId="5902AED6" w14:textId="77777777" w:rsidR="0084406A" w:rsidRDefault="0084406A">
            <w:pPr>
              <w:rPr>
                <w:rFonts w:ascii="宋体"/>
              </w:rPr>
            </w:pPr>
          </w:p>
        </w:tc>
        <w:tc>
          <w:tcPr>
            <w:tcW w:w="5" w:type="pct"/>
            <w:shd w:val="clear" w:color="auto" w:fill="auto"/>
            <w:vAlign w:val="bottom"/>
          </w:tcPr>
          <w:p w14:paraId="5902AED7" w14:textId="77777777" w:rsidR="0084406A" w:rsidRDefault="0084406A">
            <w:pPr>
              <w:rPr>
                <w:rFonts w:ascii="宋体"/>
              </w:rPr>
            </w:pPr>
          </w:p>
        </w:tc>
      </w:tr>
      <w:tr w:rsidR="0084406A" w14:paraId="5902AEDF" w14:textId="77777777">
        <w:tc>
          <w:tcPr>
            <w:tcW w:w="0" w:type="auto"/>
            <w:gridSpan w:val="3"/>
            <w:shd w:val="clear" w:color="auto" w:fill="auto"/>
            <w:tcMar>
              <w:top w:w="0" w:type="dxa"/>
              <w:left w:w="20" w:type="dxa"/>
              <w:bottom w:w="0" w:type="dxa"/>
              <w:right w:w="20" w:type="dxa"/>
            </w:tcMar>
            <w:vAlign w:val="bottom"/>
          </w:tcPr>
          <w:p w14:paraId="5902AED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EDA"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AEDB"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DC"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AEDD"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EDE"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AEE2" w14:textId="77777777">
        <w:tc>
          <w:tcPr>
            <w:tcW w:w="0" w:type="auto"/>
            <w:gridSpan w:val="3"/>
            <w:shd w:val="clear" w:color="auto" w:fill="auto"/>
            <w:tcMar>
              <w:top w:w="40" w:type="dxa"/>
              <w:left w:w="20" w:type="dxa"/>
              <w:bottom w:w="40" w:type="dxa"/>
              <w:right w:w="20" w:type="dxa"/>
            </w:tcMar>
            <w:vAlign w:val="bottom"/>
          </w:tcPr>
          <w:p w14:paraId="5902AEE0"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AEE1"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EEF" w14:textId="77777777">
        <w:tc>
          <w:tcPr>
            <w:tcW w:w="0" w:type="auto"/>
            <w:gridSpan w:val="3"/>
            <w:shd w:val="clear" w:color="auto" w:fill="CCEEFF"/>
            <w:tcMar>
              <w:top w:w="40" w:type="dxa"/>
              <w:left w:w="20" w:type="dxa"/>
              <w:bottom w:w="40" w:type="dxa"/>
              <w:right w:w="20" w:type="dxa"/>
            </w:tcMar>
            <w:vAlign w:val="bottom"/>
          </w:tcPr>
          <w:p w14:paraId="5902AEE3" w14:textId="77777777" w:rsidR="0084406A" w:rsidRDefault="002B18AF">
            <w:pPr>
              <w:textAlignment w:val="bottom"/>
            </w:pPr>
            <w:r>
              <w:rPr>
                <w:rFonts w:ascii="Arial" w:eastAsia="宋体" w:hAnsi="Arial" w:cs="Arial"/>
                <w:color w:val="000000"/>
                <w:sz w:val="20"/>
                <w:szCs w:val="20"/>
              </w:rPr>
              <w:t>Statutory federal income tax expense at 21%</w:t>
            </w:r>
          </w:p>
        </w:tc>
        <w:tc>
          <w:tcPr>
            <w:tcW w:w="0" w:type="auto"/>
            <w:shd w:val="clear" w:color="auto" w:fill="CCEEFF"/>
            <w:tcMar>
              <w:top w:w="40" w:type="dxa"/>
              <w:left w:w="20" w:type="dxa"/>
              <w:bottom w:w="40" w:type="dxa"/>
              <w:right w:w="0" w:type="dxa"/>
            </w:tcMar>
            <w:vAlign w:val="bottom"/>
          </w:tcPr>
          <w:p w14:paraId="5902AEE4"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E5" w14:textId="77777777" w:rsidR="0084406A" w:rsidRDefault="002B18AF">
            <w:pPr>
              <w:jc w:val="right"/>
              <w:textAlignment w:val="bottom"/>
            </w:pPr>
            <w:r>
              <w:rPr>
                <w:rFonts w:ascii="Arial" w:eastAsia="宋体" w:hAnsi="Arial" w:cs="Arial"/>
                <w:color w:val="000000"/>
                <w:sz w:val="20"/>
                <w:szCs w:val="20"/>
              </w:rPr>
              <w:t>772 </w:t>
            </w:r>
          </w:p>
        </w:tc>
        <w:tc>
          <w:tcPr>
            <w:tcW w:w="0" w:type="auto"/>
            <w:shd w:val="clear" w:color="auto" w:fill="CCEEFF"/>
            <w:tcMar>
              <w:top w:w="40" w:type="dxa"/>
              <w:left w:w="0" w:type="dxa"/>
              <w:bottom w:w="40" w:type="dxa"/>
              <w:right w:w="20" w:type="dxa"/>
            </w:tcMar>
            <w:vAlign w:val="bottom"/>
          </w:tcPr>
          <w:p w14:paraId="5902AEE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E7"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EE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E9" w14:textId="77777777" w:rsidR="0084406A" w:rsidRDefault="002B18AF">
            <w:pPr>
              <w:jc w:val="right"/>
              <w:textAlignment w:val="bottom"/>
            </w:pPr>
            <w:r>
              <w:rPr>
                <w:rFonts w:ascii="Arial" w:eastAsia="宋体" w:hAnsi="Arial" w:cs="Arial"/>
                <w:color w:val="000000"/>
                <w:sz w:val="20"/>
                <w:szCs w:val="20"/>
              </w:rPr>
              <w:t>269 </w:t>
            </w:r>
          </w:p>
        </w:tc>
        <w:tc>
          <w:tcPr>
            <w:tcW w:w="0" w:type="auto"/>
            <w:shd w:val="clear" w:color="auto" w:fill="CCEEFF"/>
            <w:tcMar>
              <w:top w:w="40" w:type="dxa"/>
              <w:left w:w="0" w:type="dxa"/>
              <w:bottom w:w="40" w:type="dxa"/>
              <w:right w:w="20" w:type="dxa"/>
            </w:tcMar>
            <w:vAlign w:val="bottom"/>
          </w:tcPr>
          <w:p w14:paraId="5902AEE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E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AEE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AEED" w14:textId="77777777" w:rsidR="0084406A" w:rsidRDefault="002B18AF">
            <w:pPr>
              <w:jc w:val="right"/>
              <w:textAlignment w:val="bottom"/>
            </w:pPr>
            <w:r>
              <w:rPr>
                <w:rFonts w:ascii="Arial" w:eastAsia="宋体" w:hAnsi="Arial" w:cs="Arial"/>
                <w:color w:val="000000"/>
                <w:sz w:val="20"/>
                <w:szCs w:val="20"/>
              </w:rPr>
              <w:t>78 </w:t>
            </w:r>
          </w:p>
        </w:tc>
        <w:tc>
          <w:tcPr>
            <w:tcW w:w="0" w:type="auto"/>
            <w:shd w:val="clear" w:color="auto" w:fill="CCEEFF"/>
            <w:tcMar>
              <w:top w:w="40" w:type="dxa"/>
              <w:left w:w="0" w:type="dxa"/>
              <w:bottom w:w="40" w:type="dxa"/>
              <w:right w:w="20" w:type="dxa"/>
            </w:tcMar>
            <w:vAlign w:val="bottom"/>
          </w:tcPr>
          <w:p w14:paraId="5902AEEE" w14:textId="77777777" w:rsidR="0084406A" w:rsidRDefault="0084406A">
            <w:pPr>
              <w:jc w:val="right"/>
              <w:rPr>
                <w:rFonts w:ascii="宋体"/>
              </w:rPr>
            </w:pPr>
          </w:p>
        </w:tc>
      </w:tr>
      <w:tr w:rsidR="0084406A" w14:paraId="5902AEF9" w14:textId="77777777">
        <w:tc>
          <w:tcPr>
            <w:tcW w:w="0" w:type="auto"/>
            <w:gridSpan w:val="3"/>
            <w:shd w:val="clear" w:color="auto" w:fill="FFFFFF"/>
            <w:tcMar>
              <w:top w:w="40" w:type="dxa"/>
              <w:left w:w="20" w:type="dxa"/>
              <w:bottom w:w="40" w:type="dxa"/>
              <w:right w:w="20" w:type="dxa"/>
            </w:tcMar>
            <w:vAlign w:val="bottom"/>
          </w:tcPr>
          <w:p w14:paraId="5902AEF0" w14:textId="77777777" w:rsidR="0084406A" w:rsidRDefault="002B18AF">
            <w:pPr>
              <w:textAlignment w:val="bottom"/>
            </w:pPr>
            <w:r>
              <w:rPr>
                <w:rFonts w:ascii="Arial" w:eastAsia="宋体" w:hAnsi="Arial" w:cs="Arial"/>
                <w:color w:val="000000"/>
                <w:sz w:val="20"/>
                <w:szCs w:val="20"/>
              </w:rPr>
              <w:t>State taxes (benefit)</w:t>
            </w:r>
          </w:p>
        </w:tc>
        <w:tc>
          <w:tcPr>
            <w:tcW w:w="0" w:type="auto"/>
            <w:gridSpan w:val="2"/>
            <w:shd w:val="clear" w:color="auto" w:fill="FFFFFF"/>
            <w:tcMar>
              <w:top w:w="40" w:type="dxa"/>
              <w:left w:w="20" w:type="dxa"/>
              <w:bottom w:w="40" w:type="dxa"/>
              <w:right w:w="0" w:type="dxa"/>
            </w:tcMar>
            <w:vAlign w:val="bottom"/>
          </w:tcPr>
          <w:p w14:paraId="5902AEF1"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EF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F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F4" w14:textId="77777777" w:rsidR="0084406A" w:rsidRDefault="002B18AF">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5902AEF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EF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EF7"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5902AEF8" w14:textId="77777777" w:rsidR="0084406A" w:rsidRDefault="0084406A">
            <w:pPr>
              <w:jc w:val="right"/>
              <w:rPr>
                <w:rFonts w:ascii="宋体"/>
              </w:rPr>
            </w:pPr>
          </w:p>
        </w:tc>
      </w:tr>
      <w:tr w:rsidR="0084406A" w14:paraId="5902AF03" w14:textId="77777777">
        <w:tc>
          <w:tcPr>
            <w:tcW w:w="0" w:type="auto"/>
            <w:gridSpan w:val="3"/>
            <w:shd w:val="clear" w:color="auto" w:fill="CCEEFF"/>
            <w:tcMar>
              <w:top w:w="40" w:type="dxa"/>
              <w:left w:w="20" w:type="dxa"/>
              <w:bottom w:w="40" w:type="dxa"/>
              <w:right w:w="20" w:type="dxa"/>
            </w:tcMar>
            <w:vAlign w:val="bottom"/>
          </w:tcPr>
          <w:p w14:paraId="5902AEFA" w14:textId="77777777" w:rsidR="0084406A" w:rsidRDefault="002B18AF">
            <w:pPr>
              <w:textAlignment w:val="bottom"/>
            </w:pPr>
            <w:r>
              <w:rPr>
                <w:rFonts w:ascii="Arial" w:eastAsia="宋体" w:hAnsi="Arial" w:cs="Arial"/>
                <w:color w:val="000000"/>
                <w:sz w:val="20"/>
                <w:szCs w:val="20"/>
              </w:rPr>
              <w:t xml:space="preserve">Foreign withholding taxes </w:t>
            </w:r>
          </w:p>
        </w:tc>
        <w:tc>
          <w:tcPr>
            <w:tcW w:w="0" w:type="auto"/>
            <w:gridSpan w:val="2"/>
            <w:shd w:val="clear" w:color="auto" w:fill="CCEEFF"/>
            <w:tcMar>
              <w:top w:w="40" w:type="dxa"/>
              <w:left w:w="20" w:type="dxa"/>
              <w:bottom w:w="40" w:type="dxa"/>
              <w:right w:w="0" w:type="dxa"/>
            </w:tcMar>
            <w:vAlign w:val="bottom"/>
          </w:tcPr>
          <w:p w14:paraId="5902AEFB" w14:textId="77777777" w:rsidR="0084406A" w:rsidRDefault="002B18AF">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5902AEF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EFD"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EFE" w14:textId="77777777" w:rsidR="0084406A" w:rsidRDefault="002B18AF">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902AEF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0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01" w14:textId="77777777" w:rsidR="0084406A" w:rsidRDefault="002B18AF">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5902AF02" w14:textId="77777777" w:rsidR="0084406A" w:rsidRDefault="0084406A">
            <w:pPr>
              <w:jc w:val="right"/>
              <w:rPr>
                <w:rFonts w:ascii="宋体"/>
              </w:rPr>
            </w:pPr>
          </w:p>
        </w:tc>
      </w:tr>
      <w:tr w:rsidR="0084406A" w14:paraId="5902AF0D" w14:textId="77777777">
        <w:tc>
          <w:tcPr>
            <w:tcW w:w="0" w:type="auto"/>
            <w:gridSpan w:val="3"/>
            <w:shd w:val="clear" w:color="auto" w:fill="FFFFFF"/>
            <w:tcMar>
              <w:top w:w="40" w:type="dxa"/>
              <w:left w:w="20" w:type="dxa"/>
              <w:bottom w:w="40" w:type="dxa"/>
              <w:right w:w="20" w:type="dxa"/>
            </w:tcMar>
            <w:vAlign w:val="bottom"/>
          </w:tcPr>
          <w:p w14:paraId="5902AF04" w14:textId="77777777" w:rsidR="0084406A" w:rsidRDefault="002B18AF">
            <w:pPr>
              <w:textAlignment w:val="bottom"/>
            </w:pPr>
            <w:r>
              <w:rPr>
                <w:rFonts w:ascii="Arial" w:eastAsia="宋体" w:hAnsi="Arial" w:cs="Arial"/>
                <w:color w:val="000000"/>
                <w:sz w:val="20"/>
                <w:szCs w:val="20"/>
              </w:rPr>
              <w:t>Foreign rate detriment / (benefit)</w:t>
            </w:r>
          </w:p>
        </w:tc>
        <w:tc>
          <w:tcPr>
            <w:tcW w:w="0" w:type="auto"/>
            <w:gridSpan w:val="2"/>
            <w:shd w:val="clear" w:color="auto" w:fill="FFFFFF"/>
            <w:tcMar>
              <w:top w:w="40" w:type="dxa"/>
              <w:left w:w="20" w:type="dxa"/>
              <w:bottom w:w="40" w:type="dxa"/>
              <w:right w:w="0" w:type="dxa"/>
            </w:tcMar>
            <w:vAlign w:val="bottom"/>
          </w:tcPr>
          <w:p w14:paraId="5902AF05" w14:textId="77777777" w:rsidR="0084406A" w:rsidRDefault="002B18AF">
            <w:pPr>
              <w:jc w:val="right"/>
              <w:textAlignment w:val="bottom"/>
            </w:pPr>
            <w:r>
              <w:rPr>
                <w:rFonts w:ascii="Arial" w:eastAsia="宋体" w:hAnsi="Arial" w:cs="Arial"/>
                <w:color w:val="000000"/>
                <w:sz w:val="20"/>
                <w:szCs w:val="20"/>
              </w:rPr>
              <w:t>71 </w:t>
            </w:r>
          </w:p>
        </w:tc>
        <w:tc>
          <w:tcPr>
            <w:tcW w:w="0" w:type="auto"/>
            <w:shd w:val="clear" w:color="auto" w:fill="FFFFFF"/>
            <w:tcMar>
              <w:top w:w="40" w:type="dxa"/>
              <w:left w:w="0" w:type="dxa"/>
              <w:bottom w:w="40" w:type="dxa"/>
              <w:right w:w="20" w:type="dxa"/>
            </w:tcMar>
            <w:vAlign w:val="bottom"/>
          </w:tcPr>
          <w:p w14:paraId="5902AF0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0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08" w14:textId="77777777" w:rsidR="0084406A" w:rsidRDefault="002B18AF">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5902AF0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0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0B" w14:textId="77777777" w:rsidR="0084406A" w:rsidRDefault="002B18AF">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5902AF0C" w14:textId="77777777" w:rsidR="0084406A" w:rsidRDefault="0084406A">
            <w:pPr>
              <w:jc w:val="right"/>
              <w:rPr>
                <w:rFonts w:ascii="宋体"/>
              </w:rPr>
            </w:pPr>
          </w:p>
        </w:tc>
      </w:tr>
      <w:tr w:rsidR="0084406A" w14:paraId="5902AF17" w14:textId="77777777">
        <w:tc>
          <w:tcPr>
            <w:tcW w:w="0" w:type="auto"/>
            <w:gridSpan w:val="3"/>
            <w:shd w:val="clear" w:color="auto" w:fill="CCEEFF"/>
            <w:tcMar>
              <w:top w:w="40" w:type="dxa"/>
              <w:left w:w="20" w:type="dxa"/>
              <w:bottom w:w="40" w:type="dxa"/>
              <w:right w:w="20" w:type="dxa"/>
            </w:tcMar>
            <w:vAlign w:val="bottom"/>
          </w:tcPr>
          <w:p w14:paraId="5902AF0E" w14:textId="77777777" w:rsidR="0084406A" w:rsidRDefault="002B18AF">
            <w:pPr>
              <w:textAlignment w:val="bottom"/>
            </w:pPr>
            <w:r>
              <w:rPr>
                <w:rFonts w:ascii="Arial" w:eastAsia="宋体" w:hAnsi="Arial" w:cs="Arial"/>
                <w:color w:val="000000"/>
                <w:sz w:val="20"/>
                <w:szCs w:val="20"/>
              </w:rPr>
              <w:t>Valuation allowance change</w:t>
            </w:r>
          </w:p>
        </w:tc>
        <w:tc>
          <w:tcPr>
            <w:tcW w:w="0" w:type="auto"/>
            <w:gridSpan w:val="2"/>
            <w:shd w:val="clear" w:color="auto" w:fill="CCEEFF"/>
            <w:tcMar>
              <w:top w:w="40" w:type="dxa"/>
              <w:left w:w="20" w:type="dxa"/>
              <w:bottom w:w="40" w:type="dxa"/>
              <w:right w:w="0" w:type="dxa"/>
            </w:tcMar>
            <w:vAlign w:val="bottom"/>
          </w:tcPr>
          <w:p w14:paraId="5902AF0F"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5902AF1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11"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12" w14:textId="77777777" w:rsidR="0084406A" w:rsidRDefault="002B18AF">
            <w:pPr>
              <w:jc w:val="right"/>
              <w:textAlignment w:val="bottom"/>
            </w:pPr>
            <w:r>
              <w:rPr>
                <w:rFonts w:ascii="Arial" w:eastAsia="宋体" w:hAnsi="Arial" w:cs="Arial"/>
                <w:color w:val="000000"/>
                <w:sz w:val="20"/>
                <w:szCs w:val="20"/>
              </w:rPr>
              <w:t>(1,301)</w:t>
            </w:r>
          </w:p>
        </w:tc>
        <w:tc>
          <w:tcPr>
            <w:tcW w:w="0" w:type="auto"/>
            <w:shd w:val="clear" w:color="auto" w:fill="CCEEFF"/>
            <w:tcMar>
              <w:top w:w="40" w:type="dxa"/>
              <w:left w:w="0" w:type="dxa"/>
              <w:bottom w:w="40" w:type="dxa"/>
              <w:right w:w="20" w:type="dxa"/>
            </w:tcMar>
            <w:vAlign w:val="bottom"/>
          </w:tcPr>
          <w:p w14:paraId="5902AF1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1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15" w14:textId="77777777" w:rsidR="0084406A" w:rsidRDefault="002B18AF">
            <w:pPr>
              <w:jc w:val="right"/>
              <w:textAlignment w:val="bottom"/>
            </w:pPr>
            <w:r>
              <w:rPr>
                <w:rFonts w:ascii="Arial" w:eastAsia="宋体" w:hAnsi="Arial" w:cs="Arial"/>
                <w:color w:val="000000"/>
                <w:sz w:val="20"/>
                <w:szCs w:val="20"/>
              </w:rPr>
              <w:t>(59)</w:t>
            </w:r>
          </w:p>
        </w:tc>
        <w:tc>
          <w:tcPr>
            <w:tcW w:w="0" w:type="auto"/>
            <w:shd w:val="clear" w:color="auto" w:fill="CCEEFF"/>
            <w:tcMar>
              <w:top w:w="40" w:type="dxa"/>
              <w:left w:w="0" w:type="dxa"/>
              <w:bottom w:w="40" w:type="dxa"/>
              <w:right w:w="20" w:type="dxa"/>
            </w:tcMar>
            <w:vAlign w:val="bottom"/>
          </w:tcPr>
          <w:p w14:paraId="5902AF16" w14:textId="77777777" w:rsidR="0084406A" w:rsidRDefault="0084406A">
            <w:pPr>
              <w:jc w:val="right"/>
              <w:rPr>
                <w:rFonts w:ascii="宋体"/>
              </w:rPr>
            </w:pPr>
          </w:p>
        </w:tc>
      </w:tr>
      <w:tr w:rsidR="0084406A" w14:paraId="5902AF21" w14:textId="77777777">
        <w:tc>
          <w:tcPr>
            <w:tcW w:w="0" w:type="auto"/>
            <w:gridSpan w:val="3"/>
            <w:shd w:val="clear" w:color="auto" w:fill="FFFFFF"/>
            <w:tcMar>
              <w:top w:w="40" w:type="dxa"/>
              <w:left w:w="20" w:type="dxa"/>
              <w:bottom w:w="40" w:type="dxa"/>
              <w:right w:w="20" w:type="dxa"/>
            </w:tcMar>
            <w:vAlign w:val="bottom"/>
          </w:tcPr>
          <w:p w14:paraId="5902AF18" w14:textId="77777777" w:rsidR="0084406A" w:rsidRDefault="002B18AF">
            <w:pPr>
              <w:textAlignment w:val="bottom"/>
            </w:pPr>
            <w:r>
              <w:rPr>
                <w:rFonts w:ascii="Arial" w:eastAsia="宋体" w:hAnsi="Arial" w:cs="Arial"/>
                <w:color w:val="000000"/>
                <w:sz w:val="20"/>
                <w:szCs w:val="20"/>
              </w:rPr>
              <w:t>Research credits</w:t>
            </w:r>
          </w:p>
        </w:tc>
        <w:tc>
          <w:tcPr>
            <w:tcW w:w="0" w:type="auto"/>
            <w:gridSpan w:val="2"/>
            <w:shd w:val="clear" w:color="auto" w:fill="FFFFFF"/>
            <w:tcMar>
              <w:top w:w="40" w:type="dxa"/>
              <w:left w:w="20" w:type="dxa"/>
              <w:bottom w:w="40" w:type="dxa"/>
              <w:right w:w="0" w:type="dxa"/>
            </w:tcMar>
            <w:vAlign w:val="bottom"/>
          </w:tcPr>
          <w:p w14:paraId="5902AF19" w14:textId="77777777" w:rsidR="0084406A" w:rsidRDefault="002B18AF">
            <w:pPr>
              <w:jc w:val="right"/>
              <w:textAlignment w:val="bottom"/>
            </w:pPr>
            <w:r>
              <w:rPr>
                <w:rFonts w:ascii="Arial" w:eastAsia="宋体" w:hAnsi="Arial" w:cs="Arial"/>
                <w:color w:val="000000"/>
                <w:sz w:val="20"/>
                <w:szCs w:val="20"/>
              </w:rPr>
              <w:t>(78)</w:t>
            </w:r>
          </w:p>
        </w:tc>
        <w:tc>
          <w:tcPr>
            <w:tcW w:w="0" w:type="auto"/>
            <w:shd w:val="clear" w:color="auto" w:fill="FFFFFF"/>
            <w:tcMar>
              <w:top w:w="40" w:type="dxa"/>
              <w:left w:w="0" w:type="dxa"/>
              <w:bottom w:w="40" w:type="dxa"/>
              <w:right w:w="20" w:type="dxa"/>
            </w:tcMar>
            <w:vAlign w:val="bottom"/>
          </w:tcPr>
          <w:p w14:paraId="5902AF1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1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1C" w14:textId="77777777" w:rsidR="0084406A" w:rsidRDefault="002B18AF">
            <w:pPr>
              <w:jc w:val="right"/>
              <w:textAlignment w:val="bottom"/>
            </w:pPr>
            <w:r>
              <w:rPr>
                <w:rFonts w:ascii="Arial" w:eastAsia="宋体" w:hAnsi="Arial" w:cs="Arial"/>
                <w:color w:val="000000"/>
                <w:sz w:val="20"/>
                <w:szCs w:val="20"/>
              </w:rPr>
              <w:t>(57)</w:t>
            </w:r>
          </w:p>
        </w:tc>
        <w:tc>
          <w:tcPr>
            <w:tcW w:w="0" w:type="auto"/>
            <w:shd w:val="clear" w:color="auto" w:fill="FFFFFF"/>
            <w:tcMar>
              <w:top w:w="40" w:type="dxa"/>
              <w:left w:w="0" w:type="dxa"/>
              <w:bottom w:w="40" w:type="dxa"/>
              <w:right w:w="20" w:type="dxa"/>
            </w:tcMar>
            <w:vAlign w:val="bottom"/>
          </w:tcPr>
          <w:p w14:paraId="5902AF1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1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1F"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F20" w14:textId="77777777" w:rsidR="0084406A" w:rsidRDefault="0084406A">
            <w:pPr>
              <w:jc w:val="right"/>
              <w:rPr>
                <w:rFonts w:ascii="宋体"/>
              </w:rPr>
            </w:pPr>
          </w:p>
        </w:tc>
      </w:tr>
      <w:tr w:rsidR="0084406A" w14:paraId="5902AF2B" w14:textId="77777777">
        <w:tc>
          <w:tcPr>
            <w:tcW w:w="0" w:type="auto"/>
            <w:gridSpan w:val="3"/>
            <w:shd w:val="clear" w:color="auto" w:fill="CCEEFF"/>
            <w:tcMar>
              <w:top w:w="40" w:type="dxa"/>
              <w:left w:w="20" w:type="dxa"/>
              <w:bottom w:w="40" w:type="dxa"/>
              <w:right w:w="20" w:type="dxa"/>
            </w:tcMar>
            <w:vAlign w:val="bottom"/>
          </w:tcPr>
          <w:p w14:paraId="5902AF22" w14:textId="77777777" w:rsidR="0084406A" w:rsidRDefault="002B18AF">
            <w:pPr>
              <w:textAlignment w:val="bottom"/>
            </w:pPr>
            <w:r>
              <w:rPr>
                <w:rFonts w:ascii="Arial" w:eastAsia="宋体" w:hAnsi="Arial" w:cs="Arial"/>
                <w:color w:val="000000"/>
                <w:sz w:val="20"/>
                <w:szCs w:val="20"/>
              </w:rPr>
              <w:t xml:space="preserve">Excess tax </w:t>
            </w:r>
            <w:r>
              <w:rPr>
                <w:rFonts w:ascii="Arial" w:eastAsia="宋体" w:hAnsi="Arial" w:cs="Arial"/>
                <w:color w:val="000000"/>
                <w:sz w:val="20"/>
                <w:szCs w:val="20"/>
              </w:rPr>
              <w:t>benefits relating to share-based compensation</w:t>
            </w:r>
          </w:p>
        </w:tc>
        <w:tc>
          <w:tcPr>
            <w:tcW w:w="0" w:type="auto"/>
            <w:gridSpan w:val="2"/>
            <w:shd w:val="clear" w:color="auto" w:fill="CCEEFF"/>
            <w:tcMar>
              <w:top w:w="40" w:type="dxa"/>
              <w:left w:w="20" w:type="dxa"/>
              <w:bottom w:w="40" w:type="dxa"/>
              <w:right w:w="0" w:type="dxa"/>
            </w:tcMar>
            <w:vAlign w:val="bottom"/>
          </w:tcPr>
          <w:p w14:paraId="5902AF23" w14:textId="77777777" w:rsidR="0084406A" w:rsidRDefault="002B18AF">
            <w:pPr>
              <w:jc w:val="right"/>
              <w:textAlignment w:val="bottom"/>
            </w:pPr>
            <w:r>
              <w:rPr>
                <w:rFonts w:ascii="Arial" w:eastAsia="宋体" w:hAnsi="Arial" w:cs="Arial"/>
                <w:color w:val="000000"/>
                <w:sz w:val="20"/>
                <w:szCs w:val="20"/>
              </w:rPr>
              <w:t>(125)</w:t>
            </w:r>
          </w:p>
        </w:tc>
        <w:tc>
          <w:tcPr>
            <w:tcW w:w="0" w:type="auto"/>
            <w:shd w:val="clear" w:color="auto" w:fill="CCEEFF"/>
            <w:tcMar>
              <w:top w:w="40" w:type="dxa"/>
              <w:left w:w="0" w:type="dxa"/>
              <w:bottom w:w="40" w:type="dxa"/>
              <w:right w:w="20" w:type="dxa"/>
            </w:tcMar>
            <w:vAlign w:val="bottom"/>
          </w:tcPr>
          <w:p w14:paraId="5902AF2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25"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26" w14:textId="77777777" w:rsidR="0084406A" w:rsidRDefault="002B18AF">
            <w:pPr>
              <w:jc w:val="right"/>
              <w:textAlignment w:val="bottom"/>
            </w:pPr>
            <w:r>
              <w:rPr>
                <w:rFonts w:ascii="Arial" w:eastAsia="宋体" w:hAnsi="Arial" w:cs="Arial"/>
                <w:color w:val="000000"/>
                <w:sz w:val="20"/>
                <w:szCs w:val="20"/>
              </w:rPr>
              <w:t>(116)</w:t>
            </w:r>
          </w:p>
        </w:tc>
        <w:tc>
          <w:tcPr>
            <w:tcW w:w="0" w:type="auto"/>
            <w:shd w:val="clear" w:color="auto" w:fill="CCEEFF"/>
            <w:tcMar>
              <w:top w:w="40" w:type="dxa"/>
              <w:left w:w="0" w:type="dxa"/>
              <w:bottom w:w="40" w:type="dxa"/>
              <w:right w:w="20" w:type="dxa"/>
            </w:tcMar>
            <w:vAlign w:val="bottom"/>
          </w:tcPr>
          <w:p w14:paraId="5902AF2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2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29"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F2A" w14:textId="77777777" w:rsidR="0084406A" w:rsidRDefault="0084406A">
            <w:pPr>
              <w:jc w:val="right"/>
              <w:rPr>
                <w:rFonts w:ascii="宋体"/>
              </w:rPr>
            </w:pPr>
          </w:p>
        </w:tc>
      </w:tr>
      <w:tr w:rsidR="0084406A" w14:paraId="5902AF35" w14:textId="77777777">
        <w:tc>
          <w:tcPr>
            <w:tcW w:w="0" w:type="auto"/>
            <w:gridSpan w:val="3"/>
            <w:shd w:val="clear" w:color="auto" w:fill="FFFFFF"/>
            <w:tcMar>
              <w:top w:w="40" w:type="dxa"/>
              <w:left w:w="20" w:type="dxa"/>
              <w:bottom w:w="40" w:type="dxa"/>
              <w:right w:w="20" w:type="dxa"/>
            </w:tcMar>
            <w:vAlign w:val="bottom"/>
          </w:tcPr>
          <w:p w14:paraId="5902AF2C" w14:textId="77777777" w:rsidR="0084406A" w:rsidRDefault="002B18AF">
            <w:pPr>
              <w:textAlignment w:val="bottom"/>
            </w:pPr>
            <w:r>
              <w:rPr>
                <w:rFonts w:ascii="Arial" w:eastAsia="宋体" w:hAnsi="Arial" w:cs="Arial"/>
                <w:color w:val="000000"/>
                <w:sz w:val="20"/>
                <w:szCs w:val="20"/>
              </w:rPr>
              <w:t>Tax Reform Act</w:t>
            </w:r>
          </w:p>
        </w:tc>
        <w:tc>
          <w:tcPr>
            <w:tcW w:w="0" w:type="auto"/>
            <w:gridSpan w:val="2"/>
            <w:shd w:val="clear" w:color="auto" w:fill="FFFFFF"/>
            <w:tcMar>
              <w:top w:w="40" w:type="dxa"/>
              <w:left w:w="20" w:type="dxa"/>
              <w:bottom w:w="40" w:type="dxa"/>
              <w:right w:w="0" w:type="dxa"/>
            </w:tcMar>
            <w:vAlign w:val="bottom"/>
          </w:tcPr>
          <w:p w14:paraId="5902AF2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F2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2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30"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F3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32"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33" w14:textId="77777777" w:rsidR="0084406A" w:rsidRDefault="002B18AF">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5902AF34" w14:textId="77777777" w:rsidR="0084406A" w:rsidRDefault="0084406A">
            <w:pPr>
              <w:jc w:val="right"/>
              <w:rPr>
                <w:rFonts w:ascii="宋体"/>
              </w:rPr>
            </w:pPr>
          </w:p>
        </w:tc>
      </w:tr>
      <w:tr w:rsidR="0084406A" w14:paraId="5902AF3F" w14:textId="77777777">
        <w:tc>
          <w:tcPr>
            <w:tcW w:w="0" w:type="auto"/>
            <w:gridSpan w:val="3"/>
            <w:shd w:val="clear" w:color="auto" w:fill="CCEEFF"/>
            <w:tcMar>
              <w:top w:w="40" w:type="dxa"/>
              <w:left w:w="20" w:type="dxa"/>
              <w:bottom w:w="40" w:type="dxa"/>
              <w:right w:w="20" w:type="dxa"/>
            </w:tcMar>
            <w:vAlign w:val="bottom"/>
          </w:tcPr>
          <w:p w14:paraId="5902AF36" w14:textId="77777777" w:rsidR="0084406A" w:rsidRDefault="002B18AF">
            <w:pPr>
              <w:textAlignment w:val="bottom"/>
            </w:pPr>
            <w:r>
              <w:rPr>
                <w:rFonts w:ascii="Arial" w:eastAsia="宋体" w:hAnsi="Arial" w:cs="Arial"/>
                <w:color w:val="000000"/>
                <w:sz w:val="20"/>
                <w:szCs w:val="20"/>
              </w:rPr>
              <w:t>Foreign Derived Intangible Income deduction</w:t>
            </w:r>
          </w:p>
        </w:tc>
        <w:tc>
          <w:tcPr>
            <w:tcW w:w="0" w:type="auto"/>
            <w:gridSpan w:val="2"/>
            <w:shd w:val="clear" w:color="auto" w:fill="CCEEFF"/>
            <w:tcMar>
              <w:top w:w="40" w:type="dxa"/>
              <w:left w:w="20" w:type="dxa"/>
              <w:bottom w:w="40" w:type="dxa"/>
              <w:right w:w="0" w:type="dxa"/>
            </w:tcMar>
            <w:vAlign w:val="bottom"/>
          </w:tcPr>
          <w:p w14:paraId="5902AF37" w14:textId="77777777" w:rsidR="0084406A" w:rsidRDefault="002B18AF">
            <w:pPr>
              <w:jc w:val="right"/>
              <w:textAlignment w:val="bottom"/>
            </w:pPr>
            <w:r>
              <w:rPr>
                <w:rFonts w:ascii="Arial" w:eastAsia="宋体" w:hAnsi="Arial" w:cs="Arial"/>
                <w:color w:val="000000"/>
                <w:sz w:val="20"/>
                <w:szCs w:val="20"/>
              </w:rPr>
              <w:t>(147)</w:t>
            </w:r>
          </w:p>
        </w:tc>
        <w:tc>
          <w:tcPr>
            <w:tcW w:w="0" w:type="auto"/>
            <w:shd w:val="clear" w:color="auto" w:fill="CCEEFF"/>
            <w:tcMar>
              <w:top w:w="40" w:type="dxa"/>
              <w:left w:w="0" w:type="dxa"/>
              <w:bottom w:w="40" w:type="dxa"/>
              <w:right w:w="20" w:type="dxa"/>
            </w:tcMar>
            <w:vAlign w:val="bottom"/>
          </w:tcPr>
          <w:p w14:paraId="5902AF3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3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3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F3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3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3D"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AF3E" w14:textId="77777777" w:rsidR="0084406A" w:rsidRDefault="0084406A">
            <w:pPr>
              <w:jc w:val="right"/>
              <w:rPr>
                <w:rFonts w:ascii="宋体"/>
              </w:rPr>
            </w:pPr>
          </w:p>
        </w:tc>
      </w:tr>
      <w:tr w:rsidR="0084406A" w14:paraId="5902AF49" w14:textId="77777777">
        <w:tc>
          <w:tcPr>
            <w:tcW w:w="0" w:type="auto"/>
            <w:gridSpan w:val="3"/>
            <w:shd w:val="clear" w:color="auto" w:fill="FFFFFF"/>
            <w:tcMar>
              <w:top w:w="40" w:type="dxa"/>
              <w:left w:w="20" w:type="dxa"/>
              <w:bottom w:w="40" w:type="dxa"/>
              <w:right w:w="20" w:type="dxa"/>
            </w:tcMar>
            <w:vAlign w:val="bottom"/>
          </w:tcPr>
          <w:p w14:paraId="5902AF40" w14:textId="77777777" w:rsidR="0084406A" w:rsidRDefault="002B18AF">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902AF41" w14:textId="77777777" w:rsidR="0084406A" w:rsidRDefault="002B18AF">
            <w:pPr>
              <w:jc w:val="right"/>
              <w:textAlignment w:val="bottom"/>
            </w:pPr>
            <w:r>
              <w:rPr>
                <w:rFonts w:ascii="Arial" w:eastAsia="宋体" w:hAnsi="Arial" w:cs="Arial"/>
                <w:color w:val="000000"/>
                <w:sz w:val="20"/>
                <w:szCs w:val="20"/>
              </w:rPr>
              <w:t>9 </w:t>
            </w:r>
          </w:p>
        </w:tc>
        <w:tc>
          <w:tcPr>
            <w:tcW w:w="0" w:type="auto"/>
            <w:shd w:val="clear" w:color="auto" w:fill="FFFFFF"/>
            <w:tcMar>
              <w:top w:w="40" w:type="dxa"/>
              <w:left w:w="0" w:type="dxa"/>
              <w:bottom w:w="40" w:type="dxa"/>
              <w:right w:w="20" w:type="dxa"/>
            </w:tcMar>
            <w:vAlign w:val="bottom"/>
          </w:tcPr>
          <w:p w14:paraId="5902AF4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4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44" w14:textId="77777777" w:rsidR="0084406A" w:rsidRDefault="002B18AF">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5902AF4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4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4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F48" w14:textId="77777777" w:rsidR="0084406A" w:rsidRDefault="0084406A">
            <w:pPr>
              <w:jc w:val="right"/>
              <w:rPr>
                <w:rFonts w:ascii="宋体"/>
              </w:rPr>
            </w:pPr>
          </w:p>
        </w:tc>
      </w:tr>
      <w:tr w:rsidR="0084406A" w14:paraId="5902AF56" w14:textId="77777777">
        <w:tc>
          <w:tcPr>
            <w:tcW w:w="0" w:type="auto"/>
            <w:gridSpan w:val="3"/>
            <w:shd w:val="clear" w:color="auto" w:fill="CCEEFF"/>
            <w:tcMar>
              <w:top w:w="40" w:type="dxa"/>
              <w:left w:w="20" w:type="dxa"/>
              <w:bottom w:w="40" w:type="dxa"/>
              <w:right w:w="20" w:type="dxa"/>
            </w:tcMar>
            <w:vAlign w:val="bottom"/>
          </w:tcPr>
          <w:p w14:paraId="5902AF4A" w14:textId="77777777" w:rsidR="0084406A" w:rsidRDefault="002B18AF">
            <w:pPr>
              <w:textAlignment w:val="bottom"/>
            </w:pPr>
            <w:r>
              <w:rPr>
                <w:rFonts w:ascii="Arial" w:eastAsia="宋体" w:hAnsi="Arial" w:cs="Arial"/>
                <w:color w:val="000000"/>
                <w:sz w:val="20"/>
                <w:szCs w:val="20"/>
              </w:rPr>
              <w:t>Income tax provision (benefit)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F4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F4C" w14:textId="77777777" w:rsidR="0084406A" w:rsidRDefault="002B18AF">
            <w:pPr>
              <w:jc w:val="right"/>
              <w:textAlignment w:val="bottom"/>
            </w:pPr>
            <w:r>
              <w:rPr>
                <w:rFonts w:ascii="Arial" w:eastAsia="宋体" w:hAnsi="Arial" w:cs="Arial"/>
                <w:color w:val="000000"/>
                <w:sz w:val="20"/>
                <w:szCs w:val="20"/>
              </w:rPr>
              <w:t>513 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F4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4E"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F4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F50" w14:textId="77777777" w:rsidR="0084406A" w:rsidRDefault="002B18AF">
            <w:pPr>
              <w:jc w:val="right"/>
              <w:textAlignment w:val="bottom"/>
            </w:pPr>
            <w:r>
              <w:rPr>
                <w:rFonts w:ascii="Arial" w:eastAsia="宋体" w:hAnsi="Arial" w:cs="Arial"/>
                <w:color w:val="000000"/>
                <w:sz w:val="20"/>
                <w:szCs w:val="20"/>
              </w:rPr>
              <w:t>(1,210)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F5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52"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AF5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AF54" w14:textId="77777777" w:rsidR="0084406A" w:rsidRDefault="002B18AF">
            <w:pPr>
              <w:jc w:val="right"/>
              <w:textAlignment w:val="bottom"/>
            </w:pPr>
            <w:r>
              <w:rPr>
                <w:rFonts w:ascii="Arial" w:eastAsia="宋体" w:hAnsi="Arial" w:cs="Arial"/>
                <w:color w:val="000000"/>
                <w:sz w:val="20"/>
                <w:szCs w:val="20"/>
              </w:rPr>
              <w:t>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AF55" w14:textId="77777777" w:rsidR="0084406A" w:rsidRDefault="0084406A">
            <w:pPr>
              <w:jc w:val="right"/>
              <w:rPr>
                <w:rFonts w:ascii="宋体"/>
              </w:rPr>
            </w:pPr>
          </w:p>
        </w:tc>
      </w:tr>
    </w:tbl>
    <w:p w14:paraId="5902AF57" w14:textId="77777777" w:rsidR="0084406A" w:rsidRDefault="002B18AF">
      <w:pPr>
        <w:spacing w:before="180"/>
        <w:jc w:val="both"/>
      </w:pPr>
      <w:r>
        <w:rPr>
          <w:rFonts w:ascii="Arial" w:eastAsia="宋体" w:hAnsi="Arial" w:cs="Arial"/>
          <w:color w:val="000000"/>
          <w:sz w:val="20"/>
          <w:szCs w:val="20"/>
        </w:rPr>
        <w:t>The Company recorded an income tax provision of $513 million in 2021 and an income tax benefit of $1.2 billion in 2020, representing effective tax rates of 14% and (95)% respectively. The income tax pro</w:t>
      </w:r>
      <w:r>
        <w:rPr>
          <w:rFonts w:ascii="Arial" w:eastAsia="宋体" w:hAnsi="Arial" w:cs="Arial"/>
          <w:color w:val="000000"/>
          <w:sz w:val="20"/>
          <w:szCs w:val="20"/>
        </w:rPr>
        <w:t>vision of $513 million was a result of higher income in the U.S. and increase in foreign taxes, partially offset by $147 million of foreign-derived intangible income benefit, $78 million of research and development tax credits, and $125 million of excess t</w:t>
      </w:r>
      <w:r>
        <w:rPr>
          <w:rFonts w:ascii="Arial" w:eastAsia="宋体" w:hAnsi="Arial" w:cs="Arial"/>
          <w:color w:val="000000"/>
          <w:sz w:val="20"/>
          <w:szCs w:val="20"/>
        </w:rPr>
        <w:t>ax benefit for stock-based compensation net of non-deductible officers’ compensation.</w:t>
      </w:r>
    </w:p>
    <w:p w14:paraId="5902AF58" w14:textId="77777777" w:rsidR="0084406A" w:rsidRDefault="002B18AF">
      <w:pPr>
        <w:jc w:val="center"/>
      </w:pPr>
      <w:r>
        <w:rPr>
          <w:rFonts w:ascii="Arial" w:eastAsia="宋体" w:hAnsi="Arial" w:cs="Arial"/>
          <w:color w:val="000000"/>
          <w:sz w:val="20"/>
          <w:szCs w:val="20"/>
        </w:rPr>
        <w:t>70</w:t>
      </w:r>
    </w:p>
    <w:p w14:paraId="5902AF59" w14:textId="77777777" w:rsidR="0084406A" w:rsidRDefault="002B18AF">
      <w:r>
        <w:pict w14:anchorId="5902BB3C">
          <v:rect id="_x0000_i1097" style="width:415.3pt;height:1.5pt" o:hralign="center" o:hrstd="t" o:hr="t" fillcolor="#a0a0a0" stroked="f"/>
        </w:pict>
      </w:r>
    </w:p>
    <w:p w14:paraId="5902AF5A" w14:textId="77777777" w:rsidR="0084406A" w:rsidRDefault="0084406A"/>
    <w:p w14:paraId="5902AF5B" w14:textId="77777777" w:rsidR="0084406A" w:rsidRDefault="002B18AF">
      <w:pPr>
        <w:spacing w:before="180"/>
        <w:jc w:val="both"/>
      </w:pPr>
      <w:r>
        <w:rPr>
          <w:rFonts w:ascii="Arial" w:eastAsia="宋体" w:hAnsi="Arial" w:cs="Arial"/>
          <w:color w:val="000000"/>
          <w:sz w:val="20"/>
          <w:szCs w:val="20"/>
        </w:rPr>
        <w:t>The income tax benefit in 2020 was primarily due to $1.3 billion of tax benefit from the valuation allowance release in the U.S. This benefit was partially offset b</w:t>
      </w:r>
      <w:r>
        <w:rPr>
          <w:rFonts w:ascii="Arial" w:eastAsia="宋体" w:hAnsi="Arial" w:cs="Arial"/>
          <w:color w:val="000000"/>
          <w:sz w:val="20"/>
          <w:szCs w:val="20"/>
        </w:rPr>
        <w:t>y approximately $10 million of withholding tax expense related to cross-border transactions, $13 million of state and foreign taxes and $75 million increase in valuation allowance against certain state and foreign tax credits, which are reflected as part o</w:t>
      </w:r>
      <w:r>
        <w:rPr>
          <w:rFonts w:ascii="Arial" w:eastAsia="宋体" w:hAnsi="Arial" w:cs="Arial"/>
          <w:color w:val="000000"/>
          <w:sz w:val="20"/>
          <w:szCs w:val="20"/>
        </w:rPr>
        <w:t>f the state taxes and foreign rate benefit in the reconciliation table above.</w:t>
      </w:r>
    </w:p>
    <w:p w14:paraId="5902AF5C" w14:textId="77777777" w:rsidR="0084406A" w:rsidRDefault="002B18AF">
      <w:pPr>
        <w:spacing w:before="180"/>
        <w:jc w:val="both"/>
      </w:pPr>
      <w:r>
        <w:rPr>
          <w:rFonts w:ascii="Arial" w:eastAsia="宋体" w:hAnsi="Arial" w:cs="Arial"/>
          <w:color w:val="000000"/>
          <w:sz w:val="20"/>
          <w:szCs w:val="20"/>
        </w:rPr>
        <w:t>The income tax provision in 2019 was primarily due to $22 million of withholding tax related to cross-border transactions and $22 million of tax in foreign locations, partially o</w:t>
      </w:r>
      <w:r>
        <w:rPr>
          <w:rFonts w:ascii="Arial" w:eastAsia="宋体" w:hAnsi="Arial" w:cs="Arial"/>
          <w:color w:val="000000"/>
          <w:sz w:val="20"/>
          <w:szCs w:val="20"/>
        </w:rPr>
        <w:t xml:space="preserve">ffset by a $13 million benefit for a reduction of U.S. income taxes accrued in the prior year. </w:t>
      </w:r>
    </w:p>
    <w:p w14:paraId="5902AF5D" w14:textId="77777777" w:rsidR="0084406A" w:rsidRDefault="002B18AF">
      <w:pPr>
        <w:spacing w:before="180"/>
        <w:jc w:val="both"/>
      </w:pPr>
      <w:r>
        <w:rPr>
          <w:rFonts w:ascii="Arial" w:eastAsia="宋体" w:hAnsi="Arial" w:cs="Arial"/>
          <w:color w:val="000000"/>
          <w:sz w:val="20"/>
          <w:szCs w:val="20"/>
        </w:rPr>
        <w:t>Deferred income taxes reflect the net tax effects of tax carryovers and temporary differences between the carrying amounts of assets and liabilities for financi</w:t>
      </w:r>
      <w:r>
        <w:rPr>
          <w:rFonts w:ascii="Arial" w:eastAsia="宋体" w:hAnsi="Arial" w:cs="Arial"/>
          <w:color w:val="000000"/>
          <w:sz w:val="20"/>
          <w:szCs w:val="20"/>
        </w:rPr>
        <w:t>al reporting purposes and the balances for income tax purposes. Significant components of the Company’s deferred tax assets and liabilities as of December 25, 2021 and December 26,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279"/>
        <w:gridCol w:w="39"/>
        <w:gridCol w:w="133"/>
        <w:gridCol w:w="1286"/>
        <w:gridCol w:w="36"/>
        <w:gridCol w:w="36"/>
        <w:gridCol w:w="36"/>
        <w:gridCol w:w="36"/>
        <w:gridCol w:w="133"/>
        <w:gridCol w:w="1246"/>
        <w:gridCol w:w="36"/>
      </w:tblGrid>
      <w:tr w:rsidR="0084406A" w14:paraId="5902AF6A" w14:textId="77777777">
        <w:tc>
          <w:tcPr>
            <w:tcW w:w="50" w:type="pct"/>
            <w:shd w:val="clear" w:color="auto" w:fill="auto"/>
            <w:vAlign w:val="bottom"/>
          </w:tcPr>
          <w:p w14:paraId="5902AF5E" w14:textId="77777777" w:rsidR="0084406A" w:rsidRDefault="0084406A">
            <w:pPr>
              <w:rPr>
                <w:rFonts w:ascii="宋体"/>
              </w:rPr>
            </w:pPr>
          </w:p>
        </w:tc>
        <w:tc>
          <w:tcPr>
            <w:tcW w:w="3197" w:type="pct"/>
            <w:shd w:val="clear" w:color="auto" w:fill="auto"/>
            <w:vAlign w:val="bottom"/>
          </w:tcPr>
          <w:p w14:paraId="5902AF5F" w14:textId="77777777" w:rsidR="0084406A" w:rsidRDefault="0084406A">
            <w:pPr>
              <w:rPr>
                <w:rFonts w:ascii="宋体"/>
              </w:rPr>
            </w:pPr>
          </w:p>
        </w:tc>
        <w:tc>
          <w:tcPr>
            <w:tcW w:w="5" w:type="pct"/>
            <w:shd w:val="clear" w:color="auto" w:fill="auto"/>
            <w:vAlign w:val="bottom"/>
          </w:tcPr>
          <w:p w14:paraId="5902AF60" w14:textId="77777777" w:rsidR="0084406A" w:rsidRDefault="0084406A">
            <w:pPr>
              <w:rPr>
                <w:rFonts w:ascii="宋体"/>
              </w:rPr>
            </w:pPr>
          </w:p>
        </w:tc>
        <w:tc>
          <w:tcPr>
            <w:tcW w:w="50" w:type="pct"/>
            <w:shd w:val="clear" w:color="auto" w:fill="auto"/>
            <w:vAlign w:val="bottom"/>
          </w:tcPr>
          <w:p w14:paraId="5902AF61" w14:textId="77777777" w:rsidR="0084406A" w:rsidRDefault="0084406A">
            <w:pPr>
              <w:rPr>
                <w:rFonts w:ascii="宋体"/>
              </w:rPr>
            </w:pPr>
          </w:p>
        </w:tc>
        <w:tc>
          <w:tcPr>
            <w:tcW w:w="800" w:type="pct"/>
            <w:shd w:val="clear" w:color="auto" w:fill="auto"/>
            <w:vAlign w:val="bottom"/>
          </w:tcPr>
          <w:p w14:paraId="5902AF62" w14:textId="77777777" w:rsidR="0084406A" w:rsidRDefault="0084406A">
            <w:pPr>
              <w:rPr>
                <w:rFonts w:ascii="宋体"/>
              </w:rPr>
            </w:pPr>
          </w:p>
        </w:tc>
        <w:tc>
          <w:tcPr>
            <w:tcW w:w="5" w:type="pct"/>
            <w:shd w:val="clear" w:color="auto" w:fill="auto"/>
            <w:vAlign w:val="bottom"/>
          </w:tcPr>
          <w:p w14:paraId="5902AF63" w14:textId="77777777" w:rsidR="0084406A" w:rsidRDefault="0084406A">
            <w:pPr>
              <w:rPr>
                <w:rFonts w:ascii="宋体"/>
              </w:rPr>
            </w:pPr>
          </w:p>
        </w:tc>
        <w:tc>
          <w:tcPr>
            <w:tcW w:w="5" w:type="pct"/>
            <w:shd w:val="clear" w:color="auto" w:fill="auto"/>
            <w:vAlign w:val="bottom"/>
          </w:tcPr>
          <w:p w14:paraId="5902AF64" w14:textId="77777777" w:rsidR="0084406A" w:rsidRDefault="0084406A">
            <w:pPr>
              <w:rPr>
                <w:rFonts w:ascii="宋体"/>
              </w:rPr>
            </w:pPr>
          </w:p>
        </w:tc>
        <w:tc>
          <w:tcPr>
            <w:tcW w:w="26" w:type="pct"/>
            <w:shd w:val="clear" w:color="auto" w:fill="auto"/>
            <w:vAlign w:val="bottom"/>
          </w:tcPr>
          <w:p w14:paraId="5902AF65" w14:textId="77777777" w:rsidR="0084406A" w:rsidRDefault="0084406A">
            <w:pPr>
              <w:rPr>
                <w:rFonts w:ascii="宋体"/>
              </w:rPr>
            </w:pPr>
          </w:p>
        </w:tc>
        <w:tc>
          <w:tcPr>
            <w:tcW w:w="5" w:type="pct"/>
            <w:shd w:val="clear" w:color="auto" w:fill="auto"/>
            <w:vAlign w:val="bottom"/>
          </w:tcPr>
          <w:p w14:paraId="5902AF66" w14:textId="77777777" w:rsidR="0084406A" w:rsidRDefault="0084406A">
            <w:pPr>
              <w:rPr>
                <w:rFonts w:ascii="宋体"/>
              </w:rPr>
            </w:pPr>
          </w:p>
        </w:tc>
        <w:tc>
          <w:tcPr>
            <w:tcW w:w="50" w:type="pct"/>
            <w:shd w:val="clear" w:color="auto" w:fill="auto"/>
            <w:vAlign w:val="bottom"/>
          </w:tcPr>
          <w:p w14:paraId="5902AF67" w14:textId="77777777" w:rsidR="0084406A" w:rsidRDefault="0084406A">
            <w:pPr>
              <w:rPr>
                <w:rFonts w:ascii="宋体"/>
              </w:rPr>
            </w:pPr>
          </w:p>
        </w:tc>
        <w:tc>
          <w:tcPr>
            <w:tcW w:w="800" w:type="pct"/>
            <w:shd w:val="clear" w:color="auto" w:fill="auto"/>
            <w:vAlign w:val="bottom"/>
          </w:tcPr>
          <w:p w14:paraId="5902AF68" w14:textId="77777777" w:rsidR="0084406A" w:rsidRDefault="0084406A">
            <w:pPr>
              <w:rPr>
                <w:rFonts w:ascii="宋体"/>
              </w:rPr>
            </w:pPr>
          </w:p>
        </w:tc>
        <w:tc>
          <w:tcPr>
            <w:tcW w:w="5" w:type="pct"/>
            <w:shd w:val="clear" w:color="auto" w:fill="auto"/>
            <w:vAlign w:val="bottom"/>
          </w:tcPr>
          <w:p w14:paraId="5902AF69" w14:textId="77777777" w:rsidR="0084406A" w:rsidRDefault="0084406A">
            <w:pPr>
              <w:rPr>
                <w:rFonts w:ascii="宋体"/>
              </w:rPr>
            </w:pPr>
          </w:p>
        </w:tc>
      </w:tr>
      <w:tr w:rsidR="0084406A" w14:paraId="5902AF6F" w14:textId="77777777">
        <w:tc>
          <w:tcPr>
            <w:tcW w:w="0" w:type="auto"/>
            <w:gridSpan w:val="3"/>
            <w:shd w:val="clear" w:color="auto" w:fill="auto"/>
            <w:tcMar>
              <w:top w:w="0" w:type="dxa"/>
              <w:left w:w="20" w:type="dxa"/>
              <w:bottom w:w="0" w:type="dxa"/>
              <w:right w:w="20" w:type="dxa"/>
            </w:tcMar>
            <w:vAlign w:val="bottom"/>
          </w:tcPr>
          <w:p w14:paraId="5902AF6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AF6C"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AF6D"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AF6E"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r>
            <w:r>
              <w:rPr>
                <w:rFonts w:ascii="Arial" w:eastAsia="宋体" w:hAnsi="Arial" w:cs="Arial"/>
                <w:b/>
                <w:bCs/>
                <w:color w:val="000000"/>
                <w:sz w:val="16"/>
                <w:szCs w:val="16"/>
              </w:rPr>
              <w:t>2020</w:t>
            </w:r>
          </w:p>
        </w:tc>
      </w:tr>
      <w:tr w:rsidR="0084406A" w14:paraId="5902AF72" w14:textId="77777777">
        <w:tc>
          <w:tcPr>
            <w:tcW w:w="0" w:type="auto"/>
            <w:gridSpan w:val="3"/>
            <w:shd w:val="clear" w:color="auto" w:fill="auto"/>
            <w:tcMar>
              <w:top w:w="40" w:type="dxa"/>
              <w:left w:w="20" w:type="dxa"/>
              <w:bottom w:w="40" w:type="dxa"/>
              <w:right w:w="20" w:type="dxa"/>
            </w:tcMar>
            <w:vAlign w:val="bottom"/>
          </w:tcPr>
          <w:p w14:paraId="5902AF70"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AF71"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AF77" w14:textId="77777777">
        <w:tc>
          <w:tcPr>
            <w:tcW w:w="0" w:type="auto"/>
            <w:gridSpan w:val="3"/>
            <w:shd w:val="clear" w:color="auto" w:fill="CCEEFF"/>
            <w:tcMar>
              <w:top w:w="40" w:type="dxa"/>
              <w:left w:w="20" w:type="dxa"/>
              <w:bottom w:w="40" w:type="dxa"/>
              <w:right w:w="20" w:type="dxa"/>
            </w:tcMar>
            <w:vAlign w:val="bottom"/>
          </w:tcPr>
          <w:p w14:paraId="5902AF73" w14:textId="77777777" w:rsidR="0084406A" w:rsidRDefault="002B18AF">
            <w:pPr>
              <w:textAlignment w:val="bottom"/>
            </w:pPr>
            <w:r>
              <w:rPr>
                <w:rFonts w:ascii="Arial" w:eastAsia="宋体" w:hAnsi="Arial" w:cs="Arial"/>
                <w:color w:val="000000"/>
                <w:sz w:val="20"/>
                <w:szCs w:val="20"/>
              </w:rPr>
              <w:t>Deferred tax assets:</w:t>
            </w:r>
          </w:p>
        </w:tc>
        <w:tc>
          <w:tcPr>
            <w:tcW w:w="0" w:type="auto"/>
            <w:gridSpan w:val="3"/>
            <w:shd w:val="clear" w:color="auto" w:fill="CCEEFF"/>
            <w:tcMar>
              <w:top w:w="0" w:type="dxa"/>
              <w:left w:w="20" w:type="dxa"/>
              <w:bottom w:w="0" w:type="dxa"/>
              <w:right w:w="20" w:type="dxa"/>
            </w:tcMar>
            <w:vAlign w:val="bottom"/>
          </w:tcPr>
          <w:p w14:paraId="5902AF74"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F75"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F76" w14:textId="77777777" w:rsidR="0084406A" w:rsidRDefault="0084406A">
            <w:pPr>
              <w:rPr>
                <w:rFonts w:ascii="宋体"/>
              </w:rPr>
            </w:pPr>
          </w:p>
        </w:tc>
      </w:tr>
      <w:tr w:rsidR="0084406A" w14:paraId="5902AF80" w14:textId="77777777">
        <w:tc>
          <w:tcPr>
            <w:tcW w:w="0" w:type="auto"/>
            <w:gridSpan w:val="3"/>
            <w:shd w:val="clear" w:color="auto" w:fill="FFFFFF"/>
            <w:tcMar>
              <w:top w:w="40" w:type="dxa"/>
              <w:left w:w="380" w:type="dxa"/>
              <w:bottom w:w="40" w:type="dxa"/>
              <w:right w:w="20" w:type="dxa"/>
            </w:tcMar>
            <w:vAlign w:val="bottom"/>
          </w:tcPr>
          <w:p w14:paraId="5902AF78" w14:textId="77777777" w:rsidR="0084406A" w:rsidRDefault="002B18AF">
            <w:pPr>
              <w:textAlignment w:val="bottom"/>
            </w:pPr>
            <w:r>
              <w:rPr>
                <w:rFonts w:ascii="Arial" w:eastAsia="宋体" w:hAnsi="Arial" w:cs="Arial"/>
                <w:color w:val="000000"/>
                <w:sz w:val="20"/>
                <w:szCs w:val="20"/>
              </w:rPr>
              <w:t>Net operating loss carryovers</w:t>
            </w:r>
          </w:p>
        </w:tc>
        <w:tc>
          <w:tcPr>
            <w:tcW w:w="0" w:type="auto"/>
            <w:shd w:val="clear" w:color="auto" w:fill="FFFFFF"/>
            <w:tcMar>
              <w:top w:w="40" w:type="dxa"/>
              <w:left w:w="20" w:type="dxa"/>
              <w:bottom w:w="40" w:type="dxa"/>
              <w:right w:w="0" w:type="dxa"/>
            </w:tcMar>
            <w:vAlign w:val="bottom"/>
          </w:tcPr>
          <w:p w14:paraId="5902AF7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F7A" w14:textId="77777777" w:rsidR="0084406A" w:rsidRDefault="002B18AF">
            <w:pPr>
              <w:jc w:val="right"/>
              <w:textAlignment w:val="bottom"/>
            </w:pPr>
            <w:r>
              <w:rPr>
                <w:rFonts w:ascii="Arial" w:eastAsia="宋体" w:hAnsi="Arial" w:cs="Arial"/>
                <w:color w:val="000000"/>
                <w:sz w:val="20"/>
                <w:szCs w:val="20"/>
              </w:rPr>
              <w:t>920 </w:t>
            </w:r>
          </w:p>
        </w:tc>
        <w:tc>
          <w:tcPr>
            <w:tcW w:w="0" w:type="auto"/>
            <w:shd w:val="clear" w:color="auto" w:fill="FFFFFF"/>
            <w:tcMar>
              <w:top w:w="40" w:type="dxa"/>
              <w:left w:w="0" w:type="dxa"/>
              <w:bottom w:w="40" w:type="dxa"/>
              <w:right w:w="20" w:type="dxa"/>
            </w:tcMar>
            <w:vAlign w:val="bottom"/>
          </w:tcPr>
          <w:p w14:paraId="5902AF7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7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AF7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AF7E" w14:textId="77777777" w:rsidR="0084406A" w:rsidRDefault="002B18AF">
            <w:pPr>
              <w:jc w:val="right"/>
              <w:textAlignment w:val="bottom"/>
            </w:pPr>
            <w:r>
              <w:rPr>
                <w:rFonts w:ascii="Arial" w:eastAsia="宋体" w:hAnsi="Arial" w:cs="Arial"/>
                <w:color w:val="000000"/>
                <w:sz w:val="20"/>
                <w:szCs w:val="20"/>
              </w:rPr>
              <w:t>1,029 </w:t>
            </w:r>
          </w:p>
        </w:tc>
        <w:tc>
          <w:tcPr>
            <w:tcW w:w="0" w:type="auto"/>
            <w:shd w:val="clear" w:color="auto" w:fill="FFFFFF"/>
            <w:tcMar>
              <w:top w:w="40" w:type="dxa"/>
              <w:left w:w="0" w:type="dxa"/>
              <w:bottom w:w="40" w:type="dxa"/>
              <w:right w:w="20" w:type="dxa"/>
            </w:tcMar>
            <w:vAlign w:val="bottom"/>
          </w:tcPr>
          <w:p w14:paraId="5902AF7F" w14:textId="77777777" w:rsidR="0084406A" w:rsidRDefault="0084406A">
            <w:pPr>
              <w:jc w:val="right"/>
              <w:rPr>
                <w:rFonts w:ascii="宋体"/>
              </w:rPr>
            </w:pPr>
          </w:p>
        </w:tc>
      </w:tr>
      <w:tr w:rsidR="0084406A" w14:paraId="5902AF87" w14:textId="77777777">
        <w:tc>
          <w:tcPr>
            <w:tcW w:w="0" w:type="auto"/>
            <w:gridSpan w:val="3"/>
            <w:shd w:val="clear" w:color="auto" w:fill="CCEEFF"/>
            <w:tcMar>
              <w:top w:w="40" w:type="dxa"/>
              <w:left w:w="380" w:type="dxa"/>
              <w:bottom w:w="40" w:type="dxa"/>
              <w:right w:w="20" w:type="dxa"/>
            </w:tcMar>
            <w:vAlign w:val="bottom"/>
          </w:tcPr>
          <w:p w14:paraId="5902AF81" w14:textId="77777777" w:rsidR="0084406A" w:rsidRDefault="002B18AF">
            <w:pPr>
              <w:textAlignment w:val="bottom"/>
            </w:pPr>
            <w:r>
              <w:rPr>
                <w:rFonts w:ascii="Arial" w:eastAsia="宋体" w:hAnsi="Arial" w:cs="Arial"/>
                <w:color w:val="000000"/>
                <w:sz w:val="20"/>
                <w:szCs w:val="20"/>
              </w:rPr>
              <w:t>Accruals and reserves not currently deductible</w:t>
            </w:r>
          </w:p>
        </w:tc>
        <w:tc>
          <w:tcPr>
            <w:tcW w:w="0" w:type="auto"/>
            <w:gridSpan w:val="2"/>
            <w:shd w:val="clear" w:color="auto" w:fill="CCEEFF"/>
            <w:tcMar>
              <w:top w:w="40" w:type="dxa"/>
              <w:left w:w="20" w:type="dxa"/>
              <w:bottom w:w="40" w:type="dxa"/>
              <w:right w:w="0" w:type="dxa"/>
            </w:tcMar>
            <w:vAlign w:val="bottom"/>
          </w:tcPr>
          <w:p w14:paraId="5902AF82" w14:textId="77777777" w:rsidR="0084406A" w:rsidRDefault="002B18AF">
            <w:pPr>
              <w:jc w:val="right"/>
              <w:textAlignment w:val="bottom"/>
            </w:pPr>
            <w:r>
              <w:rPr>
                <w:rFonts w:ascii="Arial" w:eastAsia="宋体" w:hAnsi="Arial" w:cs="Arial"/>
                <w:color w:val="000000"/>
                <w:sz w:val="20"/>
                <w:szCs w:val="20"/>
              </w:rPr>
              <w:t>631 </w:t>
            </w:r>
          </w:p>
        </w:tc>
        <w:tc>
          <w:tcPr>
            <w:tcW w:w="0" w:type="auto"/>
            <w:shd w:val="clear" w:color="auto" w:fill="CCEEFF"/>
            <w:tcMar>
              <w:top w:w="40" w:type="dxa"/>
              <w:left w:w="0" w:type="dxa"/>
              <w:bottom w:w="40" w:type="dxa"/>
              <w:right w:w="20" w:type="dxa"/>
            </w:tcMar>
            <w:vAlign w:val="bottom"/>
          </w:tcPr>
          <w:p w14:paraId="5902AF8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8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85" w14:textId="77777777" w:rsidR="0084406A" w:rsidRDefault="002B18AF">
            <w:pPr>
              <w:jc w:val="right"/>
              <w:textAlignment w:val="bottom"/>
            </w:pPr>
            <w:r>
              <w:rPr>
                <w:rFonts w:ascii="Arial" w:eastAsia="宋体" w:hAnsi="Arial" w:cs="Arial"/>
                <w:color w:val="000000"/>
                <w:sz w:val="20"/>
                <w:szCs w:val="20"/>
              </w:rPr>
              <w:t>514 </w:t>
            </w:r>
          </w:p>
        </w:tc>
        <w:tc>
          <w:tcPr>
            <w:tcW w:w="0" w:type="auto"/>
            <w:shd w:val="clear" w:color="auto" w:fill="CCEEFF"/>
            <w:tcMar>
              <w:top w:w="40" w:type="dxa"/>
              <w:left w:w="0" w:type="dxa"/>
              <w:bottom w:w="40" w:type="dxa"/>
              <w:right w:w="20" w:type="dxa"/>
            </w:tcMar>
            <w:vAlign w:val="bottom"/>
          </w:tcPr>
          <w:p w14:paraId="5902AF86" w14:textId="77777777" w:rsidR="0084406A" w:rsidRDefault="0084406A">
            <w:pPr>
              <w:jc w:val="right"/>
              <w:rPr>
                <w:rFonts w:ascii="宋体"/>
              </w:rPr>
            </w:pPr>
          </w:p>
        </w:tc>
      </w:tr>
      <w:tr w:rsidR="0084406A" w14:paraId="5902AF8E" w14:textId="77777777">
        <w:tc>
          <w:tcPr>
            <w:tcW w:w="0" w:type="auto"/>
            <w:gridSpan w:val="3"/>
            <w:shd w:val="clear" w:color="auto" w:fill="FFFFFF"/>
            <w:tcMar>
              <w:top w:w="40" w:type="dxa"/>
              <w:left w:w="380" w:type="dxa"/>
              <w:bottom w:w="40" w:type="dxa"/>
              <w:right w:w="20" w:type="dxa"/>
            </w:tcMar>
            <w:vAlign w:val="bottom"/>
          </w:tcPr>
          <w:p w14:paraId="5902AF88" w14:textId="77777777" w:rsidR="0084406A" w:rsidRDefault="002B18AF">
            <w:pPr>
              <w:textAlignment w:val="bottom"/>
            </w:pPr>
            <w:r>
              <w:rPr>
                <w:rFonts w:ascii="Arial" w:eastAsia="宋体" w:hAnsi="Arial" w:cs="Arial"/>
                <w:color w:val="000000"/>
                <w:sz w:val="20"/>
                <w:szCs w:val="20"/>
              </w:rPr>
              <w:t>Employee benefits not currently deductible</w:t>
            </w:r>
          </w:p>
        </w:tc>
        <w:tc>
          <w:tcPr>
            <w:tcW w:w="0" w:type="auto"/>
            <w:gridSpan w:val="2"/>
            <w:shd w:val="clear" w:color="auto" w:fill="FFFFFF"/>
            <w:tcMar>
              <w:top w:w="40" w:type="dxa"/>
              <w:left w:w="20" w:type="dxa"/>
              <w:bottom w:w="40" w:type="dxa"/>
              <w:right w:w="0" w:type="dxa"/>
            </w:tcMar>
            <w:vAlign w:val="bottom"/>
          </w:tcPr>
          <w:p w14:paraId="5902AF89" w14:textId="77777777" w:rsidR="0084406A" w:rsidRDefault="002B18AF">
            <w:pPr>
              <w:jc w:val="right"/>
              <w:textAlignment w:val="bottom"/>
            </w:pPr>
            <w:r>
              <w:rPr>
                <w:rFonts w:ascii="Arial" w:eastAsia="宋体" w:hAnsi="Arial" w:cs="Arial"/>
                <w:color w:val="000000"/>
                <w:sz w:val="20"/>
                <w:szCs w:val="20"/>
              </w:rPr>
              <w:t>164 </w:t>
            </w:r>
          </w:p>
        </w:tc>
        <w:tc>
          <w:tcPr>
            <w:tcW w:w="0" w:type="auto"/>
            <w:shd w:val="clear" w:color="auto" w:fill="FFFFFF"/>
            <w:tcMar>
              <w:top w:w="40" w:type="dxa"/>
              <w:left w:w="0" w:type="dxa"/>
              <w:bottom w:w="40" w:type="dxa"/>
              <w:right w:w="20" w:type="dxa"/>
            </w:tcMar>
            <w:vAlign w:val="bottom"/>
          </w:tcPr>
          <w:p w14:paraId="5902AF8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8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8C" w14:textId="77777777" w:rsidR="0084406A" w:rsidRDefault="002B18AF">
            <w:pPr>
              <w:jc w:val="right"/>
              <w:textAlignment w:val="bottom"/>
            </w:pPr>
            <w:r>
              <w:rPr>
                <w:rFonts w:ascii="Arial" w:eastAsia="宋体" w:hAnsi="Arial" w:cs="Arial"/>
                <w:color w:val="000000"/>
                <w:sz w:val="20"/>
                <w:szCs w:val="20"/>
              </w:rPr>
              <w:t>122 </w:t>
            </w:r>
          </w:p>
        </w:tc>
        <w:tc>
          <w:tcPr>
            <w:tcW w:w="0" w:type="auto"/>
            <w:shd w:val="clear" w:color="auto" w:fill="FFFFFF"/>
            <w:tcMar>
              <w:top w:w="40" w:type="dxa"/>
              <w:left w:w="0" w:type="dxa"/>
              <w:bottom w:w="40" w:type="dxa"/>
              <w:right w:w="20" w:type="dxa"/>
            </w:tcMar>
            <w:vAlign w:val="bottom"/>
          </w:tcPr>
          <w:p w14:paraId="5902AF8D" w14:textId="77777777" w:rsidR="0084406A" w:rsidRDefault="0084406A">
            <w:pPr>
              <w:jc w:val="right"/>
              <w:rPr>
                <w:rFonts w:ascii="宋体"/>
              </w:rPr>
            </w:pPr>
          </w:p>
        </w:tc>
      </w:tr>
      <w:tr w:rsidR="0084406A" w14:paraId="5902AF95" w14:textId="77777777">
        <w:tc>
          <w:tcPr>
            <w:tcW w:w="0" w:type="auto"/>
            <w:gridSpan w:val="3"/>
            <w:shd w:val="clear" w:color="auto" w:fill="CCEEFF"/>
            <w:tcMar>
              <w:top w:w="40" w:type="dxa"/>
              <w:left w:w="380" w:type="dxa"/>
              <w:bottom w:w="40" w:type="dxa"/>
              <w:right w:w="20" w:type="dxa"/>
            </w:tcMar>
            <w:vAlign w:val="bottom"/>
          </w:tcPr>
          <w:p w14:paraId="5902AF8F" w14:textId="77777777" w:rsidR="0084406A" w:rsidRDefault="002B18AF">
            <w:pPr>
              <w:textAlignment w:val="bottom"/>
            </w:pPr>
            <w:r>
              <w:rPr>
                <w:rFonts w:ascii="Arial" w:eastAsia="宋体" w:hAnsi="Arial" w:cs="Arial"/>
                <w:color w:val="000000"/>
                <w:sz w:val="20"/>
                <w:szCs w:val="20"/>
              </w:rPr>
              <w:t xml:space="preserve">Federal and state tax credit </w:t>
            </w:r>
            <w:r>
              <w:rPr>
                <w:rFonts w:ascii="Arial" w:eastAsia="宋体" w:hAnsi="Arial" w:cs="Arial"/>
                <w:color w:val="000000"/>
                <w:sz w:val="20"/>
                <w:szCs w:val="20"/>
              </w:rPr>
              <w:t>carryovers</w:t>
            </w:r>
          </w:p>
        </w:tc>
        <w:tc>
          <w:tcPr>
            <w:tcW w:w="0" w:type="auto"/>
            <w:gridSpan w:val="2"/>
            <w:shd w:val="clear" w:color="auto" w:fill="CCEEFF"/>
            <w:tcMar>
              <w:top w:w="40" w:type="dxa"/>
              <w:left w:w="20" w:type="dxa"/>
              <w:bottom w:w="40" w:type="dxa"/>
              <w:right w:w="0" w:type="dxa"/>
            </w:tcMar>
            <w:vAlign w:val="bottom"/>
          </w:tcPr>
          <w:p w14:paraId="5902AF90" w14:textId="77777777" w:rsidR="0084406A" w:rsidRDefault="002B18AF">
            <w:pPr>
              <w:jc w:val="right"/>
              <w:textAlignment w:val="bottom"/>
            </w:pPr>
            <w:r>
              <w:rPr>
                <w:rFonts w:ascii="Arial" w:eastAsia="宋体" w:hAnsi="Arial" w:cs="Arial"/>
                <w:color w:val="000000"/>
                <w:sz w:val="20"/>
                <w:szCs w:val="20"/>
              </w:rPr>
              <w:t>319 </w:t>
            </w:r>
          </w:p>
        </w:tc>
        <w:tc>
          <w:tcPr>
            <w:tcW w:w="0" w:type="auto"/>
            <w:shd w:val="clear" w:color="auto" w:fill="CCEEFF"/>
            <w:tcMar>
              <w:top w:w="40" w:type="dxa"/>
              <w:left w:w="0" w:type="dxa"/>
              <w:bottom w:w="40" w:type="dxa"/>
              <w:right w:w="20" w:type="dxa"/>
            </w:tcMar>
            <w:vAlign w:val="bottom"/>
          </w:tcPr>
          <w:p w14:paraId="5902AF9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9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93" w14:textId="77777777" w:rsidR="0084406A" w:rsidRDefault="002B18AF">
            <w:pPr>
              <w:jc w:val="right"/>
              <w:textAlignment w:val="bottom"/>
            </w:pPr>
            <w:r>
              <w:rPr>
                <w:rFonts w:ascii="Arial" w:eastAsia="宋体" w:hAnsi="Arial" w:cs="Arial"/>
                <w:color w:val="000000"/>
                <w:sz w:val="20"/>
                <w:szCs w:val="20"/>
              </w:rPr>
              <w:t>569 </w:t>
            </w:r>
          </w:p>
        </w:tc>
        <w:tc>
          <w:tcPr>
            <w:tcW w:w="0" w:type="auto"/>
            <w:shd w:val="clear" w:color="auto" w:fill="CCEEFF"/>
            <w:tcMar>
              <w:top w:w="40" w:type="dxa"/>
              <w:left w:w="0" w:type="dxa"/>
              <w:bottom w:w="40" w:type="dxa"/>
              <w:right w:w="20" w:type="dxa"/>
            </w:tcMar>
            <w:vAlign w:val="bottom"/>
          </w:tcPr>
          <w:p w14:paraId="5902AF94" w14:textId="77777777" w:rsidR="0084406A" w:rsidRDefault="0084406A">
            <w:pPr>
              <w:jc w:val="right"/>
              <w:rPr>
                <w:rFonts w:ascii="宋体"/>
              </w:rPr>
            </w:pPr>
          </w:p>
        </w:tc>
      </w:tr>
      <w:tr w:rsidR="0084406A" w14:paraId="5902AF9C" w14:textId="77777777">
        <w:tc>
          <w:tcPr>
            <w:tcW w:w="0" w:type="auto"/>
            <w:gridSpan w:val="3"/>
            <w:shd w:val="clear" w:color="auto" w:fill="FFFFFF"/>
            <w:tcMar>
              <w:top w:w="40" w:type="dxa"/>
              <w:left w:w="380" w:type="dxa"/>
              <w:bottom w:w="40" w:type="dxa"/>
              <w:right w:w="20" w:type="dxa"/>
            </w:tcMar>
            <w:vAlign w:val="bottom"/>
          </w:tcPr>
          <w:p w14:paraId="5902AF96" w14:textId="77777777" w:rsidR="0084406A" w:rsidRDefault="002B18AF">
            <w:pPr>
              <w:textAlignment w:val="bottom"/>
            </w:pPr>
            <w:r>
              <w:rPr>
                <w:rFonts w:ascii="Arial" w:eastAsia="宋体" w:hAnsi="Arial" w:cs="Arial"/>
                <w:color w:val="000000"/>
                <w:sz w:val="20"/>
                <w:szCs w:val="20"/>
              </w:rPr>
              <w:t>Foreign research and development ITC credits</w:t>
            </w:r>
          </w:p>
        </w:tc>
        <w:tc>
          <w:tcPr>
            <w:tcW w:w="0" w:type="auto"/>
            <w:gridSpan w:val="2"/>
            <w:shd w:val="clear" w:color="auto" w:fill="FFFFFF"/>
            <w:tcMar>
              <w:top w:w="40" w:type="dxa"/>
              <w:left w:w="20" w:type="dxa"/>
              <w:bottom w:w="40" w:type="dxa"/>
              <w:right w:w="0" w:type="dxa"/>
            </w:tcMar>
            <w:vAlign w:val="bottom"/>
          </w:tcPr>
          <w:p w14:paraId="5902AF97" w14:textId="77777777" w:rsidR="0084406A" w:rsidRDefault="002B18AF">
            <w:pPr>
              <w:jc w:val="right"/>
              <w:textAlignment w:val="bottom"/>
            </w:pPr>
            <w:r>
              <w:rPr>
                <w:rFonts w:ascii="Arial" w:eastAsia="宋体" w:hAnsi="Arial" w:cs="Arial"/>
                <w:color w:val="000000"/>
                <w:sz w:val="20"/>
                <w:szCs w:val="20"/>
              </w:rPr>
              <w:t>547 </w:t>
            </w:r>
          </w:p>
        </w:tc>
        <w:tc>
          <w:tcPr>
            <w:tcW w:w="0" w:type="auto"/>
            <w:shd w:val="clear" w:color="auto" w:fill="FFFFFF"/>
            <w:tcMar>
              <w:top w:w="40" w:type="dxa"/>
              <w:left w:w="0" w:type="dxa"/>
              <w:bottom w:w="40" w:type="dxa"/>
              <w:right w:w="20" w:type="dxa"/>
            </w:tcMar>
            <w:vAlign w:val="bottom"/>
          </w:tcPr>
          <w:p w14:paraId="5902AF9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9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9A" w14:textId="77777777" w:rsidR="0084406A" w:rsidRDefault="002B18AF">
            <w:pPr>
              <w:jc w:val="right"/>
              <w:textAlignment w:val="bottom"/>
            </w:pPr>
            <w:r>
              <w:rPr>
                <w:rFonts w:ascii="Arial" w:eastAsia="宋体" w:hAnsi="Arial" w:cs="Arial"/>
                <w:color w:val="000000"/>
                <w:sz w:val="20"/>
                <w:szCs w:val="20"/>
              </w:rPr>
              <w:t>489 </w:t>
            </w:r>
          </w:p>
        </w:tc>
        <w:tc>
          <w:tcPr>
            <w:tcW w:w="0" w:type="auto"/>
            <w:shd w:val="clear" w:color="auto" w:fill="FFFFFF"/>
            <w:tcMar>
              <w:top w:w="40" w:type="dxa"/>
              <w:left w:w="0" w:type="dxa"/>
              <w:bottom w:w="40" w:type="dxa"/>
              <w:right w:w="20" w:type="dxa"/>
            </w:tcMar>
            <w:vAlign w:val="bottom"/>
          </w:tcPr>
          <w:p w14:paraId="5902AF9B" w14:textId="77777777" w:rsidR="0084406A" w:rsidRDefault="0084406A">
            <w:pPr>
              <w:jc w:val="right"/>
              <w:rPr>
                <w:rFonts w:ascii="宋体"/>
              </w:rPr>
            </w:pPr>
          </w:p>
        </w:tc>
      </w:tr>
      <w:tr w:rsidR="0084406A" w14:paraId="5902AFA3" w14:textId="77777777">
        <w:tc>
          <w:tcPr>
            <w:tcW w:w="0" w:type="auto"/>
            <w:gridSpan w:val="3"/>
            <w:shd w:val="clear" w:color="auto" w:fill="CCEEFF"/>
            <w:tcMar>
              <w:top w:w="40" w:type="dxa"/>
              <w:left w:w="380" w:type="dxa"/>
              <w:bottom w:w="40" w:type="dxa"/>
              <w:right w:w="20" w:type="dxa"/>
            </w:tcMar>
            <w:vAlign w:val="bottom"/>
          </w:tcPr>
          <w:p w14:paraId="5902AF9D" w14:textId="77777777" w:rsidR="0084406A" w:rsidRDefault="002B18AF">
            <w:pPr>
              <w:textAlignment w:val="bottom"/>
            </w:pPr>
            <w:r>
              <w:rPr>
                <w:rFonts w:ascii="Arial" w:eastAsia="宋体" w:hAnsi="Arial" w:cs="Arial"/>
                <w:color w:val="000000"/>
                <w:sz w:val="20"/>
                <w:szCs w:val="20"/>
              </w:rPr>
              <w:t>Capitalized costs</w:t>
            </w:r>
          </w:p>
        </w:tc>
        <w:tc>
          <w:tcPr>
            <w:tcW w:w="0" w:type="auto"/>
            <w:gridSpan w:val="2"/>
            <w:shd w:val="clear" w:color="auto" w:fill="CCEEFF"/>
            <w:tcMar>
              <w:top w:w="40" w:type="dxa"/>
              <w:left w:w="20" w:type="dxa"/>
              <w:bottom w:w="40" w:type="dxa"/>
              <w:right w:w="0" w:type="dxa"/>
            </w:tcMar>
            <w:vAlign w:val="bottom"/>
          </w:tcPr>
          <w:p w14:paraId="5902AF9E" w14:textId="77777777" w:rsidR="0084406A" w:rsidRDefault="002B18AF">
            <w:pPr>
              <w:jc w:val="right"/>
              <w:textAlignment w:val="bottom"/>
            </w:pPr>
            <w:r>
              <w:rPr>
                <w:rFonts w:ascii="Arial" w:eastAsia="宋体" w:hAnsi="Arial" w:cs="Arial"/>
                <w:color w:val="000000"/>
                <w:sz w:val="20"/>
                <w:szCs w:val="20"/>
              </w:rPr>
              <w:t>121 </w:t>
            </w:r>
          </w:p>
        </w:tc>
        <w:tc>
          <w:tcPr>
            <w:tcW w:w="0" w:type="auto"/>
            <w:shd w:val="clear" w:color="auto" w:fill="CCEEFF"/>
            <w:tcMar>
              <w:top w:w="40" w:type="dxa"/>
              <w:left w:w="0" w:type="dxa"/>
              <w:bottom w:w="40" w:type="dxa"/>
              <w:right w:w="20" w:type="dxa"/>
            </w:tcMar>
            <w:vAlign w:val="bottom"/>
          </w:tcPr>
          <w:p w14:paraId="5902AF9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A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A1" w14:textId="77777777" w:rsidR="0084406A" w:rsidRDefault="002B18AF">
            <w:pPr>
              <w:jc w:val="right"/>
              <w:textAlignment w:val="bottom"/>
            </w:pPr>
            <w:r>
              <w:rPr>
                <w:rFonts w:ascii="Arial" w:eastAsia="宋体" w:hAnsi="Arial" w:cs="Arial"/>
                <w:color w:val="000000"/>
                <w:sz w:val="20"/>
                <w:szCs w:val="20"/>
              </w:rPr>
              <w:t>174 </w:t>
            </w:r>
          </w:p>
        </w:tc>
        <w:tc>
          <w:tcPr>
            <w:tcW w:w="0" w:type="auto"/>
            <w:shd w:val="clear" w:color="auto" w:fill="CCEEFF"/>
            <w:tcMar>
              <w:top w:w="40" w:type="dxa"/>
              <w:left w:w="0" w:type="dxa"/>
              <w:bottom w:w="40" w:type="dxa"/>
              <w:right w:w="20" w:type="dxa"/>
            </w:tcMar>
            <w:vAlign w:val="bottom"/>
          </w:tcPr>
          <w:p w14:paraId="5902AFA2" w14:textId="77777777" w:rsidR="0084406A" w:rsidRDefault="0084406A">
            <w:pPr>
              <w:jc w:val="right"/>
              <w:rPr>
                <w:rFonts w:ascii="宋体"/>
              </w:rPr>
            </w:pPr>
          </w:p>
        </w:tc>
      </w:tr>
      <w:tr w:rsidR="0084406A" w14:paraId="5902AFAA" w14:textId="77777777">
        <w:tc>
          <w:tcPr>
            <w:tcW w:w="0" w:type="auto"/>
            <w:gridSpan w:val="3"/>
            <w:shd w:val="clear" w:color="auto" w:fill="FFFFFF"/>
            <w:tcMar>
              <w:top w:w="40" w:type="dxa"/>
              <w:left w:w="380" w:type="dxa"/>
              <w:bottom w:w="40" w:type="dxa"/>
              <w:right w:w="20" w:type="dxa"/>
            </w:tcMar>
            <w:vAlign w:val="bottom"/>
          </w:tcPr>
          <w:p w14:paraId="5902AFA4" w14:textId="77777777" w:rsidR="0084406A" w:rsidRDefault="002B18AF">
            <w:pPr>
              <w:textAlignment w:val="bottom"/>
            </w:pPr>
            <w:r>
              <w:rPr>
                <w:rFonts w:ascii="Arial" w:eastAsia="宋体" w:hAnsi="Arial" w:cs="Arial"/>
                <w:color w:val="000000"/>
                <w:sz w:val="20"/>
                <w:szCs w:val="20"/>
              </w:rPr>
              <w:t>Lease liability</w:t>
            </w:r>
          </w:p>
        </w:tc>
        <w:tc>
          <w:tcPr>
            <w:tcW w:w="0" w:type="auto"/>
            <w:gridSpan w:val="2"/>
            <w:shd w:val="clear" w:color="auto" w:fill="FFFFFF"/>
            <w:tcMar>
              <w:top w:w="40" w:type="dxa"/>
              <w:left w:w="20" w:type="dxa"/>
              <w:bottom w:w="40" w:type="dxa"/>
              <w:right w:w="0" w:type="dxa"/>
            </w:tcMar>
            <w:vAlign w:val="bottom"/>
          </w:tcPr>
          <w:p w14:paraId="5902AFA5" w14:textId="77777777" w:rsidR="0084406A" w:rsidRDefault="002B18AF">
            <w:pPr>
              <w:jc w:val="right"/>
              <w:textAlignment w:val="bottom"/>
            </w:pPr>
            <w:r>
              <w:rPr>
                <w:rFonts w:ascii="Arial" w:eastAsia="宋体" w:hAnsi="Arial" w:cs="Arial"/>
                <w:color w:val="000000"/>
                <w:sz w:val="20"/>
                <w:szCs w:val="20"/>
              </w:rPr>
              <w:t>124 </w:t>
            </w:r>
          </w:p>
        </w:tc>
        <w:tc>
          <w:tcPr>
            <w:tcW w:w="0" w:type="auto"/>
            <w:shd w:val="clear" w:color="auto" w:fill="FFFFFF"/>
            <w:tcMar>
              <w:top w:w="40" w:type="dxa"/>
              <w:left w:w="0" w:type="dxa"/>
              <w:bottom w:w="40" w:type="dxa"/>
              <w:right w:w="20" w:type="dxa"/>
            </w:tcMar>
            <w:vAlign w:val="bottom"/>
          </w:tcPr>
          <w:p w14:paraId="5902AFA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A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A8" w14:textId="77777777" w:rsidR="0084406A" w:rsidRDefault="002B18AF">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5902AFA9" w14:textId="77777777" w:rsidR="0084406A" w:rsidRDefault="0084406A">
            <w:pPr>
              <w:jc w:val="right"/>
              <w:rPr>
                <w:rFonts w:ascii="宋体"/>
              </w:rPr>
            </w:pPr>
          </w:p>
        </w:tc>
      </w:tr>
      <w:tr w:rsidR="0084406A" w14:paraId="5902AFB1" w14:textId="77777777">
        <w:tc>
          <w:tcPr>
            <w:tcW w:w="0" w:type="auto"/>
            <w:gridSpan w:val="3"/>
            <w:shd w:val="clear" w:color="auto" w:fill="CCEEFF"/>
            <w:tcMar>
              <w:top w:w="40" w:type="dxa"/>
              <w:left w:w="380" w:type="dxa"/>
              <w:bottom w:w="40" w:type="dxa"/>
              <w:right w:w="20" w:type="dxa"/>
            </w:tcMar>
            <w:vAlign w:val="bottom"/>
          </w:tcPr>
          <w:p w14:paraId="5902AFAB" w14:textId="77777777" w:rsidR="0084406A" w:rsidRDefault="002B18AF">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5902AFAC" w14:textId="77777777" w:rsidR="0084406A" w:rsidRDefault="002B18AF">
            <w:pPr>
              <w:jc w:val="right"/>
              <w:textAlignment w:val="bottom"/>
            </w:pPr>
            <w:r>
              <w:rPr>
                <w:rFonts w:ascii="Arial" w:eastAsia="宋体" w:hAnsi="Arial" w:cs="Arial"/>
                <w:color w:val="000000"/>
                <w:sz w:val="20"/>
                <w:szCs w:val="20"/>
              </w:rPr>
              <w:t>27 </w:t>
            </w:r>
          </w:p>
        </w:tc>
        <w:tc>
          <w:tcPr>
            <w:tcW w:w="0" w:type="auto"/>
            <w:shd w:val="clear" w:color="auto" w:fill="CCEEFF"/>
            <w:tcMar>
              <w:top w:w="40" w:type="dxa"/>
              <w:left w:w="0" w:type="dxa"/>
              <w:bottom w:w="40" w:type="dxa"/>
              <w:right w:w="20" w:type="dxa"/>
            </w:tcMar>
            <w:vAlign w:val="bottom"/>
          </w:tcPr>
          <w:p w14:paraId="5902AFA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A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AF" w14:textId="77777777" w:rsidR="0084406A" w:rsidRDefault="002B18AF">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5902AFB0" w14:textId="77777777" w:rsidR="0084406A" w:rsidRDefault="0084406A">
            <w:pPr>
              <w:jc w:val="right"/>
              <w:rPr>
                <w:rFonts w:ascii="宋体"/>
              </w:rPr>
            </w:pPr>
          </w:p>
        </w:tc>
      </w:tr>
      <w:tr w:rsidR="0084406A" w14:paraId="5902AFB8" w14:textId="77777777">
        <w:tc>
          <w:tcPr>
            <w:tcW w:w="0" w:type="auto"/>
            <w:gridSpan w:val="3"/>
            <w:shd w:val="clear" w:color="auto" w:fill="FFFFFF"/>
            <w:tcMar>
              <w:top w:w="40" w:type="dxa"/>
              <w:left w:w="740" w:type="dxa"/>
              <w:bottom w:w="40" w:type="dxa"/>
              <w:right w:w="20" w:type="dxa"/>
            </w:tcMar>
            <w:vAlign w:val="bottom"/>
          </w:tcPr>
          <w:p w14:paraId="5902AFB2" w14:textId="77777777" w:rsidR="0084406A" w:rsidRDefault="002B18AF">
            <w:pPr>
              <w:textAlignment w:val="bottom"/>
            </w:pPr>
            <w:r>
              <w:rPr>
                <w:rFonts w:ascii="Arial" w:eastAsia="宋体" w:hAnsi="Arial" w:cs="Arial"/>
                <w:color w:val="000000"/>
                <w:sz w:val="20"/>
                <w:szCs w:val="20"/>
              </w:rPr>
              <w:t>Total 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FB3" w14:textId="77777777" w:rsidR="0084406A" w:rsidRDefault="002B18AF">
            <w:pPr>
              <w:jc w:val="right"/>
              <w:textAlignment w:val="bottom"/>
            </w:pPr>
            <w:r>
              <w:rPr>
                <w:rFonts w:ascii="Arial" w:eastAsia="宋体" w:hAnsi="Arial" w:cs="Arial"/>
                <w:color w:val="000000"/>
                <w:sz w:val="20"/>
                <w:szCs w:val="20"/>
              </w:rPr>
              <w:t>2,853 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FB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B5"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FB6" w14:textId="77777777" w:rsidR="0084406A" w:rsidRDefault="002B18AF">
            <w:pPr>
              <w:jc w:val="right"/>
              <w:textAlignment w:val="bottom"/>
            </w:pPr>
            <w:r>
              <w:rPr>
                <w:rFonts w:ascii="Arial" w:eastAsia="宋体" w:hAnsi="Arial" w:cs="Arial"/>
                <w:color w:val="000000"/>
                <w:sz w:val="20"/>
                <w:szCs w:val="20"/>
              </w:rPr>
              <w:t>2,998 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FB7" w14:textId="77777777" w:rsidR="0084406A" w:rsidRDefault="0084406A">
            <w:pPr>
              <w:jc w:val="right"/>
              <w:rPr>
                <w:rFonts w:ascii="宋体"/>
              </w:rPr>
            </w:pPr>
          </w:p>
        </w:tc>
      </w:tr>
      <w:tr w:rsidR="0084406A" w14:paraId="5902AFBF" w14:textId="77777777">
        <w:tc>
          <w:tcPr>
            <w:tcW w:w="0" w:type="auto"/>
            <w:gridSpan w:val="3"/>
            <w:shd w:val="clear" w:color="auto" w:fill="CCEEFF"/>
            <w:tcMar>
              <w:top w:w="40" w:type="dxa"/>
              <w:left w:w="380" w:type="dxa"/>
              <w:bottom w:w="40" w:type="dxa"/>
              <w:right w:w="20" w:type="dxa"/>
            </w:tcMar>
            <w:vAlign w:val="bottom"/>
          </w:tcPr>
          <w:p w14:paraId="5902AFB9" w14:textId="77777777" w:rsidR="0084406A" w:rsidRDefault="002B18AF">
            <w:pPr>
              <w:textAlignment w:val="bottom"/>
            </w:pPr>
            <w:r>
              <w:rPr>
                <w:rFonts w:ascii="Arial" w:eastAsia="宋体" w:hAnsi="Arial" w:cs="Arial"/>
                <w:color w:val="000000"/>
                <w:sz w:val="20"/>
                <w:szCs w:val="20"/>
              </w:rPr>
              <w:t>Less: valuation allowance</w:t>
            </w:r>
          </w:p>
        </w:tc>
        <w:tc>
          <w:tcPr>
            <w:tcW w:w="0" w:type="auto"/>
            <w:gridSpan w:val="2"/>
            <w:shd w:val="clear" w:color="auto" w:fill="CCEEFF"/>
            <w:tcMar>
              <w:top w:w="40" w:type="dxa"/>
              <w:left w:w="20" w:type="dxa"/>
              <w:bottom w:w="40" w:type="dxa"/>
              <w:right w:w="0" w:type="dxa"/>
            </w:tcMar>
            <w:vAlign w:val="bottom"/>
          </w:tcPr>
          <w:p w14:paraId="5902AFBA" w14:textId="77777777" w:rsidR="0084406A" w:rsidRDefault="002B18AF">
            <w:pPr>
              <w:jc w:val="right"/>
              <w:textAlignment w:val="bottom"/>
            </w:pPr>
            <w:r>
              <w:rPr>
                <w:rFonts w:ascii="Arial" w:eastAsia="宋体" w:hAnsi="Arial" w:cs="Arial"/>
                <w:color w:val="000000"/>
                <w:sz w:val="20"/>
                <w:szCs w:val="20"/>
              </w:rPr>
              <w:t>(1,735)</w:t>
            </w:r>
          </w:p>
        </w:tc>
        <w:tc>
          <w:tcPr>
            <w:tcW w:w="0" w:type="auto"/>
            <w:shd w:val="clear" w:color="auto" w:fill="CCEEFF"/>
            <w:tcMar>
              <w:top w:w="40" w:type="dxa"/>
              <w:left w:w="0" w:type="dxa"/>
              <w:bottom w:w="40" w:type="dxa"/>
              <w:right w:w="20" w:type="dxa"/>
            </w:tcMar>
            <w:vAlign w:val="bottom"/>
          </w:tcPr>
          <w:p w14:paraId="5902AFBB"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BC"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BD" w14:textId="77777777" w:rsidR="0084406A" w:rsidRDefault="002B18AF">
            <w:pPr>
              <w:jc w:val="right"/>
              <w:textAlignment w:val="bottom"/>
            </w:pPr>
            <w:r>
              <w:rPr>
                <w:rFonts w:ascii="Arial" w:eastAsia="宋体" w:hAnsi="Arial" w:cs="Arial"/>
                <w:color w:val="000000"/>
                <w:sz w:val="20"/>
                <w:szCs w:val="20"/>
              </w:rPr>
              <w:t>(1,576)</w:t>
            </w:r>
          </w:p>
        </w:tc>
        <w:tc>
          <w:tcPr>
            <w:tcW w:w="0" w:type="auto"/>
            <w:shd w:val="clear" w:color="auto" w:fill="CCEEFF"/>
            <w:tcMar>
              <w:top w:w="40" w:type="dxa"/>
              <w:left w:w="0" w:type="dxa"/>
              <w:bottom w:w="40" w:type="dxa"/>
              <w:right w:w="20" w:type="dxa"/>
            </w:tcMar>
            <w:vAlign w:val="bottom"/>
          </w:tcPr>
          <w:p w14:paraId="5902AFBE" w14:textId="77777777" w:rsidR="0084406A" w:rsidRDefault="0084406A">
            <w:pPr>
              <w:jc w:val="right"/>
              <w:rPr>
                <w:rFonts w:ascii="宋体"/>
              </w:rPr>
            </w:pPr>
          </w:p>
        </w:tc>
      </w:tr>
      <w:tr w:rsidR="0084406A" w14:paraId="5902AFC6" w14:textId="77777777">
        <w:tc>
          <w:tcPr>
            <w:tcW w:w="0" w:type="auto"/>
            <w:gridSpan w:val="3"/>
            <w:shd w:val="clear" w:color="auto" w:fill="FFFFFF"/>
            <w:tcMar>
              <w:top w:w="40" w:type="dxa"/>
              <w:left w:w="740" w:type="dxa"/>
              <w:bottom w:w="40" w:type="dxa"/>
              <w:right w:w="20" w:type="dxa"/>
            </w:tcMar>
            <w:vAlign w:val="bottom"/>
          </w:tcPr>
          <w:p w14:paraId="5902AFC0" w14:textId="77777777" w:rsidR="0084406A" w:rsidRDefault="002B18AF">
            <w:pPr>
              <w:textAlignment w:val="bottom"/>
            </w:pPr>
            <w:r>
              <w:rPr>
                <w:rFonts w:ascii="Arial" w:eastAsia="宋体" w:hAnsi="Arial" w:cs="Arial"/>
                <w:color w:val="000000"/>
                <w:sz w:val="20"/>
                <w:szCs w:val="20"/>
              </w:rPr>
              <w:t>Total deferred tax assets, net of valuation allowance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FC1" w14:textId="77777777" w:rsidR="0084406A" w:rsidRDefault="002B18AF">
            <w:pPr>
              <w:jc w:val="right"/>
              <w:textAlignment w:val="bottom"/>
            </w:pPr>
            <w:r>
              <w:rPr>
                <w:rFonts w:ascii="Arial" w:eastAsia="宋体" w:hAnsi="Arial" w:cs="Arial"/>
                <w:color w:val="000000"/>
                <w:sz w:val="20"/>
                <w:szCs w:val="20"/>
              </w:rPr>
              <w:t>1,118 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FC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C3" w14:textId="77777777" w:rsidR="0084406A" w:rsidRDefault="0084406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902AFC4" w14:textId="77777777" w:rsidR="0084406A" w:rsidRDefault="002B18AF">
            <w:pPr>
              <w:jc w:val="right"/>
              <w:textAlignment w:val="bottom"/>
            </w:pPr>
            <w:r>
              <w:rPr>
                <w:rFonts w:ascii="Arial" w:eastAsia="宋体" w:hAnsi="Arial" w:cs="Arial"/>
                <w:color w:val="000000"/>
                <w:sz w:val="20"/>
                <w:szCs w:val="20"/>
              </w:rPr>
              <w:t>1,422 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AFC5" w14:textId="77777777" w:rsidR="0084406A" w:rsidRDefault="0084406A">
            <w:pPr>
              <w:jc w:val="right"/>
              <w:rPr>
                <w:rFonts w:ascii="宋体"/>
              </w:rPr>
            </w:pPr>
          </w:p>
        </w:tc>
      </w:tr>
      <w:tr w:rsidR="0084406A" w14:paraId="5902AFCB" w14:textId="77777777">
        <w:tc>
          <w:tcPr>
            <w:tcW w:w="0" w:type="auto"/>
            <w:gridSpan w:val="3"/>
            <w:shd w:val="clear" w:color="auto" w:fill="CCEEFF"/>
            <w:tcMar>
              <w:top w:w="40" w:type="dxa"/>
              <w:left w:w="20" w:type="dxa"/>
              <w:bottom w:w="40" w:type="dxa"/>
              <w:right w:w="20" w:type="dxa"/>
            </w:tcMar>
            <w:vAlign w:val="bottom"/>
          </w:tcPr>
          <w:p w14:paraId="5902AFC7" w14:textId="77777777" w:rsidR="0084406A" w:rsidRDefault="002B18AF">
            <w:pPr>
              <w:textAlignment w:val="bottom"/>
            </w:pPr>
            <w:r>
              <w:rPr>
                <w:rFonts w:ascii="Arial" w:eastAsia="宋体" w:hAnsi="Arial" w:cs="Arial"/>
                <w:color w:val="000000"/>
                <w:sz w:val="20"/>
                <w:szCs w:val="20"/>
              </w:rPr>
              <w:t>Deferred tax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FC8"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AFC9" w14:textId="77777777" w:rsidR="0084406A" w:rsidRDefault="0084406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902AFCA" w14:textId="77777777" w:rsidR="0084406A" w:rsidRDefault="0084406A">
            <w:pPr>
              <w:rPr>
                <w:rFonts w:ascii="宋体"/>
              </w:rPr>
            </w:pPr>
          </w:p>
        </w:tc>
      </w:tr>
      <w:tr w:rsidR="0084406A" w14:paraId="5902AFD2" w14:textId="77777777">
        <w:tc>
          <w:tcPr>
            <w:tcW w:w="0" w:type="auto"/>
            <w:gridSpan w:val="3"/>
            <w:shd w:val="clear" w:color="auto" w:fill="FFFFFF"/>
            <w:tcMar>
              <w:top w:w="40" w:type="dxa"/>
              <w:left w:w="380" w:type="dxa"/>
              <w:bottom w:w="40" w:type="dxa"/>
              <w:right w:w="20" w:type="dxa"/>
            </w:tcMar>
            <w:vAlign w:val="bottom"/>
          </w:tcPr>
          <w:p w14:paraId="5902AFCC" w14:textId="77777777" w:rsidR="0084406A" w:rsidRDefault="002B18AF">
            <w:pPr>
              <w:textAlignment w:val="bottom"/>
            </w:pPr>
            <w:r>
              <w:rPr>
                <w:rFonts w:ascii="Arial" w:eastAsia="宋体" w:hAnsi="Arial" w:cs="Arial"/>
                <w:color w:val="000000"/>
                <w:sz w:val="20"/>
                <w:szCs w:val="20"/>
              </w:rPr>
              <w:t>Acquired intangibles and goodwill</w:t>
            </w:r>
          </w:p>
        </w:tc>
        <w:tc>
          <w:tcPr>
            <w:tcW w:w="0" w:type="auto"/>
            <w:gridSpan w:val="2"/>
            <w:shd w:val="clear" w:color="auto" w:fill="FFFFFF"/>
            <w:tcMar>
              <w:top w:w="40" w:type="dxa"/>
              <w:left w:w="20" w:type="dxa"/>
              <w:bottom w:w="40" w:type="dxa"/>
              <w:right w:w="0" w:type="dxa"/>
            </w:tcMar>
            <w:vAlign w:val="bottom"/>
          </w:tcPr>
          <w:p w14:paraId="5902AFCD" w14:textId="77777777" w:rsidR="0084406A" w:rsidRDefault="002B18AF">
            <w:pPr>
              <w:jc w:val="right"/>
              <w:textAlignment w:val="bottom"/>
            </w:pPr>
            <w:r>
              <w:rPr>
                <w:rFonts w:ascii="Arial" w:eastAsia="宋体" w:hAnsi="Arial" w:cs="Arial"/>
                <w:color w:val="000000"/>
                <w:sz w:val="20"/>
                <w:szCs w:val="20"/>
              </w:rPr>
              <w:t>(50)</w:t>
            </w:r>
          </w:p>
        </w:tc>
        <w:tc>
          <w:tcPr>
            <w:tcW w:w="0" w:type="auto"/>
            <w:shd w:val="clear" w:color="auto" w:fill="FFFFFF"/>
            <w:tcMar>
              <w:top w:w="40" w:type="dxa"/>
              <w:left w:w="0" w:type="dxa"/>
              <w:bottom w:w="40" w:type="dxa"/>
              <w:right w:w="20" w:type="dxa"/>
            </w:tcMar>
            <w:vAlign w:val="bottom"/>
          </w:tcPr>
          <w:p w14:paraId="5902AFC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C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D0"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5902AFD1" w14:textId="77777777" w:rsidR="0084406A" w:rsidRDefault="0084406A">
            <w:pPr>
              <w:jc w:val="right"/>
              <w:rPr>
                <w:rFonts w:ascii="宋体"/>
              </w:rPr>
            </w:pPr>
          </w:p>
        </w:tc>
      </w:tr>
      <w:tr w:rsidR="0084406A" w14:paraId="5902AFD9" w14:textId="77777777">
        <w:tc>
          <w:tcPr>
            <w:tcW w:w="0" w:type="auto"/>
            <w:gridSpan w:val="3"/>
            <w:shd w:val="clear" w:color="auto" w:fill="CCEEFF"/>
            <w:tcMar>
              <w:top w:w="40" w:type="dxa"/>
              <w:left w:w="380" w:type="dxa"/>
              <w:bottom w:w="40" w:type="dxa"/>
              <w:right w:w="20" w:type="dxa"/>
            </w:tcMar>
            <w:vAlign w:val="bottom"/>
          </w:tcPr>
          <w:p w14:paraId="5902AFD3" w14:textId="77777777" w:rsidR="0084406A" w:rsidRDefault="002B18AF">
            <w:pPr>
              <w:textAlignment w:val="bottom"/>
            </w:pPr>
            <w:r>
              <w:rPr>
                <w:rFonts w:ascii="Arial" w:eastAsia="宋体" w:hAnsi="Arial" w:cs="Arial"/>
                <w:color w:val="000000"/>
                <w:sz w:val="20"/>
                <w:szCs w:val="20"/>
              </w:rPr>
              <w:t>Right-of-use assets</w:t>
            </w:r>
          </w:p>
        </w:tc>
        <w:tc>
          <w:tcPr>
            <w:tcW w:w="0" w:type="auto"/>
            <w:gridSpan w:val="2"/>
            <w:shd w:val="clear" w:color="auto" w:fill="CCEEFF"/>
            <w:tcMar>
              <w:top w:w="40" w:type="dxa"/>
              <w:left w:w="20" w:type="dxa"/>
              <w:bottom w:w="40" w:type="dxa"/>
              <w:right w:w="0" w:type="dxa"/>
            </w:tcMar>
            <w:vAlign w:val="bottom"/>
          </w:tcPr>
          <w:p w14:paraId="5902AFD4" w14:textId="77777777" w:rsidR="0084406A" w:rsidRDefault="002B18AF">
            <w:pPr>
              <w:jc w:val="right"/>
              <w:textAlignment w:val="bottom"/>
            </w:pPr>
            <w:r>
              <w:rPr>
                <w:rFonts w:ascii="Arial" w:eastAsia="宋体" w:hAnsi="Arial" w:cs="Arial"/>
                <w:color w:val="000000"/>
                <w:sz w:val="20"/>
                <w:szCs w:val="20"/>
              </w:rPr>
              <w:t>(110)</w:t>
            </w:r>
          </w:p>
        </w:tc>
        <w:tc>
          <w:tcPr>
            <w:tcW w:w="0" w:type="auto"/>
            <w:shd w:val="clear" w:color="auto" w:fill="CCEEFF"/>
            <w:tcMar>
              <w:top w:w="40" w:type="dxa"/>
              <w:left w:w="0" w:type="dxa"/>
              <w:bottom w:w="40" w:type="dxa"/>
              <w:right w:w="20" w:type="dxa"/>
            </w:tcMar>
            <w:vAlign w:val="bottom"/>
          </w:tcPr>
          <w:p w14:paraId="5902AFD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D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D7" w14:textId="77777777" w:rsidR="0084406A" w:rsidRDefault="002B18AF">
            <w:pPr>
              <w:jc w:val="right"/>
              <w:textAlignment w:val="bottom"/>
            </w:pPr>
            <w:r>
              <w:rPr>
                <w:rFonts w:ascii="Arial" w:eastAsia="宋体" w:hAnsi="Arial" w:cs="Arial"/>
                <w:color w:val="000000"/>
                <w:sz w:val="20"/>
                <w:szCs w:val="20"/>
              </w:rPr>
              <w:t>(62)</w:t>
            </w:r>
          </w:p>
        </w:tc>
        <w:tc>
          <w:tcPr>
            <w:tcW w:w="0" w:type="auto"/>
            <w:shd w:val="clear" w:color="auto" w:fill="CCEEFF"/>
            <w:tcMar>
              <w:top w:w="40" w:type="dxa"/>
              <w:left w:w="0" w:type="dxa"/>
              <w:bottom w:w="40" w:type="dxa"/>
              <w:right w:w="20" w:type="dxa"/>
            </w:tcMar>
            <w:vAlign w:val="bottom"/>
          </w:tcPr>
          <w:p w14:paraId="5902AFD8" w14:textId="77777777" w:rsidR="0084406A" w:rsidRDefault="0084406A">
            <w:pPr>
              <w:jc w:val="right"/>
              <w:rPr>
                <w:rFonts w:ascii="宋体"/>
              </w:rPr>
            </w:pPr>
          </w:p>
        </w:tc>
      </w:tr>
      <w:tr w:rsidR="0084406A" w14:paraId="5902AFE0" w14:textId="77777777">
        <w:tc>
          <w:tcPr>
            <w:tcW w:w="0" w:type="auto"/>
            <w:gridSpan w:val="3"/>
            <w:shd w:val="clear" w:color="auto" w:fill="FFFFFF"/>
            <w:tcMar>
              <w:top w:w="40" w:type="dxa"/>
              <w:left w:w="380" w:type="dxa"/>
              <w:bottom w:w="40" w:type="dxa"/>
              <w:right w:w="20" w:type="dxa"/>
            </w:tcMar>
            <w:vAlign w:val="bottom"/>
          </w:tcPr>
          <w:p w14:paraId="5902AFDA" w14:textId="77777777" w:rsidR="0084406A" w:rsidRDefault="002B18AF">
            <w:pPr>
              <w:textAlignment w:val="bottom"/>
            </w:pPr>
            <w:r>
              <w:rPr>
                <w:rFonts w:ascii="Arial" w:eastAsia="宋体" w:hAnsi="Arial" w:cs="Arial"/>
                <w:color w:val="000000"/>
                <w:sz w:val="20"/>
                <w:szCs w:val="20"/>
              </w:rPr>
              <w:t>Discount of convertible notes</w:t>
            </w:r>
          </w:p>
        </w:tc>
        <w:tc>
          <w:tcPr>
            <w:tcW w:w="0" w:type="auto"/>
            <w:gridSpan w:val="2"/>
            <w:shd w:val="clear" w:color="auto" w:fill="FFFFFF"/>
            <w:tcMar>
              <w:top w:w="40" w:type="dxa"/>
              <w:left w:w="20" w:type="dxa"/>
              <w:bottom w:w="40" w:type="dxa"/>
              <w:right w:w="0" w:type="dxa"/>
            </w:tcMar>
            <w:vAlign w:val="bottom"/>
          </w:tcPr>
          <w:p w14:paraId="5902AFDB"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AFD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D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DE" w14:textId="77777777" w:rsidR="0084406A" w:rsidRDefault="002B18AF">
            <w:pPr>
              <w:jc w:val="right"/>
              <w:textAlignment w:val="bottom"/>
            </w:pPr>
            <w:r>
              <w:rPr>
                <w:rFonts w:ascii="Arial" w:eastAsia="宋体" w:hAnsi="Arial" w:cs="Arial"/>
                <w:color w:val="000000"/>
                <w:sz w:val="20"/>
                <w:szCs w:val="20"/>
              </w:rPr>
              <w:t>(2)</w:t>
            </w:r>
          </w:p>
        </w:tc>
        <w:tc>
          <w:tcPr>
            <w:tcW w:w="0" w:type="auto"/>
            <w:shd w:val="clear" w:color="auto" w:fill="FFFFFF"/>
            <w:tcMar>
              <w:top w:w="40" w:type="dxa"/>
              <w:left w:w="0" w:type="dxa"/>
              <w:bottom w:w="40" w:type="dxa"/>
              <w:right w:w="20" w:type="dxa"/>
            </w:tcMar>
            <w:vAlign w:val="bottom"/>
          </w:tcPr>
          <w:p w14:paraId="5902AFDF" w14:textId="77777777" w:rsidR="0084406A" w:rsidRDefault="0084406A">
            <w:pPr>
              <w:jc w:val="right"/>
              <w:rPr>
                <w:rFonts w:ascii="宋体"/>
              </w:rPr>
            </w:pPr>
          </w:p>
        </w:tc>
      </w:tr>
      <w:tr w:rsidR="0084406A" w14:paraId="5902AFE7" w14:textId="77777777">
        <w:tc>
          <w:tcPr>
            <w:tcW w:w="0" w:type="auto"/>
            <w:gridSpan w:val="3"/>
            <w:shd w:val="clear" w:color="auto" w:fill="CCEEFF"/>
            <w:tcMar>
              <w:top w:w="40" w:type="dxa"/>
              <w:left w:w="380" w:type="dxa"/>
              <w:bottom w:w="40" w:type="dxa"/>
              <w:right w:w="20" w:type="dxa"/>
            </w:tcMar>
            <w:vAlign w:val="bottom"/>
          </w:tcPr>
          <w:p w14:paraId="5902AFE1" w14:textId="77777777" w:rsidR="0084406A" w:rsidRDefault="002B18AF">
            <w:pPr>
              <w:textAlignment w:val="bottom"/>
            </w:pPr>
            <w:r>
              <w:rPr>
                <w:rFonts w:ascii="Arial" w:eastAsia="宋体" w:hAnsi="Arial" w:cs="Arial"/>
                <w:color w:val="000000"/>
                <w:sz w:val="20"/>
                <w:szCs w:val="20"/>
              </w:rPr>
              <w:t>Undistributed foreign earnings</w:t>
            </w:r>
          </w:p>
        </w:tc>
        <w:tc>
          <w:tcPr>
            <w:tcW w:w="0" w:type="auto"/>
            <w:gridSpan w:val="2"/>
            <w:shd w:val="clear" w:color="auto" w:fill="CCEEFF"/>
            <w:tcMar>
              <w:top w:w="40" w:type="dxa"/>
              <w:left w:w="20" w:type="dxa"/>
              <w:bottom w:w="40" w:type="dxa"/>
              <w:right w:w="0" w:type="dxa"/>
            </w:tcMar>
            <w:vAlign w:val="bottom"/>
          </w:tcPr>
          <w:p w14:paraId="5902AFE2" w14:textId="77777777" w:rsidR="0084406A" w:rsidRDefault="002B18AF">
            <w:pPr>
              <w:jc w:val="right"/>
              <w:textAlignment w:val="bottom"/>
            </w:pPr>
            <w:r>
              <w:rPr>
                <w:rFonts w:ascii="Arial" w:eastAsia="宋体" w:hAnsi="Arial" w:cs="Arial"/>
                <w:color w:val="000000"/>
                <w:sz w:val="20"/>
                <w:szCs w:val="20"/>
              </w:rPr>
              <w:t>(24)</w:t>
            </w:r>
          </w:p>
        </w:tc>
        <w:tc>
          <w:tcPr>
            <w:tcW w:w="0" w:type="auto"/>
            <w:shd w:val="clear" w:color="auto" w:fill="CCEEFF"/>
            <w:tcMar>
              <w:top w:w="40" w:type="dxa"/>
              <w:left w:w="0" w:type="dxa"/>
              <w:bottom w:w="40" w:type="dxa"/>
              <w:right w:w="20" w:type="dxa"/>
            </w:tcMar>
            <w:vAlign w:val="bottom"/>
          </w:tcPr>
          <w:p w14:paraId="5902AFE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E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AFE5" w14:textId="77777777" w:rsidR="0084406A" w:rsidRDefault="002B18AF">
            <w:pPr>
              <w:jc w:val="right"/>
              <w:textAlignment w:val="bottom"/>
            </w:pPr>
            <w:r>
              <w:rPr>
                <w:rFonts w:ascii="Arial" w:eastAsia="宋体" w:hAnsi="Arial" w:cs="Arial"/>
                <w:color w:val="000000"/>
                <w:sz w:val="20"/>
                <w:szCs w:val="20"/>
              </w:rPr>
              <w:t>(114)</w:t>
            </w:r>
          </w:p>
        </w:tc>
        <w:tc>
          <w:tcPr>
            <w:tcW w:w="0" w:type="auto"/>
            <w:shd w:val="clear" w:color="auto" w:fill="CCEEFF"/>
            <w:tcMar>
              <w:top w:w="40" w:type="dxa"/>
              <w:left w:w="0" w:type="dxa"/>
              <w:bottom w:w="40" w:type="dxa"/>
              <w:right w:w="20" w:type="dxa"/>
            </w:tcMar>
            <w:vAlign w:val="bottom"/>
          </w:tcPr>
          <w:p w14:paraId="5902AFE6" w14:textId="77777777" w:rsidR="0084406A" w:rsidRDefault="0084406A">
            <w:pPr>
              <w:jc w:val="right"/>
              <w:rPr>
                <w:rFonts w:ascii="宋体"/>
              </w:rPr>
            </w:pPr>
          </w:p>
        </w:tc>
      </w:tr>
      <w:tr w:rsidR="0084406A" w14:paraId="5902AFEE" w14:textId="77777777">
        <w:tc>
          <w:tcPr>
            <w:tcW w:w="0" w:type="auto"/>
            <w:gridSpan w:val="3"/>
            <w:shd w:val="clear" w:color="auto" w:fill="FFFFFF"/>
            <w:tcMar>
              <w:top w:w="40" w:type="dxa"/>
              <w:left w:w="380" w:type="dxa"/>
              <w:bottom w:w="40" w:type="dxa"/>
              <w:right w:w="20" w:type="dxa"/>
            </w:tcMar>
            <w:vAlign w:val="bottom"/>
          </w:tcPr>
          <w:p w14:paraId="5902AFE8" w14:textId="77777777" w:rsidR="0084406A" w:rsidRDefault="002B18AF">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902AFE9" w14:textId="77777777" w:rsidR="0084406A" w:rsidRDefault="002B18AF">
            <w:pPr>
              <w:jc w:val="right"/>
              <w:textAlignment w:val="bottom"/>
            </w:pPr>
            <w:r>
              <w:rPr>
                <w:rFonts w:ascii="Arial" w:eastAsia="宋体" w:hAnsi="Arial" w:cs="Arial"/>
                <w:color w:val="000000"/>
                <w:sz w:val="20"/>
                <w:szCs w:val="20"/>
              </w:rPr>
              <w:t>(15)</w:t>
            </w:r>
          </w:p>
        </w:tc>
        <w:tc>
          <w:tcPr>
            <w:tcW w:w="0" w:type="auto"/>
            <w:shd w:val="clear" w:color="auto" w:fill="FFFFFF"/>
            <w:tcMar>
              <w:top w:w="40" w:type="dxa"/>
              <w:left w:w="0" w:type="dxa"/>
              <w:bottom w:w="40" w:type="dxa"/>
              <w:right w:w="20" w:type="dxa"/>
            </w:tcMar>
            <w:vAlign w:val="bottom"/>
          </w:tcPr>
          <w:p w14:paraId="5902AFEA"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EB"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AFEC" w14:textId="77777777" w:rsidR="0084406A" w:rsidRDefault="002B18AF">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5902AFED" w14:textId="77777777" w:rsidR="0084406A" w:rsidRDefault="0084406A">
            <w:pPr>
              <w:jc w:val="right"/>
              <w:rPr>
                <w:rFonts w:ascii="宋体"/>
              </w:rPr>
            </w:pPr>
          </w:p>
        </w:tc>
      </w:tr>
      <w:tr w:rsidR="0084406A" w14:paraId="5902AFF5" w14:textId="77777777">
        <w:tc>
          <w:tcPr>
            <w:tcW w:w="0" w:type="auto"/>
            <w:gridSpan w:val="3"/>
            <w:shd w:val="clear" w:color="auto" w:fill="CCEEFF"/>
            <w:tcMar>
              <w:top w:w="40" w:type="dxa"/>
              <w:left w:w="740" w:type="dxa"/>
              <w:bottom w:w="40" w:type="dxa"/>
              <w:right w:w="20" w:type="dxa"/>
            </w:tcMar>
            <w:vAlign w:val="bottom"/>
          </w:tcPr>
          <w:p w14:paraId="5902AFEF" w14:textId="77777777" w:rsidR="0084406A" w:rsidRDefault="002B18AF">
            <w:pPr>
              <w:textAlignment w:val="bottom"/>
            </w:pPr>
            <w:r>
              <w:rPr>
                <w:rFonts w:ascii="Arial" w:eastAsia="宋体" w:hAnsi="Arial" w:cs="Arial"/>
                <w:color w:val="000000"/>
                <w:sz w:val="20"/>
                <w:szCs w:val="20"/>
              </w:rPr>
              <w:t>Total deferred tax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FF0" w14:textId="77777777" w:rsidR="0084406A" w:rsidRDefault="002B18AF">
            <w:pPr>
              <w:jc w:val="right"/>
              <w:textAlignment w:val="bottom"/>
            </w:pPr>
            <w:r>
              <w:rPr>
                <w:rFonts w:ascii="Arial" w:eastAsia="宋体" w:hAnsi="Arial" w:cs="Arial"/>
                <w:color w:val="000000"/>
                <w:sz w:val="20"/>
                <w:szCs w:val="20"/>
              </w:rPr>
              <w:t>(199)</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FF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AFF2"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AFF3" w14:textId="77777777" w:rsidR="0084406A" w:rsidRDefault="002B18AF">
            <w:pPr>
              <w:jc w:val="right"/>
              <w:textAlignment w:val="bottom"/>
            </w:pPr>
            <w:r>
              <w:rPr>
                <w:rFonts w:ascii="Arial" w:eastAsia="宋体" w:hAnsi="Arial" w:cs="Arial"/>
                <w:color w:val="000000"/>
                <w:sz w:val="20"/>
                <w:szCs w:val="20"/>
              </w:rPr>
              <w:t>(188)</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AFF4" w14:textId="77777777" w:rsidR="0084406A" w:rsidRDefault="0084406A">
            <w:pPr>
              <w:jc w:val="right"/>
              <w:rPr>
                <w:rFonts w:ascii="宋体"/>
              </w:rPr>
            </w:pPr>
          </w:p>
        </w:tc>
      </w:tr>
      <w:tr w:rsidR="0084406A" w14:paraId="5902AFFE" w14:textId="77777777">
        <w:tc>
          <w:tcPr>
            <w:tcW w:w="0" w:type="auto"/>
            <w:gridSpan w:val="3"/>
            <w:shd w:val="clear" w:color="auto" w:fill="FFFFFF"/>
            <w:tcMar>
              <w:top w:w="40" w:type="dxa"/>
              <w:left w:w="20" w:type="dxa"/>
              <w:bottom w:w="40" w:type="dxa"/>
              <w:right w:w="20" w:type="dxa"/>
            </w:tcMar>
            <w:vAlign w:val="bottom"/>
          </w:tcPr>
          <w:p w14:paraId="5902AFF6" w14:textId="77777777" w:rsidR="0084406A" w:rsidRDefault="002B18AF">
            <w:pPr>
              <w:textAlignment w:val="bottom"/>
            </w:pPr>
            <w:r>
              <w:rPr>
                <w:rFonts w:ascii="Arial" w:eastAsia="宋体" w:hAnsi="Arial" w:cs="Arial"/>
                <w:color w:val="000000"/>
                <w:sz w:val="20"/>
                <w:szCs w:val="20"/>
              </w:rPr>
              <w:t>Net deferred tax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FF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FF8" w14:textId="77777777" w:rsidR="0084406A" w:rsidRDefault="002B18AF">
            <w:pPr>
              <w:jc w:val="right"/>
              <w:textAlignment w:val="bottom"/>
            </w:pPr>
            <w:r>
              <w:rPr>
                <w:rFonts w:ascii="Arial" w:eastAsia="宋体" w:hAnsi="Arial" w:cs="Arial"/>
                <w:color w:val="000000"/>
                <w:sz w:val="20"/>
                <w:szCs w:val="20"/>
              </w:rPr>
              <w:t>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FF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AFFA"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AFF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AFFC" w14:textId="77777777" w:rsidR="0084406A" w:rsidRDefault="002B18AF">
            <w:pPr>
              <w:jc w:val="right"/>
              <w:textAlignment w:val="bottom"/>
            </w:pPr>
            <w:r>
              <w:rPr>
                <w:rFonts w:ascii="Arial" w:eastAsia="宋体" w:hAnsi="Arial" w:cs="Arial"/>
                <w:color w:val="000000"/>
                <w:sz w:val="20"/>
                <w:szCs w:val="20"/>
              </w:rPr>
              <w:t>1,234 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AFFD" w14:textId="77777777" w:rsidR="0084406A" w:rsidRDefault="0084406A">
            <w:pPr>
              <w:jc w:val="right"/>
              <w:rPr>
                <w:rFonts w:ascii="宋体"/>
              </w:rPr>
            </w:pPr>
          </w:p>
        </w:tc>
      </w:tr>
    </w:tbl>
    <w:p w14:paraId="5902AFFF" w14:textId="77777777" w:rsidR="0084406A" w:rsidRDefault="002B18AF">
      <w:pPr>
        <w:spacing w:before="180"/>
        <w:jc w:val="both"/>
      </w:pPr>
      <w:r>
        <w:rPr>
          <w:rFonts w:ascii="Arial" w:eastAsia="宋体" w:hAnsi="Arial" w:cs="Arial"/>
          <w:color w:val="000000"/>
          <w:sz w:val="20"/>
          <w:szCs w:val="20"/>
        </w:rPr>
        <w:t>The movement in the deferred tax valuation allowance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480"/>
        <w:gridCol w:w="37"/>
        <w:gridCol w:w="133"/>
        <w:gridCol w:w="1049"/>
        <w:gridCol w:w="36"/>
        <w:gridCol w:w="36"/>
        <w:gridCol w:w="36"/>
        <w:gridCol w:w="36"/>
        <w:gridCol w:w="133"/>
        <w:gridCol w:w="1004"/>
        <w:gridCol w:w="36"/>
        <w:gridCol w:w="36"/>
        <w:gridCol w:w="36"/>
        <w:gridCol w:w="36"/>
        <w:gridCol w:w="133"/>
        <w:gridCol w:w="1005"/>
        <w:gridCol w:w="36"/>
      </w:tblGrid>
      <w:tr w:rsidR="0084406A" w14:paraId="5902B012" w14:textId="77777777">
        <w:tc>
          <w:tcPr>
            <w:tcW w:w="50" w:type="pct"/>
            <w:shd w:val="clear" w:color="auto" w:fill="auto"/>
            <w:vAlign w:val="bottom"/>
          </w:tcPr>
          <w:p w14:paraId="5902B000" w14:textId="77777777" w:rsidR="0084406A" w:rsidRDefault="0084406A">
            <w:pPr>
              <w:rPr>
                <w:rFonts w:ascii="宋体"/>
              </w:rPr>
            </w:pPr>
          </w:p>
        </w:tc>
        <w:tc>
          <w:tcPr>
            <w:tcW w:w="2722" w:type="pct"/>
            <w:shd w:val="clear" w:color="auto" w:fill="auto"/>
            <w:vAlign w:val="bottom"/>
          </w:tcPr>
          <w:p w14:paraId="5902B001" w14:textId="77777777" w:rsidR="0084406A" w:rsidRDefault="0084406A">
            <w:pPr>
              <w:rPr>
                <w:rFonts w:ascii="宋体"/>
              </w:rPr>
            </w:pPr>
          </w:p>
        </w:tc>
        <w:tc>
          <w:tcPr>
            <w:tcW w:w="5" w:type="pct"/>
            <w:shd w:val="clear" w:color="auto" w:fill="auto"/>
            <w:vAlign w:val="bottom"/>
          </w:tcPr>
          <w:p w14:paraId="5902B002" w14:textId="77777777" w:rsidR="0084406A" w:rsidRDefault="0084406A">
            <w:pPr>
              <w:rPr>
                <w:rFonts w:ascii="宋体"/>
              </w:rPr>
            </w:pPr>
          </w:p>
        </w:tc>
        <w:tc>
          <w:tcPr>
            <w:tcW w:w="50" w:type="pct"/>
            <w:shd w:val="clear" w:color="auto" w:fill="auto"/>
            <w:vAlign w:val="bottom"/>
          </w:tcPr>
          <w:p w14:paraId="5902B003" w14:textId="77777777" w:rsidR="0084406A" w:rsidRDefault="0084406A">
            <w:pPr>
              <w:rPr>
                <w:rFonts w:ascii="宋体"/>
              </w:rPr>
            </w:pPr>
          </w:p>
        </w:tc>
        <w:tc>
          <w:tcPr>
            <w:tcW w:w="661" w:type="pct"/>
            <w:shd w:val="clear" w:color="auto" w:fill="auto"/>
            <w:vAlign w:val="bottom"/>
          </w:tcPr>
          <w:p w14:paraId="5902B004" w14:textId="77777777" w:rsidR="0084406A" w:rsidRDefault="0084406A">
            <w:pPr>
              <w:rPr>
                <w:rFonts w:ascii="宋体"/>
              </w:rPr>
            </w:pPr>
          </w:p>
        </w:tc>
        <w:tc>
          <w:tcPr>
            <w:tcW w:w="5" w:type="pct"/>
            <w:shd w:val="clear" w:color="auto" w:fill="auto"/>
            <w:vAlign w:val="bottom"/>
          </w:tcPr>
          <w:p w14:paraId="5902B005" w14:textId="77777777" w:rsidR="0084406A" w:rsidRDefault="0084406A">
            <w:pPr>
              <w:rPr>
                <w:rFonts w:ascii="宋体"/>
              </w:rPr>
            </w:pPr>
          </w:p>
        </w:tc>
        <w:tc>
          <w:tcPr>
            <w:tcW w:w="5" w:type="pct"/>
            <w:shd w:val="clear" w:color="auto" w:fill="auto"/>
            <w:vAlign w:val="bottom"/>
          </w:tcPr>
          <w:p w14:paraId="5902B006" w14:textId="77777777" w:rsidR="0084406A" w:rsidRDefault="0084406A">
            <w:pPr>
              <w:rPr>
                <w:rFonts w:ascii="宋体"/>
              </w:rPr>
            </w:pPr>
          </w:p>
        </w:tc>
        <w:tc>
          <w:tcPr>
            <w:tcW w:w="26" w:type="pct"/>
            <w:shd w:val="clear" w:color="auto" w:fill="auto"/>
            <w:vAlign w:val="bottom"/>
          </w:tcPr>
          <w:p w14:paraId="5902B007" w14:textId="77777777" w:rsidR="0084406A" w:rsidRDefault="0084406A">
            <w:pPr>
              <w:rPr>
                <w:rFonts w:ascii="宋体"/>
              </w:rPr>
            </w:pPr>
          </w:p>
        </w:tc>
        <w:tc>
          <w:tcPr>
            <w:tcW w:w="5" w:type="pct"/>
            <w:shd w:val="clear" w:color="auto" w:fill="auto"/>
            <w:vAlign w:val="bottom"/>
          </w:tcPr>
          <w:p w14:paraId="5902B008" w14:textId="77777777" w:rsidR="0084406A" w:rsidRDefault="0084406A">
            <w:pPr>
              <w:rPr>
                <w:rFonts w:ascii="宋体"/>
              </w:rPr>
            </w:pPr>
          </w:p>
        </w:tc>
        <w:tc>
          <w:tcPr>
            <w:tcW w:w="50" w:type="pct"/>
            <w:shd w:val="clear" w:color="auto" w:fill="auto"/>
            <w:vAlign w:val="bottom"/>
          </w:tcPr>
          <w:p w14:paraId="5902B009" w14:textId="77777777" w:rsidR="0084406A" w:rsidRDefault="0084406A">
            <w:pPr>
              <w:rPr>
                <w:rFonts w:ascii="宋体"/>
              </w:rPr>
            </w:pPr>
          </w:p>
        </w:tc>
        <w:tc>
          <w:tcPr>
            <w:tcW w:w="661" w:type="pct"/>
            <w:shd w:val="clear" w:color="auto" w:fill="auto"/>
            <w:vAlign w:val="bottom"/>
          </w:tcPr>
          <w:p w14:paraId="5902B00A" w14:textId="77777777" w:rsidR="0084406A" w:rsidRDefault="0084406A">
            <w:pPr>
              <w:rPr>
                <w:rFonts w:ascii="宋体"/>
              </w:rPr>
            </w:pPr>
          </w:p>
        </w:tc>
        <w:tc>
          <w:tcPr>
            <w:tcW w:w="5" w:type="pct"/>
            <w:shd w:val="clear" w:color="auto" w:fill="auto"/>
            <w:vAlign w:val="bottom"/>
          </w:tcPr>
          <w:p w14:paraId="5902B00B" w14:textId="77777777" w:rsidR="0084406A" w:rsidRDefault="0084406A">
            <w:pPr>
              <w:rPr>
                <w:rFonts w:ascii="宋体"/>
              </w:rPr>
            </w:pPr>
          </w:p>
        </w:tc>
        <w:tc>
          <w:tcPr>
            <w:tcW w:w="5" w:type="pct"/>
            <w:shd w:val="clear" w:color="auto" w:fill="auto"/>
            <w:vAlign w:val="bottom"/>
          </w:tcPr>
          <w:p w14:paraId="5902B00C" w14:textId="77777777" w:rsidR="0084406A" w:rsidRDefault="0084406A">
            <w:pPr>
              <w:rPr>
                <w:rFonts w:ascii="宋体"/>
              </w:rPr>
            </w:pPr>
          </w:p>
        </w:tc>
        <w:tc>
          <w:tcPr>
            <w:tcW w:w="26" w:type="pct"/>
            <w:shd w:val="clear" w:color="auto" w:fill="auto"/>
            <w:vAlign w:val="bottom"/>
          </w:tcPr>
          <w:p w14:paraId="5902B00D" w14:textId="77777777" w:rsidR="0084406A" w:rsidRDefault="0084406A">
            <w:pPr>
              <w:rPr>
                <w:rFonts w:ascii="宋体"/>
              </w:rPr>
            </w:pPr>
          </w:p>
        </w:tc>
        <w:tc>
          <w:tcPr>
            <w:tcW w:w="5" w:type="pct"/>
            <w:shd w:val="clear" w:color="auto" w:fill="auto"/>
            <w:vAlign w:val="bottom"/>
          </w:tcPr>
          <w:p w14:paraId="5902B00E" w14:textId="77777777" w:rsidR="0084406A" w:rsidRDefault="0084406A">
            <w:pPr>
              <w:rPr>
                <w:rFonts w:ascii="宋体"/>
              </w:rPr>
            </w:pPr>
          </w:p>
        </w:tc>
        <w:tc>
          <w:tcPr>
            <w:tcW w:w="50" w:type="pct"/>
            <w:shd w:val="clear" w:color="auto" w:fill="auto"/>
            <w:vAlign w:val="bottom"/>
          </w:tcPr>
          <w:p w14:paraId="5902B00F" w14:textId="77777777" w:rsidR="0084406A" w:rsidRDefault="0084406A">
            <w:pPr>
              <w:rPr>
                <w:rFonts w:ascii="宋体"/>
              </w:rPr>
            </w:pPr>
          </w:p>
        </w:tc>
        <w:tc>
          <w:tcPr>
            <w:tcW w:w="661" w:type="pct"/>
            <w:shd w:val="clear" w:color="auto" w:fill="auto"/>
            <w:vAlign w:val="bottom"/>
          </w:tcPr>
          <w:p w14:paraId="5902B010" w14:textId="77777777" w:rsidR="0084406A" w:rsidRDefault="0084406A">
            <w:pPr>
              <w:rPr>
                <w:rFonts w:ascii="宋体"/>
              </w:rPr>
            </w:pPr>
          </w:p>
        </w:tc>
        <w:tc>
          <w:tcPr>
            <w:tcW w:w="5" w:type="pct"/>
            <w:shd w:val="clear" w:color="auto" w:fill="auto"/>
            <w:vAlign w:val="bottom"/>
          </w:tcPr>
          <w:p w14:paraId="5902B011" w14:textId="77777777" w:rsidR="0084406A" w:rsidRDefault="0084406A">
            <w:pPr>
              <w:rPr>
                <w:rFonts w:ascii="宋体"/>
              </w:rPr>
            </w:pPr>
          </w:p>
        </w:tc>
      </w:tr>
      <w:tr w:rsidR="0084406A" w14:paraId="5902B019" w14:textId="77777777">
        <w:tc>
          <w:tcPr>
            <w:tcW w:w="0" w:type="auto"/>
            <w:gridSpan w:val="3"/>
            <w:shd w:val="clear" w:color="auto" w:fill="auto"/>
            <w:tcMar>
              <w:top w:w="0" w:type="dxa"/>
              <w:left w:w="20" w:type="dxa"/>
              <w:bottom w:w="0" w:type="dxa"/>
              <w:right w:w="20" w:type="dxa"/>
            </w:tcMar>
            <w:vAlign w:val="bottom"/>
          </w:tcPr>
          <w:p w14:paraId="5902B01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014"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015"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016"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017"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018"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01C" w14:textId="77777777">
        <w:tc>
          <w:tcPr>
            <w:tcW w:w="0" w:type="auto"/>
            <w:gridSpan w:val="3"/>
            <w:shd w:val="clear" w:color="auto" w:fill="auto"/>
            <w:tcMar>
              <w:top w:w="40" w:type="dxa"/>
              <w:left w:w="20" w:type="dxa"/>
              <w:bottom w:w="40" w:type="dxa"/>
              <w:right w:w="20" w:type="dxa"/>
            </w:tcMar>
            <w:vAlign w:val="bottom"/>
          </w:tcPr>
          <w:p w14:paraId="5902B01A"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01B"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029" w14:textId="77777777">
        <w:tc>
          <w:tcPr>
            <w:tcW w:w="0" w:type="auto"/>
            <w:gridSpan w:val="3"/>
            <w:shd w:val="clear" w:color="auto" w:fill="CCEEFF"/>
            <w:tcMar>
              <w:top w:w="40" w:type="dxa"/>
              <w:left w:w="20" w:type="dxa"/>
              <w:bottom w:w="40" w:type="dxa"/>
              <w:right w:w="20" w:type="dxa"/>
            </w:tcMar>
            <w:vAlign w:val="bottom"/>
          </w:tcPr>
          <w:p w14:paraId="5902B01D" w14:textId="77777777" w:rsidR="0084406A" w:rsidRDefault="002B18AF">
            <w:pPr>
              <w:textAlignment w:val="bottom"/>
            </w:pPr>
            <w:r>
              <w:rPr>
                <w:rFonts w:ascii="Arial" w:eastAsia="宋体" w:hAnsi="Arial" w:cs="Arial"/>
                <w:color w:val="000000"/>
                <w:sz w:val="20"/>
                <w:szCs w:val="20"/>
              </w:rPr>
              <w:t>Balance at beginning of year</w:t>
            </w:r>
          </w:p>
        </w:tc>
        <w:tc>
          <w:tcPr>
            <w:tcW w:w="0" w:type="auto"/>
            <w:shd w:val="clear" w:color="auto" w:fill="CCEEFF"/>
            <w:tcMar>
              <w:top w:w="40" w:type="dxa"/>
              <w:left w:w="20" w:type="dxa"/>
              <w:bottom w:w="40" w:type="dxa"/>
              <w:right w:w="0" w:type="dxa"/>
            </w:tcMar>
            <w:vAlign w:val="bottom"/>
          </w:tcPr>
          <w:p w14:paraId="5902B01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1F" w14:textId="77777777" w:rsidR="0084406A" w:rsidRDefault="002B18AF">
            <w:pPr>
              <w:jc w:val="right"/>
              <w:textAlignment w:val="bottom"/>
            </w:pPr>
            <w:r>
              <w:rPr>
                <w:rFonts w:ascii="Arial" w:eastAsia="宋体" w:hAnsi="Arial" w:cs="Arial"/>
                <w:color w:val="000000"/>
                <w:sz w:val="20"/>
                <w:szCs w:val="20"/>
              </w:rPr>
              <w:t>1,576 </w:t>
            </w:r>
          </w:p>
        </w:tc>
        <w:tc>
          <w:tcPr>
            <w:tcW w:w="0" w:type="auto"/>
            <w:shd w:val="clear" w:color="auto" w:fill="CCEEFF"/>
            <w:tcMar>
              <w:top w:w="40" w:type="dxa"/>
              <w:left w:w="0" w:type="dxa"/>
              <w:bottom w:w="40" w:type="dxa"/>
              <w:right w:w="20" w:type="dxa"/>
            </w:tcMar>
            <w:vAlign w:val="bottom"/>
          </w:tcPr>
          <w:p w14:paraId="5902B02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2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02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23" w14:textId="77777777" w:rsidR="0084406A" w:rsidRDefault="002B18AF">
            <w:pPr>
              <w:jc w:val="right"/>
              <w:textAlignment w:val="bottom"/>
            </w:pPr>
            <w:r>
              <w:rPr>
                <w:rFonts w:ascii="Arial" w:eastAsia="宋体" w:hAnsi="Arial" w:cs="Arial"/>
                <w:color w:val="000000"/>
                <w:sz w:val="20"/>
                <w:szCs w:val="20"/>
              </w:rPr>
              <w:t>2,867 </w:t>
            </w:r>
          </w:p>
        </w:tc>
        <w:tc>
          <w:tcPr>
            <w:tcW w:w="0" w:type="auto"/>
            <w:shd w:val="clear" w:color="auto" w:fill="CCEEFF"/>
            <w:tcMar>
              <w:top w:w="40" w:type="dxa"/>
              <w:left w:w="0" w:type="dxa"/>
              <w:bottom w:w="40" w:type="dxa"/>
              <w:right w:w="20" w:type="dxa"/>
            </w:tcMar>
            <w:vAlign w:val="bottom"/>
          </w:tcPr>
          <w:p w14:paraId="5902B02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2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02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27" w14:textId="77777777" w:rsidR="0084406A" w:rsidRDefault="002B18AF">
            <w:pPr>
              <w:jc w:val="right"/>
              <w:textAlignment w:val="bottom"/>
            </w:pPr>
            <w:r>
              <w:rPr>
                <w:rFonts w:ascii="Arial" w:eastAsia="宋体" w:hAnsi="Arial" w:cs="Arial"/>
                <w:color w:val="000000"/>
                <w:sz w:val="20"/>
                <w:szCs w:val="20"/>
              </w:rPr>
              <w:t>2,443 </w:t>
            </w:r>
          </w:p>
        </w:tc>
        <w:tc>
          <w:tcPr>
            <w:tcW w:w="0" w:type="auto"/>
            <w:shd w:val="clear" w:color="auto" w:fill="CCEEFF"/>
            <w:tcMar>
              <w:top w:w="40" w:type="dxa"/>
              <w:left w:w="0" w:type="dxa"/>
              <w:bottom w:w="40" w:type="dxa"/>
              <w:right w:w="20" w:type="dxa"/>
            </w:tcMar>
            <w:vAlign w:val="bottom"/>
          </w:tcPr>
          <w:p w14:paraId="5902B028" w14:textId="77777777" w:rsidR="0084406A" w:rsidRDefault="0084406A">
            <w:pPr>
              <w:jc w:val="right"/>
              <w:rPr>
                <w:rFonts w:ascii="宋体"/>
              </w:rPr>
            </w:pPr>
          </w:p>
        </w:tc>
      </w:tr>
      <w:tr w:rsidR="0084406A" w14:paraId="5902B033" w14:textId="77777777">
        <w:tc>
          <w:tcPr>
            <w:tcW w:w="0" w:type="auto"/>
            <w:gridSpan w:val="3"/>
            <w:shd w:val="clear" w:color="auto" w:fill="FFFFFF"/>
            <w:tcMar>
              <w:top w:w="40" w:type="dxa"/>
              <w:left w:w="20" w:type="dxa"/>
              <w:bottom w:w="40" w:type="dxa"/>
              <w:right w:w="20" w:type="dxa"/>
            </w:tcMar>
            <w:vAlign w:val="bottom"/>
          </w:tcPr>
          <w:p w14:paraId="5902B02A" w14:textId="77777777" w:rsidR="0084406A" w:rsidRDefault="002B18AF">
            <w:pPr>
              <w:textAlignment w:val="bottom"/>
            </w:pPr>
            <w:r>
              <w:rPr>
                <w:rFonts w:ascii="Arial" w:eastAsia="宋体" w:hAnsi="Arial" w:cs="Arial"/>
                <w:color w:val="000000"/>
                <w:sz w:val="20"/>
                <w:szCs w:val="20"/>
              </w:rPr>
              <w:t>Charges (reductions) to income tax expense/other accounts*</w:t>
            </w:r>
          </w:p>
        </w:tc>
        <w:tc>
          <w:tcPr>
            <w:tcW w:w="0" w:type="auto"/>
            <w:gridSpan w:val="2"/>
            <w:shd w:val="clear" w:color="auto" w:fill="FFFFFF"/>
            <w:tcMar>
              <w:top w:w="40" w:type="dxa"/>
              <w:left w:w="20" w:type="dxa"/>
              <w:bottom w:w="40" w:type="dxa"/>
              <w:right w:w="0" w:type="dxa"/>
            </w:tcMar>
            <w:vAlign w:val="bottom"/>
          </w:tcPr>
          <w:p w14:paraId="5902B02B" w14:textId="77777777" w:rsidR="0084406A" w:rsidRDefault="002B18AF">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5902B02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2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2E" w14:textId="77777777" w:rsidR="0084406A" w:rsidRDefault="002B18AF">
            <w:pPr>
              <w:jc w:val="right"/>
              <w:textAlignment w:val="bottom"/>
            </w:pPr>
            <w:r>
              <w:rPr>
                <w:rFonts w:ascii="Arial" w:eastAsia="宋体" w:hAnsi="Arial" w:cs="Arial"/>
                <w:color w:val="000000"/>
                <w:sz w:val="20"/>
                <w:szCs w:val="20"/>
              </w:rPr>
              <w:t>(1,301)</w:t>
            </w:r>
          </w:p>
        </w:tc>
        <w:tc>
          <w:tcPr>
            <w:tcW w:w="0" w:type="auto"/>
            <w:shd w:val="clear" w:color="auto" w:fill="FFFFFF"/>
            <w:tcMar>
              <w:top w:w="40" w:type="dxa"/>
              <w:left w:w="0" w:type="dxa"/>
              <w:bottom w:w="40" w:type="dxa"/>
              <w:right w:w="20" w:type="dxa"/>
            </w:tcMar>
            <w:vAlign w:val="bottom"/>
          </w:tcPr>
          <w:p w14:paraId="5902B02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3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31" w14:textId="77777777" w:rsidR="0084406A" w:rsidRDefault="002B18AF">
            <w:pPr>
              <w:jc w:val="right"/>
              <w:textAlignment w:val="bottom"/>
            </w:pPr>
            <w:r>
              <w:rPr>
                <w:rFonts w:ascii="Arial" w:eastAsia="宋体" w:hAnsi="Arial" w:cs="Arial"/>
                <w:color w:val="000000"/>
                <w:sz w:val="20"/>
                <w:szCs w:val="20"/>
              </w:rPr>
              <w:t>(61)</w:t>
            </w:r>
          </w:p>
        </w:tc>
        <w:tc>
          <w:tcPr>
            <w:tcW w:w="0" w:type="auto"/>
            <w:shd w:val="clear" w:color="auto" w:fill="FFFFFF"/>
            <w:tcMar>
              <w:top w:w="40" w:type="dxa"/>
              <w:left w:w="0" w:type="dxa"/>
              <w:bottom w:w="40" w:type="dxa"/>
              <w:right w:w="20" w:type="dxa"/>
            </w:tcMar>
            <w:vAlign w:val="bottom"/>
          </w:tcPr>
          <w:p w14:paraId="5902B032" w14:textId="77777777" w:rsidR="0084406A" w:rsidRDefault="0084406A">
            <w:pPr>
              <w:jc w:val="right"/>
              <w:rPr>
                <w:rFonts w:ascii="宋体"/>
              </w:rPr>
            </w:pPr>
          </w:p>
        </w:tc>
      </w:tr>
      <w:tr w:rsidR="0084406A" w14:paraId="5902B03D" w14:textId="77777777">
        <w:tc>
          <w:tcPr>
            <w:tcW w:w="0" w:type="auto"/>
            <w:gridSpan w:val="3"/>
            <w:shd w:val="clear" w:color="auto" w:fill="CCEEFF"/>
            <w:tcMar>
              <w:top w:w="40" w:type="dxa"/>
              <w:left w:w="20" w:type="dxa"/>
              <w:bottom w:w="40" w:type="dxa"/>
              <w:right w:w="20" w:type="dxa"/>
            </w:tcMar>
            <w:vAlign w:val="bottom"/>
          </w:tcPr>
          <w:p w14:paraId="5902B034" w14:textId="77777777" w:rsidR="0084406A" w:rsidRDefault="002B18AF">
            <w:pPr>
              <w:textAlignment w:val="bottom"/>
            </w:pPr>
            <w:r>
              <w:rPr>
                <w:rFonts w:ascii="Arial" w:eastAsia="宋体" w:hAnsi="Arial" w:cs="Arial"/>
                <w:color w:val="000000"/>
                <w:sz w:val="20"/>
                <w:szCs w:val="20"/>
              </w:rPr>
              <w:t>Net (deductions) recoveries</w:t>
            </w:r>
            <w:r>
              <w:rPr>
                <w:rFonts w:ascii="Arial" w:eastAsia="宋体" w:hAnsi="Arial" w:cs="Arial"/>
                <w:color w:val="000000"/>
                <w:sz w:val="13"/>
                <w:szCs w:val="13"/>
              </w:rPr>
              <w:t>+</w:t>
            </w:r>
          </w:p>
        </w:tc>
        <w:tc>
          <w:tcPr>
            <w:tcW w:w="0" w:type="auto"/>
            <w:gridSpan w:val="2"/>
            <w:shd w:val="clear" w:color="auto" w:fill="CCEEFF"/>
            <w:tcMar>
              <w:top w:w="40" w:type="dxa"/>
              <w:left w:w="20" w:type="dxa"/>
              <w:bottom w:w="40" w:type="dxa"/>
              <w:right w:w="0" w:type="dxa"/>
            </w:tcMar>
            <w:vAlign w:val="bottom"/>
          </w:tcPr>
          <w:p w14:paraId="5902B035" w14:textId="77777777" w:rsidR="0084406A" w:rsidRDefault="002B18AF">
            <w:pPr>
              <w:jc w:val="right"/>
              <w:textAlignment w:val="bottom"/>
            </w:pPr>
            <w:r>
              <w:rPr>
                <w:rFonts w:ascii="Arial" w:eastAsia="宋体" w:hAnsi="Arial" w:cs="Arial"/>
                <w:color w:val="000000"/>
                <w:sz w:val="20"/>
                <w:szCs w:val="20"/>
              </w:rPr>
              <w:t>156 </w:t>
            </w:r>
          </w:p>
        </w:tc>
        <w:tc>
          <w:tcPr>
            <w:tcW w:w="0" w:type="auto"/>
            <w:shd w:val="clear" w:color="auto" w:fill="CCEEFF"/>
            <w:tcMar>
              <w:top w:w="40" w:type="dxa"/>
              <w:left w:w="0" w:type="dxa"/>
              <w:bottom w:w="40" w:type="dxa"/>
              <w:right w:w="20" w:type="dxa"/>
            </w:tcMar>
            <w:vAlign w:val="bottom"/>
          </w:tcPr>
          <w:p w14:paraId="5902B03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3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38" w14:textId="77777777" w:rsidR="0084406A" w:rsidRDefault="002B18AF">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5902B03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3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3B" w14:textId="77777777" w:rsidR="0084406A" w:rsidRDefault="002B18AF">
            <w:pPr>
              <w:jc w:val="right"/>
              <w:textAlignment w:val="bottom"/>
            </w:pPr>
            <w:r>
              <w:rPr>
                <w:rFonts w:ascii="Arial" w:eastAsia="宋体" w:hAnsi="Arial" w:cs="Arial"/>
                <w:color w:val="000000"/>
                <w:sz w:val="20"/>
                <w:szCs w:val="20"/>
              </w:rPr>
              <w:t>485 </w:t>
            </w:r>
          </w:p>
        </w:tc>
        <w:tc>
          <w:tcPr>
            <w:tcW w:w="0" w:type="auto"/>
            <w:shd w:val="clear" w:color="auto" w:fill="CCEEFF"/>
            <w:tcMar>
              <w:top w:w="40" w:type="dxa"/>
              <w:left w:w="0" w:type="dxa"/>
              <w:bottom w:w="40" w:type="dxa"/>
              <w:right w:w="20" w:type="dxa"/>
            </w:tcMar>
            <w:vAlign w:val="bottom"/>
          </w:tcPr>
          <w:p w14:paraId="5902B03C" w14:textId="77777777" w:rsidR="0084406A" w:rsidRDefault="0084406A">
            <w:pPr>
              <w:jc w:val="right"/>
              <w:rPr>
                <w:rFonts w:ascii="宋体"/>
              </w:rPr>
            </w:pPr>
          </w:p>
        </w:tc>
      </w:tr>
      <w:tr w:rsidR="0084406A" w14:paraId="5902B04A" w14:textId="77777777">
        <w:tc>
          <w:tcPr>
            <w:tcW w:w="0" w:type="auto"/>
            <w:gridSpan w:val="3"/>
            <w:shd w:val="clear" w:color="auto" w:fill="FFFFFF"/>
            <w:tcMar>
              <w:top w:w="40" w:type="dxa"/>
              <w:left w:w="20" w:type="dxa"/>
              <w:bottom w:w="40" w:type="dxa"/>
              <w:right w:w="20" w:type="dxa"/>
            </w:tcMar>
            <w:vAlign w:val="bottom"/>
          </w:tcPr>
          <w:p w14:paraId="5902B03E" w14:textId="77777777" w:rsidR="0084406A" w:rsidRDefault="002B18AF">
            <w:pPr>
              <w:textAlignment w:val="bottom"/>
            </w:pPr>
            <w:r>
              <w:rPr>
                <w:rFonts w:ascii="Arial" w:eastAsia="宋体" w:hAnsi="Arial" w:cs="Arial"/>
                <w:color w:val="000000"/>
                <w:sz w:val="20"/>
                <w:szCs w:val="20"/>
              </w:rPr>
              <w:t>Balance at end of year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03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040" w14:textId="77777777" w:rsidR="0084406A" w:rsidRDefault="002B18AF">
            <w:pPr>
              <w:jc w:val="right"/>
              <w:textAlignment w:val="bottom"/>
            </w:pPr>
            <w:r>
              <w:rPr>
                <w:rFonts w:ascii="Arial" w:eastAsia="宋体" w:hAnsi="Arial" w:cs="Arial"/>
                <w:color w:val="000000"/>
                <w:sz w:val="20"/>
                <w:szCs w:val="20"/>
              </w:rPr>
              <w:t>1,735 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041"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42"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04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044" w14:textId="77777777" w:rsidR="0084406A" w:rsidRDefault="002B18AF">
            <w:pPr>
              <w:jc w:val="right"/>
              <w:textAlignment w:val="bottom"/>
            </w:pPr>
            <w:r>
              <w:rPr>
                <w:rFonts w:ascii="Arial" w:eastAsia="宋体" w:hAnsi="Arial" w:cs="Arial"/>
                <w:color w:val="000000"/>
                <w:sz w:val="20"/>
                <w:szCs w:val="20"/>
              </w:rPr>
              <w:t>1,576 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04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46"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04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048" w14:textId="77777777" w:rsidR="0084406A" w:rsidRDefault="002B18AF">
            <w:pPr>
              <w:jc w:val="right"/>
              <w:textAlignment w:val="bottom"/>
            </w:pPr>
            <w:r>
              <w:rPr>
                <w:rFonts w:ascii="Arial" w:eastAsia="宋体" w:hAnsi="Arial" w:cs="Arial"/>
                <w:color w:val="000000"/>
                <w:sz w:val="20"/>
                <w:szCs w:val="20"/>
              </w:rPr>
              <w:t>2,867 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049" w14:textId="77777777" w:rsidR="0084406A" w:rsidRDefault="0084406A">
            <w:pPr>
              <w:jc w:val="right"/>
              <w:rPr>
                <w:rFonts w:ascii="宋体"/>
              </w:rPr>
            </w:pPr>
          </w:p>
        </w:tc>
      </w:tr>
    </w:tbl>
    <w:p w14:paraId="5902B04B" w14:textId="77777777" w:rsidR="0084406A" w:rsidRDefault="0084406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36"/>
        <w:gridCol w:w="36"/>
        <w:gridCol w:w="55"/>
        <w:gridCol w:w="8035"/>
        <w:gridCol w:w="37"/>
      </w:tblGrid>
      <w:tr w:rsidR="0084406A" w14:paraId="5902B052" w14:textId="77777777">
        <w:tc>
          <w:tcPr>
            <w:tcW w:w="5" w:type="pct"/>
            <w:shd w:val="clear" w:color="auto" w:fill="auto"/>
            <w:vAlign w:val="bottom"/>
          </w:tcPr>
          <w:p w14:paraId="5902B04C" w14:textId="77777777" w:rsidR="0084406A" w:rsidRDefault="0084406A">
            <w:pPr>
              <w:rPr>
                <w:rFonts w:ascii="宋体"/>
              </w:rPr>
            </w:pPr>
          </w:p>
        </w:tc>
        <w:tc>
          <w:tcPr>
            <w:tcW w:w="99" w:type="pct"/>
            <w:shd w:val="clear" w:color="auto" w:fill="auto"/>
            <w:vAlign w:val="bottom"/>
          </w:tcPr>
          <w:p w14:paraId="5902B04D" w14:textId="77777777" w:rsidR="0084406A" w:rsidRDefault="0084406A">
            <w:pPr>
              <w:rPr>
                <w:rFonts w:ascii="宋体"/>
              </w:rPr>
            </w:pPr>
          </w:p>
        </w:tc>
        <w:tc>
          <w:tcPr>
            <w:tcW w:w="5" w:type="pct"/>
            <w:shd w:val="clear" w:color="auto" w:fill="auto"/>
            <w:vAlign w:val="bottom"/>
          </w:tcPr>
          <w:p w14:paraId="5902B04E" w14:textId="77777777" w:rsidR="0084406A" w:rsidRDefault="0084406A">
            <w:pPr>
              <w:rPr>
                <w:rFonts w:ascii="宋体"/>
              </w:rPr>
            </w:pPr>
          </w:p>
        </w:tc>
        <w:tc>
          <w:tcPr>
            <w:tcW w:w="50" w:type="pct"/>
            <w:shd w:val="clear" w:color="auto" w:fill="auto"/>
            <w:vAlign w:val="bottom"/>
          </w:tcPr>
          <w:p w14:paraId="5902B04F" w14:textId="77777777" w:rsidR="0084406A" w:rsidRDefault="0084406A">
            <w:pPr>
              <w:rPr>
                <w:rFonts w:ascii="宋体"/>
              </w:rPr>
            </w:pPr>
          </w:p>
        </w:tc>
        <w:tc>
          <w:tcPr>
            <w:tcW w:w="4835" w:type="pct"/>
            <w:shd w:val="clear" w:color="auto" w:fill="auto"/>
            <w:vAlign w:val="bottom"/>
          </w:tcPr>
          <w:p w14:paraId="5902B050" w14:textId="77777777" w:rsidR="0084406A" w:rsidRDefault="0084406A">
            <w:pPr>
              <w:rPr>
                <w:rFonts w:ascii="宋体"/>
              </w:rPr>
            </w:pPr>
          </w:p>
        </w:tc>
        <w:tc>
          <w:tcPr>
            <w:tcW w:w="5" w:type="pct"/>
            <w:shd w:val="clear" w:color="auto" w:fill="auto"/>
            <w:vAlign w:val="bottom"/>
          </w:tcPr>
          <w:p w14:paraId="5902B051" w14:textId="77777777" w:rsidR="0084406A" w:rsidRDefault="0084406A">
            <w:pPr>
              <w:rPr>
                <w:rFonts w:ascii="宋体"/>
              </w:rPr>
            </w:pPr>
          </w:p>
        </w:tc>
      </w:tr>
      <w:tr w:rsidR="0084406A" w14:paraId="5902B055" w14:textId="77777777">
        <w:tc>
          <w:tcPr>
            <w:tcW w:w="0" w:type="auto"/>
            <w:gridSpan w:val="3"/>
            <w:shd w:val="clear" w:color="auto" w:fill="auto"/>
            <w:tcMar>
              <w:top w:w="40" w:type="dxa"/>
              <w:left w:w="20" w:type="dxa"/>
              <w:bottom w:w="40" w:type="dxa"/>
              <w:right w:w="20" w:type="dxa"/>
            </w:tcMar>
            <w:vAlign w:val="bottom"/>
          </w:tcPr>
          <w:p w14:paraId="5902B053" w14:textId="77777777" w:rsidR="0084406A" w:rsidRDefault="002B18AF">
            <w:pP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902B054" w14:textId="77777777" w:rsidR="0084406A" w:rsidRDefault="002B18AF">
            <w:pPr>
              <w:spacing w:before="180"/>
              <w:jc w:val="both"/>
              <w:textAlignment w:val="bottom"/>
            </w:pPr>
            <w:r>
              <w:rPr>
                <w:rFonts w:ascii="Arial" w:eastAsia="宋体" w:hAnsi="Arial" w:cs="Arial"/>
                <w:color w:val="000000"/>
                <w:sz w:val="18"/>
                <w:szCs w:val="18"/>
              </w:rPr>
              <w:t>Amounts recorded against other accounts are not material</w:t>
            </w:r>
          </w:p>
        </w:tc>
      </w:tr>
      <w:tr w:rsidR="0084406A" w14:paraId="5902B058" w14:textId="77777777">
        <w:tc>
          <w:tcPr>
            <w:tcW w:w="0" w:type="auto"/>
            <w:gridSpan w:val="3"/>
            <w:shd w:val="clear" w:color="auto" w:fill="auto"/>
            <w:tcMar>
              <w:top w:w="40" w:type="dxa"/>
              <w:left w:w="20" w:type="dxa"/>
              <w:bottom w:w="40" w:type="dxa"/>
              <w:right w:w="20" w:type="dxa"/>
            </w:tcMar>
          </w:tcPr>
          <w:p w14:paraId="5902B056" w14:textId="77777777" w:rsidR="0084406A" w:rsidRDefault="002B18AF">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5902B057" w14:textId="77777777" w:rsidR="0084406A" w:rsidRDefault="002B18AF">
            <w:pPr>
              <w:jc w:val="both"/>
              <w:textAlignment w:val="top"/>
            </w:pPr>
            <w:r>
              <w:rPr>
                <w:rFonts w:ascii="Arial" w:eastAsia="宋体" w:hAnsi="Arial" w:cs="Arial"/>
                <w:color w:val="000000"/>
                <w:sz w:val="18"/>
                <w:szCs w:val="18"/>
              </w:rPr>
              <w:t xml:space="preserve">The 2019 and 2021 net recoveries were primarily related to net originating deferred tax assets and newly generated tax </w:t>
            </w:r>
            <w:r>
              <w:rPr>
                <w:rFonts w:ascii="Arial" w:eastAsia="宋体" w:hAnsi="Arial" w:cs="Arial"/>
                <w:color w:val="000000"/>
                <w:sz w:val="18"/>
                <w:szCs w:val="18"/>
              </w:rPr>
              <w:t>credits</w:t>
            </w:r>
          </w:p>
        </w:tc>
      </w:tr>
    </w:tbl>
    <w:p w14:paraId="5902B059" w14:textId="77777777" w:rsidR="0084406A" w:rsidRDefault="002B18AF">
      <w:pPr>
        <w:jc w:val="center"/>
      </w:pPr>
      <w:r>
        <w:rPr>
          <w:rFonts w:ascii="Arial" w:eastAsia="宋体" w:hAnsi="Arial" w:cs="Arial"/>
          <w:color w:val="000000"/>
          <w:sz w:val="20"/>
          <w:szCs w:val="20"/>
        </w:rPr>
        <w:t>71</w:t>
      </w:r>
    </w:p>
    <w:p w14:paraId="5902B05A" w14:textId="77777777" w:rsidR="0084406A" w:rsidRDefault="002B18AF">
      <w:r>
        <w:pict w14:anchorId="5902BB3D">
          <v:rect id="_x0000_i1098" style="width:415.3pt;height:1.5pt" o:hralign="center" o:hrstd="t" o:hr="t" fillcolor="#a0a0a0" stroked="f"/>
        </w:pict>
      </w:r>
    </w:p>
    <w:p w14:paraId="5902B05B" w14:textId="77777777" w:rsidR="0084406A" w:rsidRDefault="0084406A"/>
    <w:p w14:paraId="5902B05C" w14:textId="77777777" w:rsidR="0084406A" w:rsidRDefault="002B18AF">
      <w:pPr>
        <w:spacing w:before="180"/>
        <w:jc w:val="both"/>
      </w:pPr>
      <w:r>
        <w:rPr>
          <w:rFonts w:ascii="Arial" w:eastAsia="宋体" w:hAnsi="Arial" w:cs="Arial"/>
          <w:color w:val="000000"/>
          <w:sz w:val="20"/>
          <w:szCs w:val="20"/>
        </w:rPr>
        <w:t>Deferred tax liabilities are included in Other long-term liabilities on the consolidated balance sheets. The breakdown between deferred tax assets and deferred tax liabilities as of December 25, 2021 and December 26,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269"/>
        <w:gridCol w:w="36"/>
        <w:gridCol w:w="133"/>
        <w:gridCol w:w="1274"/>
        <w:gridCol w:w="36"/>
        <w:gridCol w:w="36"/>
        <w:gridCol w:w="36"/>
        <w:gridCol w:w="36"/>
        <w:gridCol w:w="133"/>
        <w:gridCol w:w="1274"/>
        <w:gridCol w:w="36"/>
      </w:tblGrid>
      <w:tr w:rsidR="0084406A" w14:paraId="5902B069" w14:textId="77777777">
        <w:tc>
          <w:tcPr>
            <w:tcW w:w="50" w:type="pct"/>
            <w:shd w:val="clear" w:color="auto" w:fill="auto"/>
            <w:vAlign w:val="bottom"/>
          </w:tcPr>
          <w:p w14:paraId="5902B05D" w14:textId="77777777" w:rsidR="0084406A" w:rsidRDefault="0084406A">
            <w:pPr>
              <w:rPr>
                <w:rFonts w:ascii="宋体"/>
              </w:rPr>
            </w:pPr>
          </w:p>
        </w:tc>
        <w:tc>
          <w:tcPr>
            <w:tcW w:w="3205" w:type="pct"/>
            <w:shd w:val="clear" w:color="auto" w:fill="auto"/>
            <w:vAlign w:val="bottom"/>
          </w:tcPr>
          <w:p w14:paraId="5902B05E" w14:textId="77777777" w:rsidR="0084406A" w:rsidRDefault="0084406A">
            <w:pPr>
              <w:rPr>
                <w:rFonts w:ascii="宋体"/>
              </w:rPr>
            </w:pPr>
          </w:p>
        </w:tc>
        <w:tc>
          <w:tcPr>
            <w:tcW w:w="5" w:type="pct"/>
            <w:shd w:val="clear" w:color="auto" w:fill="auto"/>
            <w:vAlign w:val="bottom"/>
          </w:tcPr>
          <w:p w14:paraId="5902B05F" w14:textId="77777777" w:rsidR="0084406A" w:rsidRDefault="0084406A">
            <w:pPr>
              <w:rPr>
                <w:rFonts w:ascii="宋体"/>
              </w:rPr>
            </w:pPr>
          </w:p>
        </w:tc>
        <w:tc>
          <w:tcPr>
            <w:tcW w:w="50" w:type="pct"/>
            <w:shd w:val="clear" w:color="auto" w:fill="auto"/>
            <w:vAlign w:val="bottom"/>
          </w:tcPr>
          <w:p w14:paraId="5902B060" w14:textId="77777777" w:rsidR="0084406A" w:rsidRDefault="0084406A">
            <w:pPr>
              <w:rPr>
                <w:rFonts w:ascii="宋体"/>
              </w:rPr>
            </w:pPr>
          </w:p>
        </w:tc>
        <w:tc>
          <w:tcPr>
            <w:tcW w:w="800" w:type="pct"/>
            <w:shd w:val="clear" w:color="auto" w:fill="auto"/>
            <w:vAlign w:val="bottom"/>
          </w:tcPr>
          <w:p w14:paraId="5902B061" w14:textId="77777777" w:rsidR="0084406A" w:rsidRDefault="0084406A">
            <w:pPr>
              <w:rPr>
                <w:rFonts w:ascii="宋体"/>
              </w:rPr>
            </w:pPr>
          </w:p>
        </w:tc>
        <w:tc>
          <w:tcPr>
            <w:tcW w:w="5" w:type="pct"/>
            <w:shd w:val="clear" w:color="auto" w:fill="auto"/>
            <w:vAlign w:val="bottom"/>
          </w:tcPr>
          <w:p w14:paraId="5902B062" w14:textId="77777777" w:rsidR="0084406A" w:rsidRDefault="0084406A">
            <w:pPr>
              <w:rPr>
                <w:rFonts w:ascii="宋体"/>
              </w:rPr>
            </w:pPr>
          </w:p>
        </w:tc>
        <w:tc>
          <w:tcPr>
            <w:tcW w:w="5" w:type="pct"/>
            <w:shd w:val="clear" w:color="auto" w:fill="auto"/>
            <w:vAlign w:val="bottom"/>
          </w:tcPr>
          <w:p w14:paraId="5902B063" w14:textId="77777777" w:rsidR="0084406A" w:rsidRDefault="0084406A">
            <w:pPr>
              <w:rPr>
                <w:rFonts w:ascii="宋体"/>
              </w:rPr>
            </w:pPr>
          </w:p>
        </w:tc>
        <w:tc>
          <w:tcPr>
            <w:tcW w:w="19" w:type="pct"/>
            <w:shd w:val="clear" w:color="auto" w:fill="auto"/>
            <w:vAlign w:val="bottom"/>
          </w:tcPr>
          <w:p w14:paraId="5902B064" w14:textId="77777777" w:rsidR="0084406A" w:rsidRDefault="0084406A">
            <w:pPr>
              <w:rPr>
                <w:rFonts w:ascii="宋体"/>
              </w:rPr>
            </w:pPr>
          </w:p>
        </w:tc>
        <w:tc>
          <w:tcPr>
            <w:tcW w:w="5" w:type="pct"/>
            <w:shd w:val="clear" w:color="auto" w:fill="auto"/>
            <w:vAlign w:val="bottom"/>
          </w:tcPr>
          <w:p w14:paraId="5902B065" w14:textId="77777777" w:rsidR="0084406A" w:rsidRDefault="0084406A">
            <w:pPr>
              <w:rPr>
                <w:rFonts w:ascii="宋体"/>
              </w:rPr>
            </w:pPr>
          </w:p>
        </w:tc>
        <w:tc>
          <w:tcPr>
            <w:tcW w:w="50" w:type="pct"/>
            <w:shd w:val="clear" w:color="auto" w:fill="auto"/>
            <w:vAlign w:val="bottom"/>
          </w:tcPr>
          <w:p w14:paraId="5902B066" w14:textId="77777777" w:rsidR="0084406A" w:rsidRDefault="0084406A">
            <w:pPr>
              <w:rPr>
                <w:rFonts w:ascii="宋体"/>
              </w:rPr>
            </w:pPr>
          </w:p>
        </w:tc>
        <w:tc>
          <w:tcPr>
            <w:tcW w:w="800" w:type="pct"/>
            <w:shd w:val="clear" w:color="auto" w:fill="auto"/>
            <w:vAlign w:val="bottom"/>
          </w:tcPr>
          <w:p w14:paraId="5902B067" w14:textId="77777777" w:rsidR="0084406A" w:rsidRDefault="0084406A">
            <w:pPr>
              <w:rPr>
                <w:rFonts w:ascii="宋体"/>
              </w:rPr>
            </w:pPr>
          </w:p>
        </w:tc>
        <w:tc>
          <w:tcPr>
            <w:tcW w:w="5" w:type="pct"/>
            <w:shd w:val="clear" w:color="auto" w:fill="auto"/>
            <w:vAlign w:val="bottom"/>
          </w:tcPr>
          <w:p w14:paraId="5902B068" w14:textId="77777777" w:rsidR="0084406A" w:rsidRDefault="0084406A">
            <w:pPr>
              <w:rPr>
                <w:rFonts w:ascii="宋体"/>
              </w:rPr>
            </w:pPr>
          </w:p>
        </w:tc>
      </w:tr>
      <w:tr w:rsidR="0084406A" w14:paraId="5902B06E" w14:textId="77777777">
        <w:tc>
          <w:tcPr>
            <w:tcW w:w="0" w:type="auto"/>
            <w:gridSpan w:val="3"/>
            <w:shd w:val="clear" w:color="auto" w:fill="auto"/>
            <w:tcMar>
              <w:top w:w="0" w:type="dxa"/>
              <w:left w:w="20" w:type="dxa"/>
              <w:bottom w:w="0" w:type="dxa"/>
              <w:right w:w="20" w:type="dxa"/>
            </w:tcMar>
            <w:vAlign w:val="bottom"/>
          </w:tcPr>
          <w:p w14:paraId="5902B06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06B"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B06C"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06D"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B071" w14:textId="77777777">
        <w:tc>
          <w:tcPr>
            <w:tcW w:w="0" w:type="auto"/>
            <w:gridSpan w:val="3"/>
            <w:shd w:val="clear" w:color="auto" w:fill="auto"/>
            <w:tcMar>
              <w:top w:w="40" w:type="dxa"/>
              <w:left w:w="20" w:type="dxa"/>
              <w:bottom w:w="40" w:type="dxa"/>
              <w:right w:w="20" w:type="dxa"/>
            </w:tcMar>
            <w:vAlign w:val="bottom"/>
          </w:tcPr>
          <w:p w14:paraId="5902B06F"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B070"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076" w14:textId="77777777">
        <w:trPr>
          <w:hidden/>
        </w:trPr>
        <w:tc>
          <w:tcPr>
            <w:tcW w:w="0" w:type="auto"/>
            <w:gridSpan w:val="3"/>
            <w:shd w:val="clear" w:color="auto" w:fill="auto"/>
            <w:vAlign w:val="bottom"/>
          </w:tcPr>
          <w:p w14:paraId="5902B072" w14:textId="77777777" w:rsidR="0084406A" w:rsidRDefault="0084406A">
            <w:pPr>
              <w:rPr>
                <w:rFonts w:ascii="宋体"/>
                <w:vanish/>
              </w:rPr>
            </w:pPr>
          </w:p>
        </w:tc>
        <w:tc>
          <w:tcPr>
            <w:tcW w:w="0" w:type="auto"/>
            <w:gridSpan w:val="3"/>
            <w:shd w:val="clear" w:color="auto" w:fill="auto"/>
            <w:vAlign w:val="bottom"/>
          </w:tcPr>
          <w:p w14:paraId="5902B073" w14:textId="77777777" w:rsidR="0084406A" w:rsidRDefault="0084406A">
            <w:pPr>
              <w:rPr>
                <w:rFonts w:ascii="宋体"/>
                <w:vanish/>
              </w:rPr>
            </w:pPr>
          </w:p>
        </w:tc>
        <w:tc>
          <w:tcPr>
            <w:tcW w:w="0" w:type="auto"/>
            <w:gridSpan w:val="3"/>
            <w:shd w:val="clear" w:color="auto" w:fill="auto"/>
            <w:vAlign w:val="bottom"/>
          </w:tcPr>
          <w:p w14:paraId="5902B074" w14:textId="77777777" w:rsidR="0084406A" w:rsidRDefault="0084406A">
            <w:pPr>
              <w:rPr>
                <w:rFonts w:ascii="宋体"/>
                <w:vanish/>
              </w:rPr>
            </w:pPr>
          </w:p>
        </w:tc>
        <w:tc>
          <w:tcPr>
            <w:tcW w:w="0" w:type="auto"/>
            <w:gridSpan w:val="3"/>
            <w:shd w:val="clear" w:color="auto" w:fill="auto"/>
            <w:vAlign w:val="bottom"/>
          </w:tcPr>
          <w:p w14:paraId="5902B075" w14:textId="77777777" w:rsidR="0084406A" w:rsidRDefault="0084406A">
            <w:pPr>
              <w:rPr>
                <w:rFonts w:ascii="宋体"/>
                <w:vanish/>
              </w:rPr>
            </w:pPr>
          </w:p>
        </w:tc>
      </w:tr>
      <w:tr w:rsidR="0084406A" w14:paraId="5902B07F" w14:textId="77777777">
        <w:tc>
          <w:tcPr>
            <w:tcW w:w="0" w:type="auto"/>
            <w:gridSpan w:val="3"/>
            <w:shd w:val="clear" w:color="auto" w:fill="CCEEFF"/>
            <w:tcMar>
              <w:top w:w="40" w:type="dxa"/>
              <w:left w:w="20" w:type="dxa"/>
              <w:bottom w:w="40" w:type="dxa"/>
              <w:right w:w="20" w:type="dxa"/>
            </w:tcMar>
            <w:vAlign w:val="bottom"/>
          </w:tcPr>
          <w:p w14:paraId="5902B077" w14:textId="77777777" w:rsidR="0084406A" w:rsidRDefault="002B18AF">
            <w:pPr>
              <w:textAlignment w:val="bottom"/>
            </w:pPr>
            <w:r>
              <w:rPr>
                <w:rFonts w:ascii="Arial" w:eastAsia="宋体" w:hAnsi="Arial" w:cs="Arial"/>
                <w:color w:val="000000"/>
                <w:sz w:val="20"/>
                <w:szCs w:val="20"/>
              </w:rPr>
              <w:t>Deferred tax assets</w:t>
            </w:r>
          </w:p>
        </w:tc>
        <w:tc>
          <w:tcPr>
            <w:tcW w:w="0" w:type="auto"/>
            <w:shd w:val="clear" w:color="auto" w:fill="CCEEFF"/>
            <w:tcMar>
              <w:top w:w="40" w:type="dxa"/>
              <w:left w:w="20" w:type="dxa"/>
              <w:bottom w:w="40" w:type="dxa"/>
              <w:right w:w="0" w:type="dxa"/>
            </w:tcMar>
            <w:vAlign w:val="bottom"/>
          </w:tcPr>
          <w:p w14:paraId="5902B07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79" w14:textId="77777777" w:rsidR="0084406A" w:rsidRDefault="002B18AF">
            <w:pPr>
              <w:jc w:val="right"/>
              <w:textAlignment w:val="bottom"/>
            </w:pPr>
            <w:r>
              <w:rPr>
                <w:rFonts w:ascii="Arial" w:eastAsia="宋体" w:hAnsi="Arial" w:cs="Arial"/>
                <w:color w:val="000000"/>
                <w:sz w:val="20"/>
                <w:szCs w:val="20"/>
              </w:rPr>
              <w:t>931 </w:t>
            </w:r>
          </w:p>
        </w:tc>
        <w:tc>
          <w:tcPr>
            <w:tcW w:w="0" w:type="auto"/>
            <w:shd w:val="clear" w:color="auto" w:fill="CCEEFF"/>
            <w:tcMar>
              <w:top w:w="40" w:type="dxa"/>
              <w:left w:w="0" w:type="dxa"/>
              <w:bottom w:w="40" w:type="dxa"/>
              <w:right w:w="20" w:type="dxa"/>
            </w:tcMar>
            <w:vAlign w:val="bottom"/>
          </w:tcPr>
          <w:p w14:paraId="5902B07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7B"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07C"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7D" w14:textId="77777777" w:rsidR="0084406A" w:rsidRDefault="002B18AF">
            <w:pPr>
              <w:jc w:val="right"/>
              <w:textAlignment w:val="bottom"/>
            </w:pPr>
            <w:r>
              <w:rPr>
                <w:rFonts w:ascii="Arial" w:eastAsia="宋体" w:hAnsi="Arial" w:cs="Arial"/>
                <w:color w:val="000000"/>
                <w:sz w:val="20"/>
                <w:szCs w:val="20"/>
              </w:rPr>
              <w:t>1,245 </w:t>
            </w:r>
          </w:p>
        </w:tc>
        <w:tc>
          <w:tcPr>
            <w:tcW w:w="0" w:type="auto"/>
            <w:shd w:val="clear" w:color="auto" w:fill="CCEEFF"/>
            <w:tcMar>
              <w:top w:w="40" w:type="dxa"/>
              <w:left w:w="0" w:type="dxa"/>
              <w:bottom w:w="40" w:type="dxa"/>
              <w:right w:w="20" w:type="dxa"/>
            </w:tcMar>
            <w:vAlign w:val="bottom"/>
          </w:tcPr>
          <w:p w14:paraId="5902B07E" w14:textId="77777777" w:rsidR="0084406A" w:rsidRDefault="0084406A">
            <w:pPr>
              <w:jc w:val="right"/>
              <w:rPr>
                <w:rFonts w:ascii="宋体"/>
              </w:rPr>
            </w:pPr>
          </w:p>
        </w:tc>
      </w:tr>
      <w:tr w:rsidR="0084406A" w14:paraId="5902B084" w14:textId="77777777">
        <w:trPr>
          <w:hidden/>
        </w:trPr>
        <w:tc>
          <w:tcPr>
            <w:tcW w:w="0" w:type="auto"/>
            <w:gridSpan w:val="3"/>
            <w:shd w:val="clear" w:color="auto" w:fill="auto"/>
            <w:vAlign w:val="bottom"/>
          </w:tcPr>
          <w:p w14:paraId="5902B080" w14:textId="77777777" w:rsidR="0084406A" w:rsidRDefault="0084406A">
            <w:pPr>
              <w:rPr>
                <w:rFonts w:ascii="宋体"/>
                <w:vanish/>
              </w:rPr>
            </w:pPr>
          </w:p>
        </w:tc>
        <w:tc>
          <w:tcPr>
            <w:tcW w:w="0" w:type="auto"/>
            <w:gridSpan w:val="3"/>
            <w:shd w:val="clear" w:color="auto" w:fill="auto"/>
            <w:vAlign w:val="bottom"/>
          </w:tcPr>
          <w:p w14:paraId="5902B081" w14:textId="77777777" w:rsidR="0084406A" w:rsidRDefault="0084406A">
            <w:pPr>
              <w:rPr>
                <w:rFonts w:ascii="宋体"/>
                <w:vanish/>
              </w:rPr>
            </w:pPr>
          </w:p>
        </w:tc>
        <w:tc>
          <w:tcPr>
            <w:tcW w:w="0" w:type="auto"/>
            <w:gridSpan w:val="3"/>
            <w:shd w:val="clear" w:color="auto" w:fill="auto"/>
            <w:vAlign w:val="bottom"/>
          </w:tcPr>
          <w:p w14:paraId="5902B082" w14:textId="77777777" w:rsidR="0084406A" w:rsidRDefault="0084406A">
            <w:pPr>
              <w:rPr>
                <w:rFonts w:ascii="宋体"/>
                <w:vanish/>
              </w:rPr>
            </w:pPr>
          </w:p>
        </w:tc>
        <w:tc>
          <w:tcPr>
            <w:tcW w:w="0" w:type="auto"/>
            <w:gridSpan w:val="3"/>
            <w:shd w:val="clear" w:color="auto" w:fill="auto"/>
            <w:vAlign w:val="bottom"/>
          </w:tcPr>
          <w:p w14:paraId="5902B083" w14:textId="77777777" w:rsidR="0084406A" w:rsidRDefault="0084406A">
            <w:pPr>
              <w:rPr>
                <w:rFonts w:ascii="宋体"/>
                <w:vanish/>
              </w:rPr>
            </w:pPr>
          </w:p>
        </w:tc>
      </w:tr>
      <w:tr w:rsidR="0084406A" w14:paraId="5902B08B" w14:textId="77777777">
        <w:tc>
          <w:tcPr>
            <w:tcW w:w="0" w:type="auto"/>
            <w:gridSpan w:val="3"/>
            <w:shd w:val="clear" w:color="auto" w:fill="FFFFFF"/>
            <w:tcMar>
              <w:top w:w="40" w:type="dxa"/>
              <w:left w:w="20" w:type="dxa"/>
              <w:bottom w:w="40" w:type="dxa"/>
              <w:right w:w="20" w:type="dxa"/>
            </w:tcMar>
            <w:vAlign w:val="bottom"/>
          </w:tcPr>
          <w:p w14:paraId="5902B085" w14:textId="77777777" w:rsidR="0084406A" w:rsidRDefault="002B18AF">
            <w:pPr>
              <w:textAlignment w:val="bottom"/>
            </w:pPr>
            <w:r>
              <w:rPr>
                <w:rFonts w:ascii="Arial" w:eastAsia="宋体" w:hAnsi="Arial" w:cs="Arial"/>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5902B086" w14:textId="77777777" w:rsidR="0084406A" w:rsidRDefault="002B18AF">
            <w:pPr>
              <w:jc w:val="right"/>
              <w:textAlignment w:val="bottom"/>
            </w:pPr>
            <w:r>
              <w:rPr>
                <w:rFonts w:ascii="Arial" w:eastAsia="宋体" w:hAnsi="Arial" w:cs="Arial"/>
                <w:color w:val="000000"/>
                <w:sz w:val="20"/>
                <w:szCs w:val="20"/>
              </w:rPr>
              <w:t>(12)</w:t>
            </w:r>
          </w:p>
        </w:tc>
        <w:tc>
          <w:tcPr>
            <w:tcW w:w="0" w:type="auto"/>
            <w:shd w:val="clear" w:color="auto" w:fill="FFFFFF"/>
            <w:tcMar>
              <w:top w:w="40" w:type="dxa"/>
              <w:left w:w="0" w:type="dxa"/>
              <w:bottom w:w="40" w:type="dxa"/>
              <w:right w:w="20" w:type="dxa"/>
            </w:tcMar>
            <w:vAlign w:val="bottom"/>
          </w:tcPr>
          <w:p w14:paraId="5902B08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8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89" w14:textId="77777777" w:rsidR="0084406A" w:rsidRDefault="002B18AF">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5902B08A" w14:textId="77777777" w:rsidR="0084406A" w:rsidRDefault="0084406A">
            <w:pPr>
              <w:jc w:val="right"/>
              <w:rPr>
                <w:rFonts w:ascii="宋体"/>
              </w:rPr>
            </w:pPr>
          </w:p>
        </w:tc>
      </w:tr>
      <w:tr w:rsidR="0084406A" w14:paraId="5902B094" w14:textId="77777777">
        <w:tc>
          <w:tcPr>
            <w:tcW w:w="0" w:type="auto"/>
            <w:gridSpan w:val="3"/>
            <w:shd w:val="clear" w:color="auto" w:fill="CCEEFF"/>
            <w:tcMar>
              <w:top w:w="40" w:type="dxa"/>
              <w:left w:w="20" w:type="dxa"/>
              <w:bottom w:w="40" w:type="dxa"/>
              <w:right w:w="20" w:type="dxa"/>
            </w:tcMar>
            <w:vAlign w:val="bottom"/>
          </w:tcPr>
          <w:p w14:paraId="5902B08C" w14:textId="77777777" w:rsidR="0084406A" w:rsidRDefault="002B18AF">
            <w:pPr>
              <w:textAlignment w:val="bottom"/>
            </w:pPr>
            <w:r>
              <w:rPr>
                <w:rFonts w:ascii="Arial" w:eastAsia="宋体" w:hAnsi="Arial" w:cs="Arial"/>
                <w:color w:val="000000"/>
                <w:sz w:val="20"/>
                <w:szCs w:val="20"/>
              </w:rPr>
              <w:t>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08D"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08E" w14:textId="77777777" w:rsidR="0084406A" w:rsidRDefault="002B18AF">
            <w:pPr>
              <w:jc w:val="right"/>
              <w:textAlignment w:val="bottom"/>
            </w:pPr>
            <w:r>
              <w:rPr>
                <w:rFonts w:ascii="Arial" w:eastAsia="宋体" w:hAnsi="Arial" w:cs="Arial"/>
                <w:color w:val="000000"/>
                <w:sz w:val="20"/>
                <w:szCs w:val="20"/>
              </w:rPr>
              <w:t>919 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08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90"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09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092" w14:textId="77777777" w:rsidR="0084406A" w:rsidRDefault="002B18AF">
            <w:pPr>
              <w:jc w:val="right"/>
              <w:textAlignment w:val="bottom"/>
            </w:pPr>
            <w:r>
              <w:rPr>
                <w:rFonts w:ascii="Arial" w:eastAsia="宋体" w:hAnsi="Arial" w:cs="Arial"/>
                <w:color w:val="000000"/>
                <w:sz w:val="20"/>
                <w:szCs w:val="20"/>
              </w:rPr>
              <w:t>1,234 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093" w14:textId="77777777" w:rsidR="0084406A" w:rsidRDefault="0084406A">
            <w:pPr>
              <w:jc w:val="right"/>
              <w:rPr>
                <w:rFonts w:ascii="宋体"/>
              </w:rPr>
            </w:pPr>
          </w:p>
        </w:tc>
      </w:tr>
    </w:tbl>
    <w:p w14:paraId="5902B095" w14:textId="77777777" w:rsidR="0084406A" w:rsidRDefault="002B18AF">
      <w:pPr>
        <w:spacing w:before="180"/>
        <w:jc w:val="both"/>
      </w:pPr>
      <w:r>
        <w:rPr>
          <w:rFonts w:ascii="Arial" w:eastAsia="宋体" w:hAnsi="Arial" w:cs="Arial"/>
          <w:color w:val="000000"/>
          <w:sz w:val="20"/>
          <w:szCs w:val="20"/>
        </w:rPr>
        <w:t xml:space="preserve">Through the end of fiscal year 2021, the Company </w:t>
      </w:r>
      <w:r>
        <w:rPr>
          <w:rFonts w:ascii="Arial" w:eastAsia="宋体" w:hAnsi="Arial" w:cs="Arial"/>
          <w:color w:val="000000"/>
          <w:sz w:val="20"/>
          <w:szCs w:val="20"/>
        </w:rPr>
        <w:t>continued to maintain a valuation allowance of approximately $1.7 billion for certain federal, state, and foreign tax attributes. The federal valuation allowance maintained is due to limitations under Internal Revenue Code Section 382 or 383, separate retu</w:t>
      </w:r>
      <w:r>
        <w:rPr>
          <w:rFonts w:ascii="Arial" w:eastAsia="宋体" w:hAnsi="Arial" w:cs="Arial"/>
          <w:color w:val="000000"/>
          <w:sz w:val="20"/>
          <w:szCs w:val="20"/>
        </w:rPr>
        <w:t>rn loss year rules, or dual consolidated loss rules. Certain state and foreign valuation allowance maintained is due to lack of sufficient sources of future taxable income.</w:t>
      </w:r>
    </w:p>
    <w:p w14:paraId="5902B096" w14:textId="77777777" w:rsidR="0084406A" w:rsidRDefault="002B18AF">
      <w:pPr>
        <w:spacing w:before="180"/>
        <w:jc w:val="both"/>
      </w:pPr>
      <w:r>
        <w:rPr>
          <w:rFonts w:ascii="Arial" w:eastAsia="宋体" w:hAnsi="Arial" w:cs="Arial"/>
          <w:color w:val="000000"/>
          <w:sz w:val="20"/>
          <w:szCs w:val="20"/>
        </w:rPr>
        <w:t>The Company’s United States federal and state net operating losses carryforwards as</w:t>
      </w:r>
      <w:r>
        <w:rPr>
          <w:rFonts w:ascii="Arial" w:eastAsia="宋体" w:hAnsi="Arial" w:cs="Arial"/>
          <w:color w:val="000000"/>
          <w:sz w:val="20"/>
          <w:szCs w:val="20"/>
        </w:rPr>
        <w:t xml:space="preserve"> of December 25, 2021, were $1.9 billion and $265 million, respectively. Net operating losses may be subject to limitations by the Internal Revenue Code and similar provisions. The United States federal net operating losses will expire between 2034 and 203</w:t>
      </w:r>
      <w:r>
        <w:rPr>
          <w:rFonts w:ascii="Arial" w:eastAsia="宋体" w:hAnsi="Arial" w:cs="Arial"/>
          <w:color w:val="000000"/>
          <w:sz w:val="20"/>
          <w:szCs w:val="20"/>
        </w:rPr>
        <w:t>7, and the state net operating losses will expire at various dates through 2039. The federal tax credits of $441.8 million will expire at various dates between 2022 and 2041. The state tax credits of $288 million will expire at various dates between 2022 t</w:t>
      </w:r>
      <w:r>
        <w:rPr>
          <w:rFonts w:ascii="Arial" w:eastAsia="宋体" w:hAnsi="Arial" w:cs="Arial"/>
          <w:color w:val="000000"/>
          <w:sz w:val="20"/>
          <w:szCs w:val="20"/>
        </w:rPr>
        <w:t>hrough 2036 except for California R&amp;D credit, which does not expire. The Company also has $552 million of credit carryforward in Canada that will expire between 2026 and 2040.</w:t>
      </w:r>
    </w:p>
    <w:p w14:paraId="5902B097" w14:textId="77777777" w:rsidR="0084406A" w:rsidRDefault="002B18AF">
      <w:pPr>
        <w:spacing w:before="180"/>
        <w:jc w:val="both"/>
      </w:pPr>
      <w:r>
        <w:rPr>
          <w:rFonts w:ascii="Arial" w:eastAsia="宋体" w:hAnsi="Arial" w:cs="Arial"/>
          <w:color w:val="000000"/>
          <w:sz w:val="20"/>
          <w:szCs w:val="20"/>
        </w:rPr>
        <w:t xml:space="preserve">Under current U.S. tax law the impact of future distributions of </w:t>
      </w:r>
      <w:r>
        <w:rPr>
          <w:rFonts w:ascii="Arial" w:eastAsia="宋体" w:hAnsi="Arial" w:cs="Arial"/>
          <w:color w:val="000000"/>
          <w:sz w:val="20"/>
          <w:szCs w:val="20"/>
        </w:rPr>
        <w:t>undistributed earnings that are indefinitely reinvested are anticipated to be withholding taxes from local jurisdictions and non-conforming U.S. state jurisdictions. The amount of cumulative undistributed earnings that are permanently reinvested that could</w:t>
      </w:r>
      <w:r>
        <w:rPr>
          <w:rFonts w:ascii="Arial" w:eastAsia="宋体" w:hAnsi="Arial" w:cs="Arial"/>
          <w:color w:val="000000"/>
          <w:sz w:val="20"/>
          <w:szCs w:val="20"/>
        </w:rPr>
        <w:t xml:space="preserve"> be subject to withholding taxes are $364 million as of December 25, 2021.</w:t>
      </w:r>
    </w:p>
    <w:p w14:paraId="5902B098" w14:textId="77777777" w:rsidR="0084406A" w:rsidRDefault="002B18AF">
      <w:pPr>
        <w:spacing w:before="180"/>
      </w:pPr>
      <w:r>
        <w:rPr>
          <w:rFonts w:ascii="Arial" w:eastAsia="宋体" w:hAnsi="Arial" w:cs="Arial"/>
          <w:color w:val="000000"/>
          <w:sz w:val="20"/>
          <w:szCs w:val="20"/>
        </w:rPr>
        <w:t>A reconciliation of the Company's gross unrecognized tax benefits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8"/>
        <w:gridCol w:w="133"/>
        <w:gridCol w:w="1038"/>
        <w:gridCol w:w="36"/>
        <w:gridCol w:w="36"/>
        <w:gridCol w:w="36"/>
        <w:gridCol w:w="36"/>
        <w:gridCol w:w="133"/>
        <w:gridCol w:w="1038"/>
        <w:gridCol w:w="36"/>
        <w:gridCol w:w="36"/>
        <w:gridCol w:w="36"/>
        <w:gridCol w:w="36"/>
        <w:gridCol w:w="133"/>
        <w:gridCol w:w="1038"/>
        <w:gridCol w:w="36"/>
      </w:tblGrid>
      <w:tr w:rsidR="0084406A" w14:paraId="5902B0AB" w14:textId="77777777">
        <w:tc>
          <w:tcPr>
            <w:tcW w:w="50" w:type="pct"/>
            <w:shd w:val="clear" w:color="auto" w:fill="auto"/>
            <w:vAlign w:val="bottom"/>
          </w:tcPr>
          <w:p w14:paraId="5902B099" w14:textId="77777777" w:rsidR="0084406A" w:rsidRDefault="0084406A">
            <w:pPr>
              <w:rPr>
                <w:rFonts w:ascii="宋体"/>
              </w:rPr>
            </w:pPr>
          </w:p>
        </w:tc>
        <w:tc>
          <w:tcPr>
            <w:tcW w:w="2715" w:type="pct"/>
            <w:shd w:val="clear" w:color="auto" w:fill="auto"/>
            <w:vAlign w:val="bottom"/>
          </w:tcPr>
          <w:p w14:paraId="5902B09A" w14:textId="77777777" w:rsidR="0084406A" w:rsidRDefault="0084406A">
            <w:pPr>
              <w:rPr>
                <w:rFonts w:ascii="宋体"/>
              </w:rPr>
            </w:pPr>
          </w:p>
        </w:tc>
        <w:tc>
          <w:tcPr>
            <w:tcW w:w="5" w:type="pct"/>
            <w:shd w:val="clear" w:color="auto" w:fill="auto"/>
            <w:vAlign w:val="bottom"/>
          </w:tcPr>
          <w:p w14:paraId="5902B09B" w14:textId="77777777" w:rsidR="0084406A" w:rsidRDefault="0084406A">
            <w:pPr>
              <w:rPr>
                <w:rFonts w:ascii="宋体"/>
              </w:rPr>
            </w:pPr>
          </w:p>
        </w:tc>
        <w:tc>
          <w:tcPr>
            <w:tcW w:w="50" w:type="pct"/>
            <w:shd w:val="clear" w:color="auto" w:fill="auto"/>
            <w:vAlign w:val="bottom"/>
          </w:tcPr>
          <w:p w14:paraId="5902B09C" w14:textId="77777777" w:rsidR="0084406A" w:rsidRDefault="0084406A">
            <w:pPr>
              <w:rPr>
                <w:rFonts w:ascii="宋体"/>
              </w:rPr>
            </w:pPr>
          </w:p>
        </w:tc>
        <w:tc>
          <w:tcPr>
            <w:tcW w:w="668" w:type="pct"/>
            <w:shd w:val="clear" w:color="auto" w:fill="auto"/>
            <w:vAlign w:val="bottom"/>
          </w:tcPr>
          <w:p w14:paraId="5902B09D" w14:textId="77777777" w:rsidR="0084406A" w:rsidRDefault="0084406A">
            <w:pPr>
              <w:rPr>
                <w:rFonts w:ascii="宋体"/>
              </w:rPr>
            </w:pPr>
          </w:p>
        </w:tc>
        <w:tc>
          <w:tcPr>
            <w:tcW w:w="5" w:type="pct"/>
            <w:shd w:val="clear" w:color="auto" w:fill="auto"/>
            <w:vAlign w:val="bottom"/>
          </w:tcPr>
          <w:p w14:paraId="5902B09E" w14:textId="77777777" w:rsidR="0084406A" w:rsidRDefault="0084406A">
            <w:pPr>
              <w:rPr>
                <w:rFonts w:ascii="宋体"/>
              </w:rPr>
            </w:pPr>
          </w:p>
        </w:tc>
        <w:tc>
          <w:tcPr>
            <w:tcW w:w="5" w:type="pct"/>
            <w:shd w:val="clear" w:color="auto" w:fill="auto"/>
            <w:vAlign w:val="bottom"/>
          </w:tcPr>
          <w:p w14:paraId="5902B09F" w14:textId="77777777" w:rsidR="0084406A" w:rsidRDefault="0084406A">
            <w:pPr>
              <w:rPr>
                <w:rFonts w:ascii="宋体"/>
              </w:rPr>
            </w:pPr>
          </w:p>
        </w:tc>
        <w:tc>
          <w:tcPr>
            <w:tcW w:w="19" w:type="pct"/>
            <w:shd w:val="clear" w:color="auto" w:fill="auto"/>
            <w:vAlign w:val="bottom"/>
          </w:tcPr>
          <w:p w14:paraId="5902B0A0" w14:textId="77777777" w:rsidR="0084406A" w:rsidRDefault="0084406A">
            <w:pPr>
              <w:rPr>
                <w:rFonts w:ascii="宋体"/>
              </w:rPr>
            </w:pPr>
          </w:p>
        </w:tc>
        <w:tc>
          <w:tcPr>
            <w:tcW w:w="5" w:type="pct"/>
            <w:shd w:val="clear" w:color="auto" w:fill="auto"/>
            <w:vAlign w:val="bottom"/>
          </w:tcPr>
          <w:p w14:paraId="5902B0A1" w14:textId="77777777" w:rsidR="0084406A" w:rsidRDefault="0084406A">
            <w:pPr>
              <w:rPr>
                <w:rFonts w:ascii="宋体"/>
              </w:rPr>
            </w:pPr>
          </w:p>
        </w:tc>
        <w:tc>
          <w:tcPr>
            <w:tcW w:w="50" w:type="pct"/>
            <w:shd w:val="clear" w:color="auto" w:fill="auto"/>
            <w:vAlign w:val="bottom"/>
          </w:tcPr>
          <w:p w14:paraId="5902B0A2" w14:textId="77777777" w:rsidR="0084406A" w:rsidRDefault="0084406A">
            <w:pPr>
              <w:rPr>
                <w:rFonts w:ascii="宋体"/>
              </w:rPr>
            </w:pPr>
          </w:p>
        </w:tc>
        <w:tc>
          <w:tcPr>
            <w:tcW w:w="668" w:type="pct"/>
            <w:shd w:val="clear" w:color="auto" w:fill="auto"/>
            <w:vAlign w:val="bottom"/>
          </w:tcPr>
          <w:p w14:paraId="5902B0A3" w14:textId="77777777" w:rsidR="0084406A" w:rsidRDefault="0084406A">
            <w:pPr>
              <w:rPr>
                <w:rFonts w:ascii="宋体"/>
              </w:rPr>
            </w:pPr>
          </w:p>
        </w:tc>
        <w:tc>
          <w:tcPr>
            <w:tcW w:w="5" w:type="pct"/>
            <w:shd w:val="clear" w:color="auto" w:fill="auto"/>
            <w:vAlign w:val="bottom"/>
          </w:tcPr>
          <w:p w14:paraId="5902B0A4" w14:textId="77777777" w:rsidR="0084406A" w:rsidRDefault="0084406A">
            <w:pPr>
              <w:rPr>
                <w:rFonts w:ascii="宋体"/>
              </w:rPr>
            </w:pPr>
          </w:p>
        </w:tc>
        <w:tc>
          <w:tcPr>
            <w:tcW w:w="5" w:type="pct"/>
            <w:shd w:val="clear" w:color="auto" w:fill="auto"/>
            <w:vAlign w:val="bottom"/>
          </w:tcPr>
          <w:p w14:paraId="5902B0A5" w14:textId="77777777" w:rsidR="0084406A" w:rsidRDefault="0084406A">
            <w:pPr>
              <w:rPr>
                <w:rFonts w:ascii="宋体"/>
              </w:rPr>
            </w:pPr>
          </w:p>
        </w:tc>
        <w:tc>
          <w:tcPr>
            <w:tcW w:w="19" w:type="pct"/>
            <w:shd w:val="clear" w:color="auto" w:fill="auto"/>
            <w:vAlign w:val="bottom"/>
          </w:tcPr>
          <w:p w14:paraId="5902B0A6" w14:textId="77777777" w:rsidR="0084406A" w:rsidRDefault="0084406A">
            <w:pPr>
              <w:rPr>
                <w:rFonts w:ascii="宋体"/>
              </w:rPr>
            </w:pPr>
          </w:p>
        </w:tc>
        <w:tc>
          <w:tcPr>
            <w:tcW w:w="5" w:type="pct"/>
            <w:shd w:val="clear" w:color="auto" w:fill="auto"/>
            <w:vAlign w:val="bottom"/>
          </w:tcPr>
          <w:p w14:paraId="5902B0A7" w14:textId="77777777" w:rsidR="0084406A" w:rsidRDefault="0084406A">
            <w:pPr>
              <w:rPr>
                <w:rFonts w:ascii="宋体"/>
              </w:rPr>
            </w:pPr>
          </w:p>
        </w:tc>
        <w:tc>
          <w:tcPr>
            <w:tcW w:w="50" w:type="pct"/>
            <w:shd w:val="clear" w:color="auto" w:fill="auto"/>
            <w:vAlign w:val="bottom"/>
          </w:tcPr>
          <w:p w14:paraId="5902B0A8" w14:textId="77777777" w:rsidR="0084406A" w:rsidRDefault="0084406A">
            <w:pPr>
              <w:rPr>
                <w:rFonts w:ascii="宋体"/>
              </w:rPr>
            </w:pPr>
          </w:p>
        </w:tc>
        <w:tc>
          <w:tcPr>
            <w:tcW w:w="668" w:type="pct"/>
            <w:shd w:val="clear" w:color="auto" w:fill="auto"/>
            <w:vAlign w:val="bottom"/>
          </w:tcPr>
          <w:p w14:paraId="5902B0A9" w14:textId="77777777" w:rsidR="0084406A" w:rsidRDefault="0084406A">
            <w:pPr>
              <w:rPr>
                <w:rFonts w:ascii="宋体"/>
              </w:rPr>
            </w:pPr>
          </w:p>
        </w:tc>
        <w:tc>
          <w:tcPr>
            <w:tcW w:w="5" w:type="pct"/>
            <w:shd w:val="clear" w:color="auto" w:fill="auto"/>
            <w:vAlign w:val="bottom"/>
          </w:tcPr>
          <w:p w14:paraId="5902B0AA" w14:textId="77777777" w:rsidR="0084406A" w:rsidRDefault="0084406A">
            <w:pPr>
              <w:rPr>
                <w:rFonts w:ascii="宋体"/>
              </w:rPr>
            </w:pPr>
          </w:p>
        </w:tc>
      </w:tr>
      <w:tr w:rsidR="0084406A" w14:paraId="5902B0B2" w14:textId="77777777">
        <w:tc>
          <w:tcPr>
            <w:tcW w:w="0" w:type="auto"/>
            <w:gridSpan w:val="3"/>
            <w:shd w:val="clear" w:color="auto" w:fill="auto"/>
            <w:tcMar>
              <w:top w:w="0" w:type="dxa"/>
              <w:left w:w="20" w:type="dxa"/>
              <w:bottom w:w="0" w:type="dxa"/>
              <w:right w:w="20" w:type="dxa"/>
            </w:tcMar>
            <w:vAlign w:val="bottom"/>
          </w:tcPr>
          <w:p w14:paraId="5902B0A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0AD"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0AE"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0AF"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0B0"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0B1"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0B5" w14:textId="77777777">
        <w:tc>
          <w:tcPr>
            <w:tcW w:w="0" w:type="auto"/>
            <w:gridSpan w:val="3"/>
            <w:shd w:val="clear" w:color="auto" w:fill="auto"/>
            <w:tcMar>
              <w:top w:w="40" w:type="dxa"/>
              <w:left w:w="20" w:type="dxa"/>
              <w:bottom w:w="40" w:type="dxa"/>
              <w:right w:w="20" w:type="dxa"/>
            </w:tcMar>
            <w:vAlign w:val="bottom"/>
          </w:tcPr>
          <w:p w14:paraId="5902B0B3"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0B4" w14:textId="77777777" w:rsidR="0084406A" w:rsidRDefault="002B18AF">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r>
      <w:tr w:rsidR="0084406A" w14:paraId="5902B0C2" w14:textId="77777777">
        <w:tc>
          <w:tcPr>
            <w:tcW w:w="0" w:type="auto"/>
            <w:gridSpan w:val="3"/>
            <w:shd w:val="clear" w:color="auto" w:fill="CCEEFF"/>
            <w:tcMar>
              <w:top w:w="40" w:type="dxa"/>
              <w:left w:w="20" w:type="dxa"/>
              <w:bottom w:w="40" w:type="dxa"/>
              <w:right w:w="20" w:type="dxa"/>
            </w:tcMar>
            <w:vAlign w:val="bottom"/>
          </w:tcPr>
          <w:p w14:paraId="5902B0B6" w14:textId="77777777" w:rsidR="0084406A" w:rsidRDefault="002B18AF">
            <w:pPr>
              <w:textAlignment w:val="bottom"/>
            </w:pPr>
            <w:r>
              <w:rPr>
                <w:rFonts w:ascii="Arial" w:eastAsia="宋体" w:hAnsi="Arial" w:cs="Arial"/>
                <w:color w:val="000000"/>
                <w:sz w:val="20"/>
                <w:szCs w:val="20"/>
              </w:rPr>
              <w:t>Balance at beginning of year</w:t>
            </w:r>
          </w:p>
        </w:tc>
        <w:tc>
          <w:tcPr>
            <w:tcW w:w="0" w:type="auto"/>
            <w:shd w:val="clear" w:color="auto" w:fill="CCEEFF"/>
            <w:tcMar>
              <w:top w:w="40" w:type="dxa"/>
              <w:left w:w="20" w:type="dxa"/>
              <w:bottom w:w="40" w:type="dxa"/>
              <w:right w:w="0" w:type="dxa"/>
            </w:tcMar>
            <w:vAlign w:val="bottom"/>
          </w:tcPr>
          <w:p w14:paraId="5902B0B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B8" w14:textId="77777777" w:rsidR="0084406A" w:rsidRDefault="002B18AF">
            <w:pPr>
              <w:jc w:val="right"/>
              <w:textAlignment w:val="bottom"/>
            </w:pPr>
            <w:r>
              <w:rPr>
                <w:rFonts w:ascii="Arial" w:eastAsia="宋体" w:hAnsi="Arial" w:cs="Arial"/>
                <w:color w:val="000000"/>
                <w:sz w:val="20"/>
                <w:szCs w:val="20"/>
              </w:rPr>
              <w:t>119 </w:t>
            </w:r>
          </w:p>
        </w:tc>
        <w:tc>
          <w:tcPr>
            <w:tcW w:w="0" w:type="auto"/>
            <w:shd w:val="clear" w:color="auto" w:fill="CCEEFF"/>
            <w:tcMar>
              <w:top w:w="40" w:type="dxa"/>
              <w:left w:w="0" w:type="dxa"/>
              <w:bottom w:w="40" w:type="dxa"/>
              <w:right w:w="20" w:type="dxa"/>
            </w:tcMar>
            <w:vAlign w:val="bottom"/>
          </w:tcPr>
          <w:p w14:paraId="5902B0B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BA"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0B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BC" w14:textId="77777777" w:rsidR="0084406A" w:rsidRDefault="002B18AF">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5902B0B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BE"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0B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0C0" w14:textId="77777777" w:rsidR="0084406A" w:rsidRDefault="002B18AF">
            <w:pPr>
              <w:jc w:val="right"/>
              <w:textAlignment w:val="bottom"/>
            </w:pPr>
            <w:r>
              <w:rPr>
                <w:rFonts w:ascii="Arial" w:eastAsia="宋体" w:hAnsi="Arial" w:cs="Arial"/>
                <w:color w:val="000000"/>
                <w:sz w:val="20"/>
                <w:szCs w:val="20"/>
              </w:rPr>
              <w:t>49 </w:t>
            </w:r>
          </w:p>
        </w:tc>
        <w:tc>
          <w:tcPr>
            <w:tcW w:w="0" w:type="auto"/>
            <w:shd w:val="clear" w:color="auto" w:fill="CCEEFF"/>
            <w:tcMar>
              <w:top w:w="40" w:type="dxa"/>
              <w:left w:w="0" w:type="dxa"/>
              <w:bottom w:w="40" w:type="dxa"/>
              <w:right w:w="20" w:type="dxa"/>
            </w:tcMar>
            <w:vAlign w:val="bottom"/>
          </w:tcPr>
          <w:p w14:paraId="5902B0C1" w14:textId="77777777" w:rsidR="0084406A" w:rsidRDefault="0084406A">
            <w:pPr>
              <w:jc w:val="right"/>
              <w:rPr>
                <w:rFonts w:ascii="宋体"/>
              </w:rPr>
            </w:pPr>
          </w:p>
        </w:tc>
      </w:tr>
      <w:tr w:rsidR="0084406A" w14:paraId="5902B0CC" w14:textId="77777777">
        <w:tc>
          <w:tcPr>
            <w:tcW w:w="0" w:type="auto"/>
            <w:gridSpan w:val="3"/>
            <w:shd w:val="clear" w:color="auto" w:fill="FFFFFF"/>
            <w:tcMar>
              <w:top w:w="40" w:type="dxa"/>
              <w:left w:w="20" w:type="dxa"/>
              <w:bottom w:w="40" w:type="dxa"/>
              <w:right w:w="20" w:type="dxa"/>
            </w:tcMar>
            <w:vAlign w:val="bottom"/>
          </w:tcPr>
          <w:p w14:paraId="5902B0C3" w14:textId="77777777" w:rsidR="0084406A" w:rsidRDefault="002B18AF">
            <w:pPr>
              <w:textAlignment w:val="bottom"/>
            </w:pPr>
            <w:r>
              <w:rPr>
                <w:rFonts w:ascii="Arial" w:eastAsia="宋体" w:hAnsi="Arial" w:cs="Arial"/>
                <w:color w:val="000000"/>
                <w:sz w:val="20"/>
                <w:szCs w:val="20"/>
              </w:rPr>
              <w:t>Increases for tax positions taken in prior years</w:t>
            </w:r>
          </w:p>
        </w:tc>
        <w:tc>
          <w:tcPr>
            <w:tcW w:w="0" w:type="auto"/>
            <w:gridSpan w:val="2"/>
            <w:shd w:val="clear" w:color="auto" w:fill="FFFFFF"/>
            <w:tcMar>
              <w:top w:w="40" w:type="dxa"/>
              <w:left w:w="20" w:type="dxa"/>
              <w:bottom w:w="40" w:type="dxa"/>
              <w:right w:w="0" w:type="dxa"/>
            </w:tcMar>
            <w:vAlign w:val="bottom"/>
          </w:tcPr>
          <w:p w14:paraId="5902B0C4" w14:textId="77777777" w:rsidR="0084406A" w:rsidRDefault="002B18AF">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5902B0C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C6"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C7" w14:textId="77777777" w:rsidR="0084406A" w:rsidRDefault="002B18AF">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5902B0C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C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CA" w14:textId="77777777" w:rsidR="0084406A" w:rsidRDefault="002B18AF">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5902B0CB" w14:textId="77777777" w:rsidR="0084406A" w:rsidRDefault="0084406A">
            <w:pPr>
              <w:jc w:val="right"/>
              <w:rPr>
                <w:rFonts w:ascii="宋体"/>
              </w:rPr>
            </w:pPr>
          </w:p>
        </w:tc>
      </w:tr>
      <w:tr w:rsidR="0084406A" w14:paraId="5902B0D6" w14:textId="77777777">
        <w:tc>
          <w:tcPr>
            <w:tcW w:w="0" w:type="auto"/>
            <w:gridSpan w:val="3"/>
            <w:shd w:val="clear" w:color="auto" w:fill="CCEEFF"/>
            <w:tcMar>
              <w:top w:w="40" w:type="dxa"/>
              <w:left w:w="20" w:type="dxa"/>
              <w:bottom w:w="40" w:type="dxa"/>
              <w:right w:w="20" w:type="dxa"/>
            </w:tcMar>
            <w:vAlign w:val="bottom"/>
          </w:tcPr>
          <w:p w14:paraId="5902B0CD" w14:textId="77777777" w:rsidR="0084406A" w:rsidRDefault="002B18AF">
            <w:pPr>
              <w:textAlignment w:val="bottom"/>
            </w:pPr>
            <w:r>
              <w:rPr>
                <w:rFonts w:ascii="Arial" w:eastAsia="宋体" w:hAnsi="Arial" w:cs="Arial"/>
                <w:color w:val="000000"/>
                <w:sz w:val="20"/>
                <w:szCs w:val="20"/>
              </w:rPr>
              <w:t>Decreases for tax positions taken in prior years</w:t>
            </w:r>
          </w:p>
        </w:tc>
        <w:tc>
          <w:tcPr>
            <w:tcW w:w="0" w:type="auto"/>
            <w:gridSpan w:val="2"/>
            <w:shd w:val="clear" w:color="auto" w:fill="CCEEFF"/>
            <w:tcMar>
              <w:top w:w="40" w:type="dxa"/>
              <w:left w:w="20" w:type="dxa"/>
              <w:bottom w:w="40" w:type="dxa"/>
              <w:right w:w="0" w:type="dxa"/>
            </w:tcMar>
            <w:vAlign w:val="bottom"/>
          </w:tcPr>
          <w:p w14:paraId="5902B0CE" w14:textId="77777777" w:rsidR="0084406A" w:rsidRDefault="002B18AF">
            <w:pPr>
              <w:jc w:val="right"/>
              <w:textAlignment w:val="bottom"/>
            </w:pPr>
            <w:r>
              <w:rPr>
                <w:rFonts w:ascii="Arial" w:eastAsia="宋体" w:hAnsi="Arial" w:cs="Arial"/>
                <w:color w:val="000000"/>
                <w:sz w:val="20"/>
                <w:szCs w:val="20"/>
              </w:rPr>
              <w:t>(9)</w:t>
            </w:r>
          </w:p>
        </w:tc>
        <w:tc>
          <w:tcPr>
            <w:tcW w:w="0" w:type="auto"/>
            <w:shd w:val="clear" w:color="auto" w:fill="CCEEFF"/>
            <w:tcMar>
              <w:top w:w="40" w:type="dxa"/>
              <w:left w:w="0" w:type="dxa"/>
              <w:bottom w:w="40" w:type="dxa"/>
              <w:right w:w="20" w:type="dxa"/>
            </w:tcMar>
            <w:vAlign w:val="bottom"/>
          </w:tcPr>
          <w:p w14:paraId="5902B0C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D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D1" w14:textId="77777777" w:rsidR="0084406A" w:rsidRDefault="002B18AF">
            <w:pPr>
              <w:jc w:val="right"/>
              <w:textAlignment w:val="bottom"/>
            </w:pPr>
            <w:r>
              <w:rPr>
                <w:rFonts w:ascii="Arial" w:eastAsia="宋体" w:hAnsi="Arial" w:cs="Arial"/>
                <w:color w:val="000000"/>
                <w:sz w:val="20"/>
                <w:szCs w:val="20"/>
              </w:rPr>
              <w:t>(15)</w:t>
            </w:r>
          </w:p>
        </w:tc>
        <w:tc>
          <w:tcPr>
            <w:tcW w:w="0" w:type="auto"/>
            <w:shd w:val="clear" w:color="auto" w:fill="CCEEFF"/>
            <w:tcMar>
              <w:top w:w="40" w:type="dxa"/>
              <w:left w:w="0" w:type="dxa"/>
              <w:bottom w:w="40" w:type="dxa"/>
              <w:right w:w="20" w:type="dxa"/>
            </w:tcMar>
            <w:vAlign w:val="bottom"/>
          </w:tcPr>
          <w:p w14:paraId="5902B0D2"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D3"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D4"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B0D5" w14:textId="77777777" w:rsidR="0084406A" w:rsidRDefault="0084406A">
            <w:pPr>
              <w:jc w:val="right"/>
              <w:rPr>
                <w:rFonts w:ascii="宋体"/>
              </w:rPr>
            </w:pPr>
          </w:p>
        </w:tc>
      </w:tr>
      <w:tr w:rsidR="0084406A" w14:paraId="5902B0E0" w14:textId="77777777">
        <w:tc>
          <w:tcPr>
            <w:tcW w:w="0" w:type="auto"/>
            <w:gridSpan w:val="3"/>
            <w:shd w:val="clear" w:color="auto" w:fill="FFFFFF"/>
            <w:tcMar>
              <w:top w:w="40" w:type="dxa"/>
              <w:left w:w="20" w:type="dxa"/>
              <w:bottom w:w="40" w:type="dxa"/>
              <w:right w:w="20" w:type="dxa"/>
            </w:tcMar>
            <w:vAlign w:val="bottom"/>
          </w:tcPr>
          <w:p w14:paraId="5902B0D7" w14:textId="77777777" w:rsidR="0084406A" w:rsidRDefault="002B18AF">
            <w:pPr>
              <w:textAlignment w:val="bottom"/>
            </w:pPr>
            <w:r>
              <w:rPr>
                <w:rFonts w:ascii="Arial" w:eastAsia="宋体" w:hAnsi="Arial" w:cs="Arial"/>
                <w:color w:val="000000"/>
                <w:sz w:val="20"/>
                <w:szCs w:val="20"/>
              </w:rPr>
              <w:t>Increases for tax positions taken in the current year</w:t>
            </w:r>
          </w:p>
        </w:tc>
        <w:tc>
          <w:tcPr>
            <w:tcW w:w="0" w:type="auto"/>
            <w:gridSpan w:val="2"/>
            <w:shd w:val="clear" w:color="auto" w:fill="FFFFFF"/>
            <w:tcMar>
              <w:top w:w="40" w:type="dxa"/>
              <w:left w:w="20" w:type="dxa"/>
              <w:bottom w:w="40" w:type="dxa"/>
              <w:right w:w="0" w:type="dxa"/>
            </w:tcMar>
            <w:vAlign w:val="bottom"/>
          </w:tcPr>
          <w:p w14:paraId="5902B0D8" w14:textId="77777777" w:rsidR="0084406A" w:rsidRDefault="002B18AF">
            <w:pPr>
              <w:jc w:val="right"/>
              <w:textAlignment w:val="bottom"/>
            </w:pPr>
            <w:r>
              <w:rPr>
                <w:rFonts w:ascii="Arial" w:eastAsia="宋体" w:hAnsi="Arial" w:cs="Arial"/>
                <w:color w:val="000000"/>
                <w:sz w:val="20"/>
                <w:szCs w:val="20"/>
              </w:rPr>
              <w:t>156 </w:t>
            </w:r>
          </w:p>
        </w:tc>
        <w:tc>
          <w:tcPr>
            <w:tcW w:w="0" w:type="auto"/>
            <w:shd w:val="clear" w:color="auto" w:fill="FFFFFF"/>
            <w:tcMar>
              <w:top w:w="40" w:type="dxa"/>
              <w:left w:w="0" w:type="dxa"/>
              <w:bottom w:w="40" w:type="dxa"/>
              <w:right w:w="20" w:type="dxa"/>
            </w:tcMar>
            <w:vAlign w:val="bottom"/>
          </w:tcPr>
          <w:p w14:paraId="5902B0D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D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DB" w14:textId="77777777" w:rsidR="0084406A" w:rsidRDefault="002B18AF">
            <w:pPr>
              <w:jc w:val="right"/>
              <w:textAlignment w:val="bottom"/>
            </w:pPr>
            <w:r>
              <w:rPr>
                <w:rFonts w:ascii="Arial" w:eastAsia="宋体" w:hAnsi="Arial" w:cs="Arial"/>
                <w:color w:val="000000"/>
                <w:sz w:val="20"/>
                <w:szCs w:val="20"/>
              </w:rPr>
              <w:t>30 </w:t>
            </w:r>
          </w:p>
        </w:tc>
        <w:tc>
          <w:tcPr>
            <w:tcW w:w="0" w:type="auto"/>
            <w:shd w:val="clear" w:color="auto" w:fill="FFFFFF"/>
            <w:tcMar>
              <w:top w:w="40" w:type="dxa"/>
              <w:left w:w="0" w:type="dxa"/>
              <w:bottom w:w="40" w:type="dxa"/>
              <w:right w:w="20" w:type="dxa"/>
            </w:tcMar>
            <w:vAlign w:val="bottom"/>
          </w:tcPr>
          <w:p w14:paraId="5902B0D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D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DE" w14:textId="77777777" w:rsidR="0084406A" w:rsidRDefault="002B18AF">
            <w:pPr>
              <w:jc w:val="right"/>
              <w:textAlignment w:val="bottom"/>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bottom"/>
          </w:tcPr>
          <w:p w14:paraId="5902B0DF" w14:textId="77777777" w:rsidR="0084406A" w:rsidRDefault="0084406A">
            <w:pPr>
              <w:jc w:val="right"/>
              <w:rPr>
                <w:rFonts w:ascii="宋体"/>
              </w:rPr>
            </w:pPr>
          </w:p>
        </w:tc>
      </w:tr>
      <w:tr w:rsidR="0084406A" w14:paraId="5902B0EA" w14:textId="77777777">
        <w:tc>
          <w:tcPr>
            <w:tcW w:w="0" w:type="auto"/>
            <w:gridSpan w:val="3"/>
            <w:shd w:val="clear" w:color="auto" w:fill="CCEEFF"/>
            <w:tcMar>
              <w:top w:w="40" w:type="dxa"/>
              <w:left w:w="20" w:type="dxa"/>
              <w:bottom w:w="40" w:type="dxa"/>
              <w:right w:w="20" w:type="dxa"/>
            </w:tcMar>
            <w:vAlign w:val="bottom"/>
          </w:tcPr>
          <w:p w14:paraId="5902B0E1" w14:textId="77777777" w:rsidR="0084406A" w:rsidRDefault="002B18AF">
            <w:pPr>
              <w:textAlignment w:val="bottom"/>
            </w:pPr>
            <w:r>
              <w:rPr>
                <w:rFonts w:ascii="Arial" w:eastAsia="宋体" w:hAnsi="Arial" w:cs="Arial"/>
                <w:color w:val="000000"/>
                <w:sz w:val="20"/>
                <w:szCs w:val="20"/>
              </w:rPr>
              <w:t xml:space="preserve">Decreases for settlements with </w:t>
            </w:r>
            <w:r>
              <w:rPr>
                <w:rFonts w:ascii="Arial" w:eastAsia="宋体" w:hAnsi="Arial" w:cs="Arial"/>
                <w:color w:val="000000"/>
                <w:sz w:val="20"/>
                <w:szCs w:val="20"/>
              </w:rPr>
              <w:t>taxing authorities</w:t>
            </w:r>
          </w:p>
        </w:tc>
        <w:tc>
          <w:tcPr>
            <w:tcW w:w="0" w:type="auto"/>
            <w:gridSpan w:val="2"/>
            <w:shd w:val="clear" w:color="auto" w:fill="CCEEFF"/>
            <w:tcMar>
              <w:top w:w="40" w:type="dxa"/>
              <w:left w:w="20" w:type="dxa"/>
              <w:bottom w:w="40" w:type="dxa"/>
              <w:right w:w="0" w:type="dxa"/>
            </w:tcMar>
            <w:vAlign w:val="bottom"/>
          </w:tcPr>
          <w:p w14:paraId="5902B0E2" w14:textId="77777777" w:rsidR="0084406A" w:rsidRDefault="002B18AF">
            <w:pPr>
              <w:jc w:val="right"/>
              <w:textAlignment w:val="bottom"/>
            </w:pPr>
            <w:r>
              <w:rPr>
                <w:rFonts w:ascii="Arial" w:eastAsia="宋体" w:hAnsi="Arial" w:cs="Arial"/>
                <w:color w:val="000000"/>
                <w:sz w:val="20"/>
                <w:szCs w:val="20"/>
              </w:rPr>
              <w:t>(5)</w:t>
            </w:r>
          </w:p>
        </w:tc>
        <w:tc>
          <w:tcPr>
            <w:tcW w:w="0" w:type="auto"/>
            <w:shd w:val="clear" w:color="auto" w:fill="CCEEFF"/>
            <w:tcMar>
              <w:top w:w="40" w:type="dxa"/>
              <w:left w:w="0" w:type="dxa"/>
              <w:bottom w:w="40" w:type="dxa"/>
              <w:right w:w="20" w:type="dxa"/>
            </w:tcMar>
            <w:vAlign w:val="bottom"/>
          </w:tcPr>
          <w:p w14:paraId="5902B0E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E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E5"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5902B0E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E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0E8" w14:textId="77777777" w:rsidR="0084406A" w:rsidRDefault="002B18AF">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5902B0E9" w14:textId="77777777" w:rsidR="0084406A" w:rsidRDefault="0084406A">
            <w:pPr>
              <w:jc w:val="right"/>
              <w:rPr>
                <w:rFonts w:ascii="宋体"/>
              </w:rPr>
            </w:pPr>
          </w:p>
        </w:tc>
      </w:tr>
      <w:tr w:rsidR="0084406A" w14:paraId="5902B0F4" w14:textId="77777777">
        <w:tc>
          <w:tcPr>
            <w:tcW w:w="0" w:type="auto"/>
            <w:gridSpan w:val="3"/>
            <w:shd w:val="clear" w:color="auto" w:fill="FFFFFF"/>
            <w:tcMar>
              <w:top w:w="40" w:type="dxa"/>
              <w:left w:w="20" w:type="dxa"/>
              <w:bottom w:w="40" w:type="dxa"/>
              <w:right w:w="20" w:type="dxa"/>
            </w:tcMar>
            <w:vAlign w:val="bottom"/>
          </w:tcPr>
          <w:p w14:paraId="5902B0EB" w14:textId="77777777" w:rsidR="0084406A" w:rsidRDefault="002B18AF">
            <w:pPr>
              <w:textAlignment w:val="bottom"/>
            </w:pPr>
            <w:r>
              <w:rPr>
                <w:rFonts w:ascii="Arial" w:eastAsia="宋体" w:hAnsi="Arial" w:cs="Arial"/>
                <w:color w:val="000000"/>
                <w:sz w:val="20"/>
                <w:szCs w:val="20"/>
              </w:rPr>
              <w:t>Decreases for lapsing of the statute of limitations</w:t>
            </w:r>
          </w:p>
        </w:tc>
        <w:tc>
          <w:tcPr>
            <w:tcW w:w="0" w:type="auto"/>
            <w:gridSpan w:val="2"/>
            <w:shd w:val="clear" w:color="auto" w:fill="FFFFFF"/>
            <w:tcMar>
              <w:top w:w="40" w:type="dxa"/>
              <w:left w:w="20" w:type="dxa"/>
              <w:bottom w:w="40" w:type="dxa"/>
              <w:right w:w="0" w:type="dxa"/>
            </w:tcMar>
            <w:vAlign w:val="bottom"/>
          </w:tcPr>
          <w:p w14:paraId="5902B0E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B0E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EE"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EF"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5902B0F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0F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0F2" w14:textId="77777777" w:rsidR="0084406A" w:rsidRDefault="002B18AF">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5902B0F3" w14:textId="77777777" w:rsidR="0084406A" w:rsidRDefault="0084406A">
            <w:pPr>
              <w:jc w:val="right"/>
              <w:rPr>
                <w:rFonts w:ascii="宋体"/>
              </w:rPr>
            </w:pPr>
          </w:p>
        </w:tc>
      </w:tr>
      <w:tr w:rsidR="0084406A" w14:paraId="5902B101" w14:textId="77777777">
        <w:tc>
          <w:tcPr>
            <w:tcW w:w="0" w:type="auto"/>
            <w:gridSpan w:val="3"/>
            <w:shd w:val="clear" w:color="auto" w:fill="CCEEFF"/>
            <w:tcMar>
              <w:top w:w="40" w:type="dxa"/>
              <w:left w:w="20" w:type="dxa"/>
              <w:bottom w:w="40" w:type="dxa"/>
              <w:right w:w="20" w:type="dxa"/>
            </w:tcMar>
            <w:vAlign w:val="bottom"/>
          </w:tcPr>
          <w:p w14:paraId="5902B0F5" w14:textId="77777777" w:rsidR="0084406A" w:rsidRDefault="002B18AF">
            <w:pPr>
              <w:textAlignment w:val="bottom"/>
            </w:pPr>
            <w:r>
              <w:rPr>
                <w:rFonts w:ascii="Arial" w:eastAsia="宋体" w:hAnsi="Arial" w:cs="Arial"/>
                <w:color w:val="000000"/>
                <w:sz w:val="20"/>
                <w:szCs w:val="20"/>
              </w:rPr>
              <w:t>Balance at end of year</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0F6"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0F7" w14:textId="77777777" w:rsidR="0084406A" w:rsidRDefault="002B18AF">
            <w:pPr>
              <w:jc w:val="right"/>
              <w:textAlignment w:val="bottom"/>
            </w:pPr>
            <w:r>
              <w:rPr>
                <w:rFonts w:ascii="Arial" w:eastAsia="宋体" w:hAnsi="Arial" w:cs="Arial"/>
                <w:color w:val="000000"/>
                <w:sz w:val="20"/>
                <w:szCs w:val="20"/>
              </w:rPr>
              <w:t>275 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0F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F9"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0F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0FB" w14:textId="77777777" w:rsidR="0084406A" w:rsidRDefault="002B18AF">
            <w:pPr>
              <w:jc w:val="right"/>
              <w:textAlignment w:val="bottom"/>
            </w:pPr>
            <w:r>
              <w:rPr>
                <w:rFonts w:ascii="Arial" w:eastAsia="宋体" w:hAnsi="Arial" w:cs="Arial"/>
                <w:color w:val="000000"/>
                <w:sz w:val="20"/>
                <w:szCs w:val="20"/>
              </w:rPr>
              <w:t>119 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0FC"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0FD"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0F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0FF" w14:textId="77777777" w:rsidR="0084406A" w:rsidRDefault="002B18AF">
            <w:pPr>
              <w:jc w:val="right"/>
              <w:textAlignment w:val="bottom"/>
            </w:pPr>
            <w:r>
              <w:rPr>
                <w:rFonts w:ascii="Arial" w:eastAsia="宋体" w:hAnsi="Arial" w:cs="Arial"/>
                <w:color w:val="000000"/>
                <w:sz w:val="20"/>
                <w:szCs w:val="20"/>
              </w:rPr>
              <w:t>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100" w14:textId="77777777" w:rsidR="0084406A" w:rsidRDefault="0084406A">
            <w:pPr>
              <w:jc w:val="right"/>
              <w:rPr>
                <w:rFonts w:ascii="宋体"/>
              </w:rPr>
            </w:pPr>
          </w:p>
        </w:tc>
      </w:tr>
    </w:tbl>
    <w:p w14:paraId="5902B102" w14:textId="77777777" w:rsidR="0084406A" w:rsidRDefault="002B18AF">
      <w:pPr>
        <w:spacing w:before="180"/>
        <w:jc w:val="both"/>
      </w:pPr>
      <w:r>
        <w:rPr>
          <w:rFonts w:ascii="Arial" w:eastAsia="宋体" w:hAnsi="Arial" w:cs="Arial"/>
          <w:color w:val="000000"/>
          <w:sz w:val="20"/>
          <w:szCs w:val="20"/>
        </w:rPr>
        <w:t>The amount of unrecognized tax benefits that would impact the effective tax rate was $215 million, $77 million and $17 million as of December 25, 2021, December 26, 2020 and December 28, 2019, respectiv</w:t>
      </w:r>
      <w:r>
        <w:rPr>
          <w:rFonts w:ascii="Arial" w:eastAsia="宋体" w:hAnsi="Arial" w:cs="Arial"/>
          <w:color w:val="000000"/>
          <w:sz w:val="20"/>
          <w:szCs w:val="20"/>
        </w:rPr>
        <w:t>ely. The Company had $39 million of accrued penalties and interest related to unrecognized tax benefits as of December 25, 2021. The Company had no material amounts of accrued interest and accrued penalties related to unrecognized tax benefits as of Decemb</w:t>
      </w:r>
      <w:r>
        <w:rPr>
          <w:rFonts w:ascii="Arial" w:eastAsia="宋体" w:hAnsi="Arial" w:cs="Arial"/>
          <w:color w:val="000000"/>
          <w:sz w:val="20"/>
          <w:szCs w:val="20"/>
        </w:rPr>
        <w:t xml:space="preserve">er 26, 2020 and December 28, 2019. </w:t>
      </w:r>
    </w:p>
    <w:p w14:paraId="5902B103" w14:textId="77777777" w:rsidR="0084406A" w:rsidRDefault="002B18AF">
      <w:pPr>
        <w:spacing w:before="180"/>
        <w:jc w:val="both"/>
      </w:pPr>
      <w:r>
        <w:rPr>
          <w:rFonts w:ascii="Arial" w:eastAsia="宋体" w:hAnsi="Arial" w:cs="Arial"/>
          <w:color w:val="000000"/>
          <w:sz w:val="20"/>
          <w:szCs w:val="20"/>
        </w:rPr>
        <w:t>It is possible the Company may have tax audits close in the next 12 months that could materially change the balance of the uncertain tax benefits; however, the timing of tax audit closures and settlements are highly unce</w:t>
      </w:r>
      <w:r>
        <w:rPr>
          <w:rFonts w:ascii="Arial" w:eastAsia="宋体" w:hAnsi="Arial" w:cs="Arial"/>
          <w:color w:val="000000"/>
          <w:sz w:val="20"/>
          <w:szCs w:val="20"/>
        </w:rPr>
        <w:t>rtain. The Company and its subsidiaries have several foreign and U.S. state audits in process at any one point in time. The Company has provided for uncertain tax positions that require a liability under the adopted method to account for uncertainty in inc</w:t>
      </w:r>
      <w:r>
        <w:rPr>
          <w:rFonts w:ascii="Arial" w:eastAsia="宋体" w:hAnsi="Arial" w:cs="Arial"/>
          <w:color w:val="000000"/>
          <w:sz w:val="20"/>
          <w:szCs w:val="20"/>
        </w:rPr>
        <w:t xml:space="preserve">ome taxes. </w:t>
      </w:r>
    </w:p>
    <w:p w14:paraId="5902B104" w14:textId="77777777" w:rsidR="0084406A" w:rsidRDefault="002B18AF">
      <w:pPr>
        <w:spacing w:before="180"/>
        <w:jc w:val="both"/>
      </w:pPr>
      <w:r>
        <w:rPr>
          <w:rFonts w:ascii="Arial" w:eastAsia="宋体" w:hAnsi="Arial" w:cs="Arial"/>
          <w:color w:val="000000"/>
          <w:sz w:val="20"/>
          <w:szCs w:val="20"/>
        </w:rPr>
        <w:t xml:space="preserve">The Company is subject to taxation in the United States and foreign jurisdictions. Earnings from non-U.S. activities are subject to local country income tax. The material jurisdiction in which the Company is subject to potential examination by </w:t>
      </w:r>
      <w:r>
        <w:rPr>
          <w:rFonts w:ascii="Arial" w:eastAsia="宋体" w:hAnsi="Arial" w:cs="Arial"/>
          <w:color w:val="000000"/>
          <w:sz w:val="20"/>
          <w:szCs w:val="20"/>
        </w:rPr>
        <w:t>the taxing authority is the United States, which is open for years from 2008 onwards due to the net operating losses.</w:t>
      </w:r>
    </w:p>
    <w:p w14:paraId="5902B105" w14:textId="77777777" w:rsidR="0084406A" w:rsidRDefault="002B18AF">
      <w:pPr>
        <w:jc w:val="center"/>
      </w:pPr>
      <w:r>
        <w:rPr>
          <w:rFonts w:ascii="Arial" w:eastAsia="宋体" w:hAnsi="Arial" w:cs="Arial"/>
          <w:color w:val="000000"/>
          <w:sz w:val="20"/>
          <w:szCs w:val="20"/>
        </w:rPr>
        <w:t>72</w:t>
      </w:r>
    </w:p>
    <w:p w14:paraId="5902B106" w14:textId="77777777" w:rsidR="0084406A" w:rsidRDefault="002B18AF">
      <w:r>
        <w:pict w14:anchorId="5902BB3E">
          <v:rect id="_x0000_i1099" style="width:415.3pt;height:1.5pt" o:hralign="center" o:hrstd="t" o:hr="t" fillcolor="#a0a0a0" stroked="f"/>
        </w:pict>
      </w:r>
    </w:p>
    <w:p w14:paraId="5902B107" w14:textId="77777777" w:rsidR="0084406A" w:rsidRDefault="0084406A"/>
    <w:p w14:paraId="5902B108" w14:textId="77777777" w:rsidR="0084406A" w:rsidRDefault="0084406A">
      <w:pPr>
        <w:spacing w:before="180"/>
        <w:jc w:val="both"/>
      </w:pPr>
    </w:p>
    <w:p w14:paraId="5902B109" w14:textId="77777777" w:rsidR="0084406A" w:rsidRDefault="002B18AF">
      <w:pPr>
        <w:spacing w:before="280"/>
        <w:jc w:val="both"/>
      </w:pPr>
      <w:r>
        <w:rPr>
          <w:rFonts w:ascii="Arial" w:eastAsia="宋体" w:hAnsi="Arial" w:cs="Arial"/>
          <w:b/>
          <w:bCs/>
          <w:color w:val="000000"/>
          <w:sz w:val="20"/>
          <w:szCs w:val="20"/>
        </w:rPr>
        <w:t xml:space="preserve">NOTE 14 – Segment Reporting </w:t>
      </w:r>
    </w:p>
    <w:p w14:paraId="5902B10A" w14:textId="77777777" w:rsidR="0084406A" w:rsidRDefault="002B18AF">
      <w:pPr>
        <w:spacing w:before="180"/>
        <w:jc w:val="both"/>
      </w:pPr>
      <w:r>
        <w:rPr>
          <w:rFonts w:ascii="Arial" w:eastAsia="宋体" w:hAnsi="Arial" w:cs="Arial"/>
          <w:color w:val="000000"/>
          <w:sz w:val="20"/>
          <w:szCs w:val="20"/>
        </w:rPr>
        <w:t>Management, including the Chief Operating Decision Maker, who is the Company’s Chief Executive Officer, reviews and assesses operating performance using segment net revenue and operating income (loss). These performance measures include the allocation of e</w:t>
      </w:r>
      <w:r>
        <w:rPr>
          <w:rFonts w:ascii="Arial" w:eastAsia="宋体" w:hAnsi="Arial" w:cs="Arial"/>
          <w:color w:val="000000"/>
          <w:sz w:val="20"/>
          <w:szCs w:val="20"/>
        </w:rPr>
        <w:t xml:space="preserve">xpenses to the operating segments based on management’s judgment. </w:t>
      </w:r>
    </w:p>
    <w:p w14:paraId="5902B10B" w14:textId="77777777" w:rsidR="0084406A" w:rsidRDefault="002B18AF">
      <w:pPr>
        <w:spacing w:before="180"/>
        <w:jc w:val="both"/>
      </w:pPr>
      <w:r>
        <w:rPr>
          <w:rFonts w:ascii="Arial" w:eastAsia="宋体" w:hAnsi="Arial" w:cs="Arial"/>
          <w:color w:val="000000"/>
          <w:sz w:val="20"/>
          <w:szCs w:val="20"/>
        </w:rPr>
        <w:t>The Company has the following two reportable segments:</w:t>
      </w:r>
    </w:p>
    <w:p w14:paraId="5902B10C" w14:textId="77777777" w:rsidR="0084406A" w:rsidRDefault="002B18AF">
      <w:pPr>
        <w:spacing w:before="180"/>
        <w:ind w:hanging="360"/>
        <w:jc w:val="both"/>
      </w:pPr>
      <w:r>
        <w:rPr>
          <w:rFonts w:ascii="Arial" w:eastAsia="宋体" w:hAnsi="Arial" w:cs="Arial"/>
          <w:color w:val="000000"/>
          <w:sz w:val="20"/>
          <w:szCs w:val="20"/>
        </w:rPr>
        <w:t xml:space="preserve">•the Computing and Graphics segment, which primarily includes desktop and notebook microprocessors, accelerated processing units that </w:t>
      </w:r>
      <w:r>
        <w:rPr>
          <w:rFonts w:ascii="Arial" w:eastAsia="宋体" w:hAnsi="Arial" w:cs="Arial"/>
          <w:color w:val="000000"/>
          <w:sz w:val="20"/>
          <w:szCs w:val="20"/>
        </w:rPr>
        <w:t>integrate microprocessors and graphics, chipsets, discrete graphics processing units (GPUs), data center and professional GPUs, and development services. From time to time, the Company may also sell or license portions of its IP portfolio.</w:t>
      </w:r>
    </w:p>
    <w:p w14:paraId="5902B10D" w14:textId="77777777" w:rsidR="0084406A" w:rsidRDefault="002B18AF">
      <w:pPr>
        <w:spacing w:before="180"/>
        <w:ind w:hanging="360"/>
        <w:jc w:val="both"/>
      </w:pPr>
      <w:r>
        <w:rPr>
          <w:rFonts w:ascii="Arial" w:eastAsia="宋体" w:hAnsi="Arial" w:cs="Arial"/>
          <w:color w:val="000000"/>
          <w:sz w:val="20"/>
          <w:szCs w:val="20"/>
        </w:rPr>
        <w:t>•the Enterprise,</w:t>
      </w:r>
      <w:r>
        <w:rPr>
          <w:rFonts w:ascii="Arial" w:eastAsia="宋体" w:hAnsi="Arial" w:cs="Arial"/>
          <w:color w:val="000000"/>
          <w:sz w:val="20"/>
          <w:szCs w:val="20"/>
        </w:rPr>
        <w:t xml:space="preserve"> Embedded and Semi-Custom segment, which primarily includes server and embedded processors, semi-custom SoC products, development services and technology for game consoles. From time to time, the Company may also sell or license portions of its IP portfoli</w:t>
      </w:r>
      <w:r>
        <w:rPr>
          <w:rFonts w:ascii="Arial" w:eastAsia="宋体" w:hAnsi="Arial" w:cs="Arial"/>
          <w:color w:val="000000"/>
          <w:sz w:val="20"/>
          <w:szCs w:val="20"/>
        </w:rPr>
        <w:t>o.</w:t>
      </w:r>
    </w:p>
    <w:p w14:paraId="5902B10E" w14:textId="77777777" w:rsidR="0084406A" w:rsidRDefault="002B18AF">
      <w:pPr>
        <w:spacing w:before="180"/>
        <w:jc w:val="both"/>
      </w:pPr>
      <w:r>
        <w:rPr>
          <w:rFonts w:ascii="Arial" w:eastAsia="宋体" w:hAnsi="Arial" w:cs="Arial"/>
          <w:color w:val="000000"/>
          <w:sz w:val="20"/>
          <w:szCs w:val="20"/>
        </w:rPr>
        <w:t>In addition to these reportable segments, the Company has an All Other category, which is not a reportable segment. This category primarily includes certain expenses and credits that are not allocated to any of the reportable segments because management</w:t>
      </w:r>
      <w:r>
        <w:rPr>
          <w:rFonts w:ascii="Arial" w:eastAsia="宋体" w:hAnsi="Arial" w:cs="Arial"/>
          <w:color w:val="000000"/>
          <w:sz w:val="20"/>
          <w:szCs w:val="20"/>
        </w:rPr>
        <w:t xml:space="preserve"> does not consider these expenses and credits in evaluating the performance of the reportable segments. This category primarily includes employee stock-based compensation expense and acquisition-related costs.</w:t>
      </w:r>
    </w:p>
    <w:p w14:paraId="5902B10F" w14:textId="77777777" w:rsidR="0084406A" w:rsidRDefault="002B18AF">
      <w:pPr>
        <w:spacing w:before="180"/>
        <w:jc w:val="both"/>
      </w:pPr>
      <w:r>
        <w:rPr>
          <w:rFonts w:ascii="Arial" w:eastAsia="宋体" w:hAnsi="Arial" w:cs="Arial"/>
          <w:color w:val="000000"/>
          <w:sz w:val="20"/>
          <w:szCs w:val="20"/>
        </w:rPr>
        <w:t xml:space="preserve">The following table provides a summary of net </w:t>
      </w:r>
      <w:r>
        <w:rPr>
          <w:rFonts w:ascii="Arial" w:eastAsia="宋体" w:hAnsi="Arial" w:cs="Arial"/>
          <w:color w:val="000000"/>
          <w:sz w:val="20"/>
          <w:szCs w:val="20"/>
        </w:rPr>
        <w:t xml:space="preserve">revenue and operating income (loss) by segment for 2021, 2020 and 2019. </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7"/>
        <w:gridCol w:w="132"/>
        <w:gridCol w:w="1038"/>
        <w:gridCol w:w="36"/>
        <w:gridCol w:w="36"/>
        <w:gridCol w:w="36"/>
        <w:gridCol w:w="36"/>
        <w:gridCol w:w="133"/>
        <w:gridCol w:w="1039"/>
        <w:gridCol w:w="36"/>
        <w:gridCol w:w="36"/>
        <w:gridCol w:w="36"/>
        <w:gridCol w:w="36"/>
        <w:gridCol w:w="133"/>
        <w:gridCol w:w="1039"/>
        <w:gridCol w:w="36"/>
      </w:tblGrid>
      <w:tr w:rsidR="0084406A" w14:paraId="5902B122" w14:textId="77777777">
        <w:tc>
          <w:tcPr>
            <w:tcW w:w="50" w:type="pct"/>
            <w:shd w:val="clear" w:color="auto" w:fill="auto"/>
            <w:vAlign w:val="bottom"/>
          </w:tcPr>
          <w:p w14:paraId="5902B110" w14:textId="77777777" w:rsidR="0084406A" w:rsidRDefault="0084406A">
            <w:pPr>
              <w:rPr>
                <w:rFonts w:ascii="宋体"/>
              </w:rPr>
            </w:pPr>
          </w:p>
        </w:tc>
        <w:tc>
          <w:tcPr>
            <w:tcW w:w="2715" w:type="pct"/>
            <w:shd w:val="clear" w:color="auto" w:fill="auto"/>
            <w:vAlign w:val="bottom"/>
          </w:tcPr>
          <w:p w14:paraId="5902B111" w14:textId="77777777" w:rsidR="0084406A" w:rsidRDefault="0084406A">
            <w:pPr>
              <w:rPr>
                <w:rFonts w:ascii="宋体"/>
              </w:rPr>
            </w:pPr>
          </w:p>
        </w:tc>
        <w:tc>
          <w:tcPr>
            <w:tcW w:w="5" w:type="pct"/>
            <w:shd w:val="clear" w:color="auto" w:fill="auto"/>
            <w:vAlign w:val="bottom"/>
          </w:tcPr>
          <w:p w14:paraId="5902B112" w14:textId="77777777" w:rsidR="0084406A" w:rsidRDefault="0084406A">
            <w:pPr>
              <w:rPr>
                <w:rFonts w:ascii="宋体"/>
              </w:rPr>
            </w:pPr>
          </w:p>
        </w:tc>
        <w:tc>
          <w:tcPr>
            <w:tcW w:w="50" w:type="pct"/>
            <w:shd w:val="clear" w:color="auto" w:fill="auto"/>
            <w:vAlign w:val="bottom"/>
          </w:tcPr>
          <w:p w14:paraId="5902B113" w14:textId="77777777" w:rsidR="0084406A" w:rsidRDefault="0084406A">
            <w:pPr>
              <w:rPr>
                <w:rFonts w:ascii="宋体"/>
              </w:rPr>
            </w:pPr>
          </w:p>
        </w:tc>
        <w:tc>
          <w:tcPr>
            <w:tcW w:w="668" w:type="pct"/>
            <w:shd w:val="clear" w:color="auto" w:fill="auto"/>
            <w:vAlign w:val="bottom"/>
          </w:tcPr>
          <w:p w14:paraId="5902B114" w14:textId="77777777" w:rsidR="0084406A" w:rsidRDefault="0084406A">
            <w:pPr>
              <w:rPr>
                <w:rFonts w:ascii="宋体"/>
              </w:rPr>
            </w:pPr>
          </w:p>
        </w:tc>
        <w:tc>
          <w:tcPr>
            <w:tcW w:w="5" w:type="pct"/>
            <w:shd w:val="clear" w:color="auto" w:fill="auto"/>
            <w:vAlign w:val="bottom"/>
          </w:tcPr>
          <w:p w14:paraId="5902B115" w14:textId="77777777" w:rsidR="0084406A" w:rsidRDefault="0084406A">
            <w:pPr>
              <w:rPr>
                <w:rFonts w:ascii="宋体"/>
              </w:rPr>
            </w:pPr>
          </w:p>
        </w:tc>
        <w:tc>
          <w:tcPr>
            <w:tcW w:w="5" w:type="pct"/>
            <w:shd w:val="clear" w:color="auto" w:fill="auto"/>
            <w:vAlign w:val="bottom"/>
          </w:tcPr>
          <w:p w14:paraId="5902B116" w14:textId="77777777" w:rsidR="0084406A" w:rsidRDefault="0084406A">
            <w:pPr>
              <w:rPr>
                <w:rFonts w:ascii="宋体"/>
              </w:rPr>
            </w:pPr>
          </w:p>
        </w:tc>
        <w:tc>
          <w:tcPr>
            <w:tcW w:w="19" w:type="pct"/>
            <w:shd w:val="clear" w:color="auto" w:fill="auto"/>
            <w:vAlign w:val="bottom"/>
          </w:tcPr>
          <w:p w14:paraId="5902B117" w14:textId="77777777" w:rsidR="0084406A" w:rsidRDefault="0084406A">
            <w:pPr>
              <w:rPr>
                <w:rFonts w:ascii="宋体"/>
              </w:rPr>
            </w:pPr>
          </w:p>
        </w:tc>
        <w:tc>
          <w:tcPr>
            <w:tcW w:w="5" w:type="pct"/>
            <w:shd w:val="clear" w:color="auto" w:fill="auto"/>
            <w:vAlign w:val="bottom"/>
          </w:tcPr>
          <w:p w14:paraId="5902B118" w14:textId="77777777" w:rsidR="0084406A" w:rsidRDefault="0084406A">
            <w:pPr>
              <w:rPr>
                <w:rFonts w:ascii="宋体"/>
              </w:rPr>
            </w:pPr>
          </w:p>
        </w:tc>
        <w:tc>
          <w:tcPr>
            <w:tcW w:w="50" w:type="pct"/>
            <w:shd w:val="clear" w:color="auto" w:fill="auto"/>
            <w:vAlign w:val="bottom"/>
          </w:tcPr>
          <w:p w14:paraId="5902B119" w14:textId="77777777" w:rsidR="0084406A" w:rsidRDefault="0084406A">
            <w:pPr>
              <w:rPr>
                <w:rFonts w:ascii="宋体"/>
              </w:rPr>
            </w:pPr>
          </w:p>
        </w:tc>
        <w:tc>
          <w:tcPr>
            <w:tcW w:w="668" w:type="pct"/>
            <w:shd w:val="clear" w:color="auto" w:fill="auto"/>
            <w:vAlign w:val="bottom"/>
          </w:tcPr>
          <w:p w14:paraId="5902B11A" w14:textId="77777777" w:rsidR="0084406A" w:rsidRDefault="0084406A">
            <w:pPr>
              <w:rPr>
                <w:rFonts w:ascii="宋体"/>
              </w:rPr>
            </w:pPr>
          </w:p>
        </w:tc>
        <w:tc>
          <w:tcPr>
            <w:tcW w:w="5" w:type="pct"/>
            <w:shd w:val="clear" w:color="auto" w:fill="auto"/>
            <w:vAlign w:val="bottom"/>
          </w:tcPr>
          <w:p w14:paraId="5902B11B" w14:textId="77777777" w:rsidR="0084406A" w:rsidRDefault="0084406A">
            <w:pPr>
              <w:rPr>
                <w:rFonts w:ascii="宋体"/>
              </w:rPr>
            </w:pPr>
          </w:p>
        </w:tc>
        <w:tc>
          <w:tcPr>
            <w:tcW w:w="5" w:type="pct"/>
            <w:shd w:val="clear" w:color="auto" w:fill="auto"/>
            <w:vAlign w:val="bottom"/>
          </w:tcPr>
          <w:p w14:paraId="5902B11C" w14:textId="77777777" w:rsidR="0084406A" w:rsidRDefault="0084406A">
            <w:pPr>
              <w:rPr>
                <w:rFonts w:ascii="宋体"/>
              </w:rPr>
            </w:pPr>
          </w:p>
        </w:tc>
        <w:tc>
          <w:tcPr>
            <w:tcW w:w="19" w:type="pct"/>
            <w:shd w:val="clear" w:color="auto" w:fill="auto"/>
            <w:vAlign w:val="bottom"/>
          </w:tcPr>
          <w:p w14:paraId="5902B11D" w14:textId="77777777" w:rsidR="0084406A" w:rsidRDefault="0084406A">
            <w:pPr>
              <w:rPr>
                <w:rFonts w:ascii="宋体"/>
              </w:rPr>
            </w:pPr>
          </w:p>
        </w:tc>
        <w:tc>
          <w:tcPr>
            <w:tcW w:w="5" w:type="pct"/>
            <w:shd w:val="clear" w:color="auto" w:fill="auto"/>
            <w:vAlign w:val="bottom"/>
          </w:tcPr>
          <w:p w14:paraId="5902B11E" w14:textId="77777777" w:rsidR="0084406A" w:rsidRDefault="0084406A">
            <w:pPr>
              <w:rPr>
                <w:rFonts w:ascii="宋体"/>
              </w:rPr>
            </w:pPr>
          </w:p>
        </w:tc>
        <w:tc>
          <w:tcPr>
            <w:tcW w:w="50" w:type="pct"/>
            <w:shd w:val="clear" w:color="auto" w:fill="auto"/>
            <w:vAlign w:val="bottom"/>
          </w:tcPr>
          <w:p w14:paraId="5902B11F" w14:textId="77777777" w:rsidR="0084406A" w:rsidRDefault="0084406A">
            <w:pPr>
              <w:rPr>
                <w:rFonts w:ascii="宋体"/>
              </w:rPr>
            </w:pPr>
          </w:p>
        </w:tc>
        <w:tc>
          <w:tcPr>
            <w:tcW w:w="668" w:type="pct"/>
            <w:shd w:val="clear" w:color="auto" w:fill="auto"/>
            <w:vAlign w:val="bottom"/>
          </w:tcPr>
          <w:p w14:paraId="5902B120" w14:textId="77777777" w:rsidR="0084406A" w:rsidRDefault="0084406A">
            <w:pPr>
              <w:rPr>
                <w:rFonts w:ascii="宋体"/>
              </w:rPr>
            </w:pPr>
          </w:p>
        </w:tc>
        <w:tc>
          <w:tcPr>
            <w:tcW w:w="5" w:type="pct"/>
            <w:shd w:val="clear" w:color="auto" w:fill="auto"/>
            <w:vAlign w:val="bottom"/>
          </w:tcPr>
          <w:p w14:paraId="5902B121" w14:textId="77777777" w:rsidR="0084406A" w:rsidRDefault="0084406A">
            <w:pPr>
              <w:rPr>
                <w:rFonts w:ascii="宋体"/>
              </w:rPr>
            </w:pPr>
          </w:p>
        </w:tc>
      </w:tr>
      <w:tr w:rsidR="0084406A" w14:paraId="5902B129" w14:textId="77777777">
        <w:tc>
          <w:tcPr>
            <w:tcW w:w="0" w:type="auto"/>
            <w:gridSpan w:val="3"/>
            <w:shd w:val="clear" w:color="auto" w:fill="auto"/>
            <w:tcMar>
              <w:top w:w="0" w:type="dxa"/>
              <w:left w:w="20" w:type="dxa"/>
              <w:bottom w:w="0" w:type="dxa"/>
              <w:right w:w="20" w:type="dxa"/>
            </w:tcMar>
            <w:vAlign w:val="bottom"/>
          </w:tcPr>
          <w:p w14:paraId="5902B12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124"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125"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126"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127"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128"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12C" w14:textId="77777777">
        <w:tc>
          <w:tcPr>
            <w:tcW w:w="0" w:type="auto"/>
            <w:gridSpan w:val="3"/>
            <w:shd w:val="clear" w:color="auto" w:fill="auto"/>
            <w:tcMar>
              <w:top w:w="40" w:type="dxa"/>
              <w:left w:w="20" w:type="dxa"/>
              <w:bottom w:w="40" w:type="dxa"/>
              <w:right w:w="20" w:type="dxa"/>
            </w:tcMar>
            <w:vAlign w:val="bottom"/>
          </w:tcPr>
          <w:p w14:paraId="5902B12A"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12B"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133" w14:textId="77777777">
        <w:tc>
          <w:tcPr>
            <w:tcW w:w="0" w:type="auto"/>
            <w:gridSpan w:val="3"/>
            <w:shd w:val="clear" w:color="auto" w:fill="CCEEFF"/>
            <w:tcMar>
              <w:top w:w="40" w:type="dxa"/>
              <w:left w:w="20" w:type="dxa"/>
              <w:bottom w:w="40" w:type="dxa"/>
              <w:right w:w="20" w:type="dxa"/>
            </w:tcMar>
            <w:vAlign w:val="bottom"/>
          </w:tcPr>
          <w:p w14:paraId="5902B12D" w14:textId="77777777" w:rsidR="0084406A" w:rsidRDefault="002B18AF">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5902B12E"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2F"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3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31"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32" w14:textId="77777777" w:rsidR="0084406A" w:rsidRDefault="0084406A">
            <w:pPr>
              <w:rPr>
                <w:rFonts w:ascii="宋体"/>
              </w:rPr>
            </w:pPr>
          </w:p>
        </w:tc>
      </w:tr>
      <w:tr w:rsidR="0084406A" w14:paraId="5902B140" w14:textId="77777777">
        <w:tc>
          <w:tcPr>
            <w:tcW w:w="0" w:type="auto"/>
            <w:gridSpan w:val="3"/>
            <w:shd w:val="clear" w:color="auto" w:fill="FFFFFF"/>
            <w:tcMar>
              <w:top w:w="40" w:type="dxa"/>
              <w:left w:w="380" w:type="dxa"/>
              <w:bottom w:w="40" w:type="dxa"/>
              <w:right w:w="20" w:type="dxa"/>
            </w:tcMar>
            <w:vAlign w:val="bottom"/>
          </w:tcPr>
          <w:p w14:paraId="5902B134" w14:textId="77777777" w:rsidR="0084406A" w:rsidRDefault="002B18A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5902B13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36" w14:textId="77777777" w:rsidR="0084406A" w:rsidRDefault="002B18AF">
            <w:pPr>
              <w:jc w:val="right"/>
              <w:textAlignment w:val="bottom"/>
            </w:pPr>
            <w:r>
              <w:rPr>
                <w:rFonts w:ascii="Arial" w:eastAsia="宋体" w:hAnsi="Arial" w:cs="Arial"/>
                <w:color w:val="000000"/>
                <w:sz w:val="20"/>
                <w:szCs w:val="20"/>
              </w:rPr>
              <w:t>9,332 </w:t>
            </w:r>
          </w:p>
        </w:tc>
        <w:tc>
          <w:tcPr>
            <w:tcW w:w="0" w:type="auto"/>
            <w:shd w:val="clear" w:color="auto" w:fill="FFFFFF"/>
            <w:tcMar>
              <w:top w:w="40" w:type="dxa"/>
              <w:left w:w="0" w:type="dxa"/>
              <w:bottom w:w="40" w:type="dxa"/>
              <w:right w:w="20" w:type="dxa"/>
            </w:tcMar>
            <w:vAlign w:val="bottom"/>
          </w:tcPr>
          <w:p w14:paraId="5902B13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38"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3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3A" w14:textId="77777777" w:rsidR="0084406A" w:rsidRDefault="002B18AF">
            <w:pPr>
              <w:jc w:val="right"/>
              <w:textAlignment w:val="bottom"/>
            </w:pPr>
            <w:r>
              <w:rPr>
                <w:rFonts w:ascii="Arial" w:eastAsia="宋体" w:hAnsi="Arial" w:cs="Arial"/>
                <w:color w:val="000000"/>
                <w:sz w:val="20"/>
                <w:szCs w:val="20"/>
              </w:rPr>
              <w:t>6,432 </w:t>
            </w:r>
          </w:p>
        </w:tc>
        <w:tc>
          <w:tcPr>
            <w:tcW w:w="0" w:type="auto"/>
            <w:shd w:val="clear" w:color="auto" w:fill="FFFFFF"/>
            <w:tcMar>
              <w:top w:w="40" w:type="dxa"/>
              <w:left w:w="0" w:type="dxa"/>
              <w:bottom w:w="40" w:type="dxa"/>
              <w:right w:w="20" w:type="dxa"/>
            </w:tcMar>
            <w:vAlign w:val="bottom"/>
          </w:tcPr>
          <w:p w14:paraId="5902B13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3C"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3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3E" w14:textId="77777777" w:rsidR="0084406A" w:rsidRDefault="002B18AF">
            <w:pPr>
              <w:jc w:val="right"/>
              <w:textAlignment w:val="bottom"/>
            </w:pPr>
            <w:r>
              <w:rPr>
                <w:rFonts w:ascii="Arial" w:eastAsia="宋体" w:hAnsi="Arial" w:cs="Arial"/>
                <w:color w:val="000000"/>
                <w:sz w:val="20"/>
                <w:szCs w:val="20"/>
              </w:rPr>
              <w:t>4,709 </w:t>
            </w:r>
          </w:p>
        </w:tc>
        <w:tc>
          <w:tcPr>
            <w:tcW w:w="0" w:type="auto"/>
            <w:shd w:val="clear" w:color="auto" w:fill="FFFFFF"/>
            <w:tcMar>
              <w:top w:w="40" w:type="dxa"/>
              <w:left w:w="0" w:type="dxa"/>
              <w:bottom w:w="40" w:type="dxa"/>
              <w:right w:w="20" w:type="dxa"/>
            </w:tcMar>
            <w:vAlign w:val="bottom"/>
          </w:tcPr>
          <w:p w14:paraId="5902B13F" w14:textId="77777777" w:rsidR="0084406A" w:rsidRDefault="0084406A">
            <w:pPr>
              <w:jc w:val="right"/>
              <w:rPr>
                <w:rFonts w:ascii="宋体"/>
              </w:rPr>
            </w:pPr>
          </w:p>
        </w:tc>
      </w:tr>
      <w:tr w:rsidR="0084406A" w14:paraId="5902B14A" w14:textId="77777777">
        <w:tc>
          <w:tcPr>
            <w:tcW w:w="0" w:type="auto"/>
            <w:gridSpan w:val="3"/>
            <w:shd w:val="clear" w:color="auto" w:fill="CCEEFF"/>
            <w:tcMar>
              <w:top w:w="40" w:type="dxa"/>
              <w:left w:w="380" w:type="dxa"/>
              <w:bottom w:w="40" w:type="dxa"/>
              <w:right w:w="20" w:type="dxa"/>
            </w:tcMar>
            <w:vAlign w:val="bottom"/>
          </w:tcPr>
          <w:p w14:paraId="5902B141" w14:textId="77777777" w:rsidR="0084406A" w:rsidRDefault="002B18A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5902B142" w14:textId="77777777" w:rsidR="0084406A" w:rsidRDefault="002B18AF">
            <w:pPr>
              <w:jc w:val="right"/>
              <w:textAlignment w:val="bottom"/>
            </w:pPr>
            <w:r>
              <w:rPr>
                <w:rFonts w:ascii="Arial" w:eastAsia="宋体" w:hAnsi="Arial" w:cs="Arial"/>
                <w:color w:val="000000"/>
                <w:sz w:val="20"/>
                <w:szCs w:val="20"/>
              </w:rPr>
              <w:t>7,102 </w:t>
            </w:r>
          </w:p>
        </w:tc>
        <w:tc>
          <w:tcPr>
            <w:tcW w:w="0" w:type="auto"/>
            <w:shd w:val="clear" w:color="auto" w:fill="CCEEFF"/>
            <w:tcMar>
              <w:top w:w="40" w:type="dxa"/>
              <w:left w:w="0" w:type="dxa"/>
              <w:bottom w:w="40" w:type="dxa"/>
              <w:right w:w="20" w:type="dxa"/>
            </w:tcMar>
            <w:vAlign w:val="bottom"/>
          </w:tcPr>
          <w:p w14:paraId="5902B14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44"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45" w14:textId="77777777" w:rsidR="0084406A" w:rsidRDefault="002B18AF">
            <w:pPr>
              <w:jc w:val="right"/>
              <w:textAlignment w:val="bottom"/>
            </w:pPr>
            <w:r>
              <w:rPr>
                <w:rFonts w:ascii="Arial" w:eastAsia="宋体" w:hAnsi="Arial" w:cs="Arial"/>
                <w:color w:val="000000"/>
                <w:sz w:val="20"/>
                <w:szCs w:val="20"/>
              </w:rPr>
              <w:t>3,331 </w:t>
            </w:r>
          </w:p>
        </w:tc>
        <w:tc>
          <w:tcPr>
            <w:tcW w:w="0" w:type="auto"/>
            <w:shd w:val="clear" w:color="auto" w:fill="CCEEFF"/>
            <w:tcMar>
              <w:top w:w="40" w:type="dxa"/>
              <w:left w:w="0" w:type="dxa"/>
              <w:bottom w:w="40" w:type="dxa"/>
              <w:right w:w="20" w:type="dxa"/>
            </w:tcMar>
            <w:vAlign w:val="bottom"/>
          </w:tcPr>
          <w:p w14:paraId="5902B14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4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48" w14:textId="77777777" w:rsidR="0084406A" w:rsidRDefault="002B18AF">
            <w:pPr>
              <w:jc w:val="right"/>
              <w:textAlignment w:val="bottom"/>
            </w:pPr>
            <w:r>
              <w:rPr>
                <w:rFonts w:ascii="Arial" w:eastAsia="宋体" w:hAnsi="Arial" w:cs="Arial"/>
                <w:color w:val="000000"/>
                <w:sz w:val="20"/>
                <w:szCs w:val="20"/>
              </w:rPr>
              <w:t>2,022 </w:t>
            </w:r>
          </w:p>
        </w:tc>
        <w:tc>
          <w:tcPr>
            <w:tcW w:w="0" w:type="auto"/>
            <w:shd w:val="clear" w:color="auto" w:fill="CCEEFF"/>
            <w:tcMar>
              <w:top w:w="40" w:type="dxa"/>
              <w:left w:w="0" w:type="dxa"/>
              <w:bottom w:w="40" w:type="dxa"/>
              <w:right w:w="20" w:type="dxa"/>
            </w:tcMar>
            <w:vAlign w:val="bottom"/>
          </w:tcPr>
          <w:p w14:paraId="5902B149" w14:textId="77777777" w:rsidR="0084406A" w:rsidRDefault="0084406A">
            <w:pPr>
              <w:jc w:val="right"/>
              <w:rPr>
                <w:rFonts w:ascii="宋体"/>
              </w:rPr>
            </w:pPr>
          </w:p>
        </w:tc>
      </w:tr>
      <w:tr w:rsidR="0084406A" w14:paraId="5902B151" w14:textId="77777777">
        <w:trPr>
          <w:hidden/>
        </w:trPr>
        <w:tc>
          <w:tcPr>
            <w:tcW w:w="0" w:type="auto"/>
            <w:gridSpan w:val="3"/>
            <w:shd w:val="clear" w:color="auto" w:fill="auto"/>
            <w:vAlign w:val="bottom"/>
          </w:tcPr>
          <w:p w14:paraId="5902B14B" w14:textId="77777777" w:rsidR="0084406A" w:rsidRDefault="0084406A">
            <w:pPr>
              <w:rPr>
                <w:rFonts w:ascii="宋体"/>
                <w:vanish/>
              </w:rPr>
            </w:pPr>
          </w:p>
        </w:tc>
        <w:tc>
          <w:tcPr>
            <w:tcW w:w="0" w:type="auto"/>
            <w:gridSpan w:val="3"/>
            <w:shd w:val="clear" w:color="auto" w:fill="auto"/>
            <w:vAlign w:val="bottom"/>
          </w:tcPr>
          <w:p w14:paraId="5902B14C" w14:textId="77777777" w:rsidR="0084406A" w:rsidRDefault="0084406A">
            <w:pPr>
              <w:rPr>
                <w:rFonts w:ascii="宋体"/>
                <w:vanish/>
              </w:rPr>
            </w:pPr>
          </w:p>
        </w:tc>
        <w:tc>
          <w:tcPr>
            <w:tcW w:w="0" w:type="auto"/>
            <w:gridSpan w:val="3"/>
            <w:shd w:val="clear" w:color="auto" w:fill="auto"/>
            <w:vAlign w:val="bottom"/>
          </w:tcPr>
          <w:p w14:paraId="5902B14D" w14:textId="77777777" w:rsidR="0084406A" w:rsidRDefault="0084406A">
            <w:pPr>
              <w:rPr>
                <w:rFonts w:ascii="宋体"/>
                <w:vanish/>
              </w:rPr>
            </w:pPr>
          </w:p>
        </w:tc>
        <w:tc>
          <w:tcPr>
            <w:tcW w:w="0" w:type="auto"/>
            <w:gridSpan w:val="3"/>
            <w:shd w:val="clear" w:color="auto" w:fill="auto"/>
            <w:vAlign w:val="bottom"/>
          </w:tcPr>
          <w:p w14:paraId="5902B14E" w14:textId="77777777" w:rsidR="0084406A" w:rsidRDefault="0084406A">
            <w:pPr>
              <w:rPr>
                <w:rFonts w:ascii="宋体"/>
                <w:vanish/>
              </w:rPr>
            </w:pPr>
          </w:p>
        </w:tc>
        <w:tc>
          <w:tcPr>
            <w:tcW w:w="0" w:type="auto"/>
            <w:gridSpan w:val="3"/>
            <w:shd w:val="clear" w:color="auto" w:fill="auto"/>
            <w:vAlign w:val="bottom"/>
          </w:tcPr>
          <w:p w14:paraId="5902B14F" w14:textId="77777777" w:rsidR="0084406A" w:rsidRDefault="0084406A">
            <w:pPr>
              <w:rPr>
                <w:rFonts w:ascii="宋体"/>
                <w:vanish/>
              </w:rPr>
            </w:pPr>
          </w:p>
        </w:tc>
        <w:tc>
          <w:tcPr>
            <w:tcW w:w="0" w:type="auto"/>
            <w:gridSpan w:val="3"/>
            <w:shd w:val="clear" w:color="auto" w:fill="auto"/>
            <w:vAlign w:val="bottom"/>
          </w:tcPr>
          <w:p w14:paraId="5902B150" w14:textId="77777777" w:rsidR="0084406A" w:rsidRDefault="0084406A">
            <w:pPr>
              <w:rPr>
                <w:rFonts w:ascii="宋体"/>
                <w:vanish/>
              </w:rPr>
            </w:pPr>
          </w:p>
        </w:tc>
      </w:tr>
      <w:tr w:rsidR="0084406A" w14:paraId="5902B15E" w14:textId="77777777">
        <w:tc>
          <w:tcPr>
            <w:tcW w:w="0" w:type="auto"/>
            <w:gridSpan w:val="3"/>
            <w:shd w:val="clear" w:color="auto" w:fill="FFFFFF"/>
            <w:tcMar>
              <w:top w:w="40" w:type="dxa"/>
              <w:left w:w="20" w:type="dxa"/>
              <w:bottom w:w="40" w:type="dxa"/>
              <w:right w:w="20" w:type="dxa"/>
            </w:tcMar>
            <w:vAlign w:val="bottom"/>
          </w:tcPr>
          <w:p w14:paraId="5902B152" w14:textId="77777777" w:rsidR="0084406A" w:rsidRDefault="002B18AF">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5902B15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B154" w14:textId="77777777" w:rsidR="0084406A" w:rsidRDefault="002B18AF">
            <w:pPr>
              <w:jc w:val="right"/>
              <w:textAlignment w:val="bottom"/>
            </w:pPr>
            <w:r>
              <w:rPr>
                <w:rFonts w:ascii="Arial" w:eastAsia="宋体" w:hAnsi="Arial" w:cs="Arial"/>
                <w:color w:val="000000"/>
                <w:sz w:val="20"/>
                <w:szCs w:val="20"/>
              </w:rPr>
              <w:t>16,434 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B155"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56"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B15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B158" w14:textId="77777777" w:rsidR="0084406A" w:rsidRDefault="002B18AF">
            <w:pPr>
              <w:jc w:val="right"/>
              <w:textAlignment w:val="bottom"/>
            </w:pPr>
            <w:r>
              <w:rPr>
                <w:rFonts w:ascii="Arial" w:eastAsia="宋体" w:hAnsi="Arial" w:cs="Arial"/>
                <w:color w:val="000000"/>
                <w:sz w:val="20"/>
                <w:szCs w:val="20"/>
              </w:rPr>
              <w:t>9,763 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B15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5A" w14:textId="77777777" w:rsidR="0084406A" w:rsidRDefault="0084406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902B15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902B15C" w14:textId="77777777" w:rsidR="0084406A" w:rsidRDefault="002B18AF">
            <w:pPr>
              <w:jc w:val="right"/>
              <w:textAlignment w:val="bottom"/>
            </w:pPr>
            <w:r>
              <w:rPr>
                <w:rFonts w:ascii="Arial" w:eastAsia="宋体" w:hAnsi="Arial" w:cs="Arial"/>
                <w:color w:val="000000"/>
                <w:sz w:val="20"/>
                <w:szCs w:val="20"/>
              </w:rPr>
              <w:t>6,731 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5902B15D" w14:textId="77777777" w:rsidR="0084406A" w:rsidRDefault="0084406A">
            <w:pPr>
              <w:jc w:val="right"/>
              <w:rPr>
                <w:rFonts w:ascii="宋体"/>
              </w:rPr>
            </w:pPr>
          </w:p>
        </w:tc>
      </w:tr>
      <w:tr w:rsidR="0084406A" w14:paraId="5902B165" w14:textId="77777777">
        <w:tc>
          <w:tcPr>
            <w:tcW w:w="0" w:type="auto"/>
            <w:gridSpan w:val="3"/>
            <w:shd w:val="clear" w:color="auto" w:fill="CCEEFF"/>
            <w:tcMar>
              <w:top w:w="40" w:type="dxa"/>
              <w:left w:w="20" w:type="dxa"/>
              <w:bottom w:w="40" w:type="dxa"/>
              <w:right w:w="20" w:type="dxa"/>
            </w:tcMar>
            <w:vAlign w:val="bottom"/>
          </w:tcPr>
          <w:p w14:paraId="5902B15F" w14:textId="77777777" w:rsidR="0084406A" w:rsidRDefault="002B18AF">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B160"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61"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B162"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63" w14:textId="77777777" w:rsidR="0084406A" w:rsidRDefault="0084406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902B164" w14:textId="77777777" w:rsidR="0084406A" w:rsidRDefault="0084406A">
            <w:pPr>
              <w:rPr>
                <w:rFonts w:ascii="宋体"/>
              </w:rPr>
            </w:pPr>
          </w:p>
        </w:tc>
      </w:tr>
      <w:tr w:rsidR="0084406A" w14:paraId="5902B172" w14:textId="77777777">
        <w:tc>
          <w:tcPr>
            <w:tcW w:w="0" w:type="auto"/>
            <w:gridSpan w:val="3"/>
            <w:shd w:val="clear" w:color="auto" w:fill="FFFFFF"/>
            <w:tcMar>
              <w:top w:w="40" w:type="dxa"/>
              <w:left w:w="380" w:type="dxa"/>
              <w:bottom w:w="40" w:type="dxa"/>
              <w:right w:w="20" w:type="dxa"/>
            </w:tcMar>
            <w:vAlign w:val="bottom"/>
          </w:tcPr>
          <w:p w14:paraId="5902B166" w14:textId="77777777" w:rsidR="0084406A" w:rsidRDefault="002B18AF">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5902B167"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68" w14:textId="77777777" w:rsidR="0084406A" w:rsidRDefault="002B18AF">
            <w:pPr>
              <w:jc w:val="right"/>
              <w:textAlignment w:val="bottom"/>
            </w:pPr>
            <w:r>
              <w:rPr>
                <w:rFonts w:ascii="Arial" w:eastAsia="宋体" w:hAnsi="Arial" w:cs="Arial"/>
                <w:color w:val="000000"/>
                <w:sz w:val="20"/>
                <w:szCs w:val="20"/>
              </w:rPr>
              <w:t>2,090 </w:t>
            </w:r>
          </w:p>
        </w:tc>
        <w:tc>
          <w:tcPr>
            <w:tcW w:w="0" w:type="auto"/>
            <w:shd w:val="clear" w:color="auto" w:fill="FFFFFF"/>
            <w:tcMar>
              <w:top w:w="40" w:type="dxa"/>
              <w:left w:w="0" w:type="dxa"/>
              <w:bottom w:w="40" w:type="dxa"/>
              <w:right w:w="20" w:type="dxa"/>
            </w:tcMar>
            <w:vAlign w:val="bottom"/>
          </w:tcPr>
          <w:p w14:paraId="5902B16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6A"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6B"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6C" w14:textId="77777777" w:rsidR="0084406A" w:rsidRDefault="002B18AF">
            <w:pPr>
              <w:jc w:val="right"/>
              <w:textAlignment w:val="bottom"/>
            </w:pPr>
            <w:r>
              <w:rPr>
                <w:rFonts w:ascii="Arial" w:eastAsia="宋体" w:hAnsi="Arial" w:cs="Arial"/>
                <w:color w:val="000000"/>
                <w:sz w:val="20"/>
                <w:szCs w:val="20"/>
              </w:rPr>
              <w:t>1,266 </w:t>
            </w:r>
          </w:p>
        </w:tc>
        <w:tc>
          <w:tcPr>
            <w:tcW w:w="0" w:type="auto"/>
            <w:shd w:val="clear" w:color="auto" w:fill="FFFFFF"/>
            <w:tcMar>
              <w:top w:w="40" w:type="dxa"/>
              <w:left w:w="0" w:type="dxa"/>
              <w:bottom w:w="40" w:type="dxa"/>
              <w:right w:w="20" w:type="dxa"/>
            </w:tcMar>
            <w:vAlign w:val="bottom"/>
          </w:tcPr>
          <w:p w14:paraId="5902B16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6E"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6F"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70" w14:textId="77777777" w:rsidR="0084406A" w:rsidRDefault="002B18AF">
            <w:pPr>
              <w:jc w:val="right"/>
              <w:textAlignment w:val="bottom"/>
            </w:pPr>
            <w:r>
              <w:rPr>
                <w:rFonts w:ascii="Arial" w:eastAsia="宋体" w:hAnsi="Arial" w:cs="Arial"/>
                <w:color w:val="000000"/>
                <w:sz w:val="20"/>
                <w:szCs w:val="20"/>
              </w:rPr>
              <w:t>577 </w:t>
            </w:r>
          </w:p>
        </w:tc>
        <w:tc>
          <w:tcPr>
            <w:tcW w:w="0" w:type="auto"/>
            <w:shd w:val="clear" w:color="auto" w:fill="FFFFFF"/>
            <w:tcMar>
              <w:top w:w="40" w:type="dxa"/>
              <w:left w:w="0" w:type="dxa"/>
              <w:bottom w:w="40" w:type="dxa"/>
              <w:right w:w="20" w:type="dxa"/>
            </w:tcMar>
            <w:vAlign w:val="bottom"/>
          </w:tcPr>
          <w:p w14:paraId="5902B171" w14:textId="77777777" w:rsidR="0084406A" w:rsidRDefault="0084406A">
            <w:pPr>
              <w:jc w:val="right"/>
              <w:rPr>
                <w:rFonts w:ascii="宋体"/>
              </w:rPr>
            </w:pPr>
          </w:p>
        </w:tc>
      </w:tr>
      <w:tr w:rsidR="0084406A" w14:paraId="5902B17C" w14:textId="77777777">
        <w:tc>
          <w:tcPr>
            <w:tcW w:w="0" w:type="auto"/>
            <w:gridSpan w:val="3"/>
            <w:shd w:val="clear" w:color="auto" w:fill="CCEEFF"/>
            <w:tcMar>
              <w:top w:w="40" w:type="dxa"/>
              <w:left w:w="380" w:type="dxa"/>
              <w:bottom w:w="40" w:type="dxa"/>
              <w:right w:w="20" w:type="dxa"/>
            </w:tcMar>
            <w:vAlign w:val="bottom"/>
          </w:tcPr>
          <w:p w14:paraId="5902B173" w14:textId="77777777" w:rsidR="0084406A" w:rsidRDefault="002B18AF">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5902B174" w14:textId="77777777" w:rsidR="0084406A" w:rsidRDefault="002B18AF">
            <w:pPr>
              <w:jc w:val="right"/>
              <w:textAlignment w:val="bottom"/>
            </w:pPr>
            <w:r>
              <w:rPr>
                <w:rFonts w:ascii="Arial" w:eastAsia="宋体" w:hAnsi="Arial" w:cs="Arial"/>
                <w:color w:val="000000"/>
                <w:sz w:val="20"/>
                <w:szCs w:val="20"/>
              </w:rPr>
              <w:t>1,979 </w:t>
            </w:r>
          </w:p>
        </w:tc>
        <w:tc>
          <w:tcPr>
            <w:tcW w:w="0" w:type="auto"/>
            <w:shd w:val="clear" w:color="auto" w:fill="CCEEFF"/>
            <w:tcMar>
              <w:top w:w="40" w:type="dxa"/>
              <w:left w:w="0" w:type="dxa"/>
              <w:bottom w:w="40" w:type="dxa"/>
              <w:right w:w="20" w:type="dxa"/>
            </w:tcMar>
            <w:vAlign w:val="bottom"/>
          </w:tcPr>
          <w:p w14:paraId="5902B17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7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77" w14:textId="77777777" w:rsidR="0084406A" w:rsidRDefault="002B18AF">
            <w:pPr>
              <w:jc w:val="right"/>
              <w:textAlignment w:val="bottom"/>
            </w:pPr>
            <w:r>
              <w:rPr>
                <w:rFonts w:ascii="Arial" w:eastAsia="宋体" w:hAnsi="Arial" w:cs="Arial"/>
                <w:color w:val="000000"/>
                <w:sz w:val="20"/>
                <w:szCs w:val="20"/>
              </w:rPr>
              <w:t>391 </w:t>
            </w:r>
          </w:p>
        </w:tc>
        <w:tc>
          <w:tcPr>
            <w:tcW w:w="0" w:type="auto"/>
            <w:shd w:val="clear" w:color="auto" w:fill="CCEEFF"/>
            <w:tcMar>
              <w:top w:w="40" w:type="dxa"/>
              <w:left w:w="0" w:type="dxa"/>
              <w:bottom w:w="40" w:type="dxa"/>
              <w:right w:w="20" w:type="dxa"/>
            </w:tcMar>
            <w:vAlign w:val="bottom"/>
          </w:tcPr>
          <w:p w14:paraId="5902B17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7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7A" w14:textId="77777777" w:rsidR="0084406A" w:rsidRDefault="002B18AF">
            <w:pPr>
              <w:jc w:val="right"/>
              <w:textAlignment w:val="bottom"/>
            </w:pPr>
            <w:r>
              <w:rPr>
                <w:rFonts w:ascii="Arial" w:eastAsia="宋体" w:hAnsi="Arial" w:cs="Arial"/>
                <w:color w:val="000000"/>
                <w:sz w:val="20"/>
                <w:szCs w:val="20"/>
              </w:rPr>
              <w:t>263 </w:t>
            </w:r>
          </w:p>
        </w:tc>
        <w:tc>
          <w:tcPr>
            <w:tcW w:w="0" w:type="auto"/>
            <w:shd w:val="clear" w:color="auto" w:fill="CCEEFF"/>
            <w:tcMar>
              <w:top w:w="40" w:type="dxa"/>
              <w:left w:w="0" w:type="dxa"/>
              <w:bottom w:w="40" w:type="dxa"/>
              <w:right w:w="20" w:type="dxa"/>
            </w:tcMar>
            <w:vAlign w:val="bottom"/>
          </w:tcPr>
          <w:p w14:paraId="5902B17B" w14:textId="77777777" w:rsidR="0084406A" w:rsidRDefault="0084406A">
            <w:pPr>
              <w:jc w:val="right"/>
              <w:rPr>
                <w:rFonts w:ascii="宋体"/>
              </w:rPr>
            </w:pPr>
          </w:p>
        </w:tc>
      </w:tr>
      <w:tr w:rsidR="0084406A" w14:paraId="5902B183" w14:textId="77777777">
        <w:trPr>
          <w:hidden/>
        </w:trPr>
        <w:tc>
          <w:tcPr>
            <w:tcW w:w="0" w:type="auto"/>
            <w:gridSpan w:val="3"/>
            <w:shd w:val="clear" w:color="auto" w:fill="auto"/>
            <w:vAlign w:val="bottom"/>
          </w:tcPr>
          <w:p w14:paraId="5902B17D" w14:textId="77777777" w:rsidR="0084406A" w:rsidRDefault="0084406A">
            <w:pPr>
              <w:rPr>
                <w:rFonts w:ascii="宋体"/>
                <w:vanish/>
              </w:rPr>
            </w:pPr>
          </w:p>
        </w:tc>
        <w:tc>
          <w:tcPr>
            <w:tcW w:w="0" w:type="auto"/>
            <w:gridSpan w:val="3"/>
            <w:shd w:val="clear" w:color="auto" w:fill="auto"/>
            <w:vAlign w:val="bottom"/>
          </w:tcPr>
          <w:p w14:paraId="5902B17E" w14:textId="77777777" w:rsidR="0084406A" w:rsidRDefault="0084406A">
            <w:pPr>
              <w:rPr>
                <w:rFonts w:ascii="宋体"/>
                <w:vanish/>
              </w:rPr>
            </w:pPr>
          </w:p>
        </w:tc>
        <w:tc>
          <w:tcPr>
            <w:tcW w:w="0" w:type="auto"/>
            <w:gridSpan w:val="3"/>
            <w:shd w:val="clear" w:color="auto" w:fill="auto"/>
            <w:vAlign w:val="bottom"/>
          </w:tcPr>
          <w:p w14:paraId="5902B17F" w14:textId="77777777" w:rsidR="0084406A" w:rsidRDefault="0084406A">
            <w:pPr>
              <w:rPr>
                <w:rFonts w:ascii="宋体"/>
                <w:vanish/>
              </w:rPr>
            </w:pPr>
          </w:p>
        </w:tc>
        <w:tc>
          <w:tcPr>
            <w:tcW w:w="0" w:type="auto"/>
            <w:gridSpan w:val="3"/>
            <w:shd w:val="clear" w:color="auto" w:fill="auto"/>
            <w:vAlign w:val="bottom"/>
          </w:tcPr>
          <w:p w14:paraId="5902B180" w14:textId="77777777" w:rsidR="0084406A" w:rsidRDefault="0084406A">
            <w:pPr>
              <w:rPr>
                <w:rFonts w:ascii="宋体"/>
                <w:vanish/>
              </w:rPr>
            </w:pPr>
          </w:p>
        </w:tc>
        <w:tc>
          <w:tcPr>
            <w:tcW w:w="0" w:type="auto"/>
            <w:gridSpan w:val="3"/>
            <w:shd w:val="clear" w:color="auto" w:fill="auto"/>
            <w:vAlign w:val="bottom"/>
          </w:tcPr>
          <w:p w14:paraId="5902B181" w14:textId="77777777" w:rsidR="0084406A" w:rsidRDefault="0084406A">
            <w:pPr>
              <w:rPr>
                <w:rFonts w:ascii="宋体"/>
                <w:vanish/>
              </w:rPr>
            </w:pPr>
          </w:p>
        </w:tc>
        <w:tc>
          <w:tcPr>
            <w:tcW w:w="0" w:type="auto"/>
            <w:gridSpan w:val="3"/>
            <w:shd w:val="clear" w:color="auto" w:fill="auto"/>
            <w:vAlign w:val="bottom"/>
          </w:tcPr>
          <w:p w14:paraId="5902B182" w14:textId="77777777" w:rsidR="0084406A" w:rsidRDefault="0084406A">
            <w:pPr>
              <w:rPr>
                <w:rFonts w:ascii="宋体"/>
                <w:vanish/>
              </w:rPr>
            </w:pPr>
          </w:p>
        </w:tc>
      </w:tr>
      <w:tr w:rsidR="0084406A" w14:paraId="5902B18D" w14:textId="77777777">
        <w:tc>
          <w:tcPr>
            <w:tcW w:w="0" w:type="auto"/>
            <w:gridSpan w:val="3"/>
            <w:shd w:val="clear" w:color="auto" w:fill="FFFFFF"/>
            <w:tcMar>
              <w:top w:w="40" w:type="dxa"/>
              <w:left w:w="380" w:type="dxa"/>
              <w:bottom w:w="40" w:type="dxa"/>
              <w:right w:w="20" w:type="dxa"/>
            </w:tcMar>
            <w:vAlign w:val="bottom"/>
          </w:tcPr>
          <w:p w14:paraId="5902B184" w14:textId="77777777" w:rsidR="0084406A" w:rsidRDefault="002B18AF">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5902B185" w14:textId="77777777" w:rsidR="0084406A" w:rsidRDefault="002B18AF">
            <w:pPr>
              <w:jc w:val="right"/>
              <w:textAlignment w:val="bottom"/>
            </w:pPr>
            <w:r>
              <w:rPr>
                <w:rFonts w:ascii="Arial" w:eastAsia="宋体" w:hAnsi="Arial" w:cs="Arial"/>
                <w:color w:val="000000"/>
                <w:sz w:val="20"/>
                <w:szCs w:val="20"/>
              </w:rPr>
              <w:t>(421)</w:t>
            </w:r>
          </w:p>
        </w:tc>
        <w:tc>
          <w:tcPr>
            <w:tcW w:w="0" w:type="auto"/>
            <w:shd w:val="clear" w:color="auto" w:fill="FFFFFF"/>
            <w:tcMar>
              <w:top w:w="40" w:type="dxa"/>
              <w:left w:w="0" w:type="dxa"/>
              <w:bottom w:w="40" w:type="dxa"/>
              <w:right w:w="20" w:type="dxa"/>
            </w:tcMar>
            <w:vAlign w:val="bottom"/>
          </w:tcPr>
          <w:p w14:paraId="5902B186"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87"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188" w14:textId="77777777" w:rsidR="0084406A" w:rsidRDefault="002B18AF">
            <w:pPr>
              <w:jc w:val="right"/>
              <w:textAlignment w:val="bottom"/>
            </w:pPr>
            <w:r>
              <w:rPr>
                <w:rFonts w:ascii="Arial" w:eastAsia="宋体" w:hAnsi="Arial" w:cs="Arial"/>
                <w:color w:val="000000"/>
                <w:sz w:val="20"/>
                <w:szCs w:val="20"/>
              </w:rPr>
              <w:t>(288)</w:t>
            </w:r>
          </w:p>
        </w:tc>
        <w:tc>
          <w:tcPr>
            <w:tcW w:w="0" w:type="auto"/>
            <w:shd w:val="clear" w:color="auto" w:fill="FFFFFF"/>
            <w:tcMar>
              <w:top w:w="40" w:type="dxa"/>
              <w:left w:w="0" w:type="dxa"/>
              <w:bottom w:w="40" w:type="dxa"/>
              <w:right w:w="20" w:type="dxa"/>
            </w:tcMar>
            <w:vAlign w:val="bottom"/>
          </w:tcPr>
          <w:p w14:paraId="5902B18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8A"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18B" w14:textId="77777777" w:rsidR="0084406A" w:rsidRDefault="002B18AF">
            <w:pPr>
              <w:jc w:val="right"/>
              <w:textAlignment w:val="bottom"/>
            </w:pPr>
            <w:r>
              <w:rPr>
                <w:rFonts w:ascii="Arial" w:eastAsia="宋体" w:hAnsi="Arial" w:cs="Arial"/>
                <w:color w:val="000000"/>
                <w:sz w:val="20"/>
                <w:szCs w:val="20"/>
              </w:rPr>
              <w:t>(209)</w:t>
            </w:r>
          </w:p>
        </w:tc>
        <w:tc>
          <w:tcPr>
            <w:tcW w:w="0" w:type="auto"/>
            <w:shd w:val="clear" w:color="auto" w:fill="FFFFFF"/>
            <w:tcMar>
              <w:top w:w="40" w:type="dxa"/>
              <w:left w:w="0" w:type="dxa"/>
              <w:bottom w:w="40" w:type="dxa"/>
              <w:right w:w="20" w:type="dxa"/>
            </w:tcMar>
            <w:vAlign w:val="bottom"/>
          </w:tcPr>
          <w:p w14:paraId="5902B18C" w14:textId="77777777" w:rsidR="0084406A" w:rsidRDefault="0084406A">
            <w:pPr>
              <w:jc w:val="right"/>
              <w:rPr>
                <w:rFonts w:ascii="宋体"/>
              </w:rPr>
            </w:pPr>
          </w:p>
        </w:tc>
      </w:tr>
      <w:tr w:rsidR="0084406A" w14:paraId="5902B19A" w14:textId="77777777">
        <w:tc>
          <w:tcPr>
            <w:tcW w:w="0" w:type="auto"/>
            <w:gridSpan w:val="3"/>
            <w:shd w:val="clear" w:color="auto" w:fill="CCEEFF"/>
            <w:tcMar>
              <w:top w:w="40" w:type="dxa"/>
              <w:left w:w="20" w:type="dxa"/>
              <w:bottom w:w="40" w:type="dxa"/>
              <w:right w:w="20" w:type="dxa"/>
            </w:tcMar>
            <w:vAlign w:val="bottom"/>
          </w:tcPr>
          <w:p w14:paraId="5902B18E" w14:textId="77777777" w:rsidR="0084406A" w:rsidRDefault="002B18AF">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18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190" w14:textId="77777777" w:rsidR="0084406A" w:rsidRDefault="002B18AF">
            <w:pPr>
              <w:jc w:val="right"/>
              <w:textAlignment w:val="bottom"/>
            </w:pPr>
            <w:r>
              <w:rPr>
                <w:rFonts w:ascii="Arial" w:eastAsia="宋体" w:hAnsi="Arial" w:cs="Arial"/>
                <w:color w:val="000000"/>
                <w:sz w:val="20"/>
                <w:szCs w:val="20"/>
              </w:rPr>
              <w:t>3,648 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19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92"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19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194" w14:textId="77777777" w:rsidR="0084406A" w:rsidRDefault="002B18AF">
            <w:pPr>
              <w:jc w:val="right"/>
              <w:textAlignment w:val="bottom"/>
            </w:pPr>
            <w:r>
              <w:rPr>
                <w:rFonts w:ascii="Arial" w:eastAsia="宋体" w:hAnsi="Arial" w:cs="Arial"/>
                <w:color w:val="000000"/>
                <w:sz w:val="20"/>
                <w:szCs w:val="20"/>
              </w:rPr>
              <w:t>1,369 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19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96"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19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198" w14:textId="77777777" w:rsidR="0084406A" w:rsidRDefault="002B18AF">
            <w:pPr>
              <w:jc w:val="right"/>
              <w:textAlignment w:val="bottom"/>
            </w:pPr>
            <w:r>
              <w:rPr>
                <w:rFonts w:ascii="Arial" w:eastAsia="宋体" w:hAnsi="Arial" w:cs="Arial"/>
                <w:color w:val="000000"/>
                <w:sz w:val="20"/>
                <w:szCs w:val="20"/>
              </w:rPr>
              <w:t>631 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199" w14:textId="77777777" w:rsidR="0084406A" w:rsidRDefault="0084406A">
            <w:pPr>
              <w:jc w:val="right"/>
              <w:rPr>
                <w:rFonts w:ascii="宋体"/>
              </w:rPr>
            </w:pPr>
          </w:p>
        </w:tc>
      </w:tr>
    </w:tbl>
    <w:p w14:paraId="5902B19B" w14:textId="77777777" w:rsidR="0084406A" w:rsidRDefault="0084406A"/>
    <w:p w14:paraId="5902B19C" w14:textId="77777777" w:rsidR="0084406A" w:rsidRDefault="002B18AF">
      <w:r>
        <w:rPr>
          <w:rFonts w:ascii="Arial" w:eastAsia="宋体" w:hAnsi="Arial" w:cs="Arial"/>
          <w:color w:val="000000"/>
          <w:sz w:val="20"/>
          <w:szCs w:val="20"/>
        </w:rPr>
        <w:t>The following table provides items included in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7"/>
        <w:gridCol w:w="133"/>
        <w:gridCol w:w="1038"/>
        <w:gridCol w:w="36"/>
        <w:gridCol w:w="36"/>
        <w:gridCol w:w="36"/>
        <w:gridCol w:w="36"/>
        <w:gridCol w:w="133"/>
        <w:gridCol w:w="1038"/>
        <w:gridCol w:w="36"/>
        <w:gridCol w:w="36"/>
        <w:gridCol w:w="36"/>
        <w:gridCol w:w="36"/>
        <w:gridCol w:w="133"/>
        <w:gridCol w:w="1039"/>
        <w:gridCol w:w="36"/>
      </w:tblGrid>
      <w:tr w:rsidR="0084406A" w14:paraId="5902B1AF" w14:textId="77777777">
        <w:tc>
          <w:tcPr>
            <w:tcW w:w="50" w:type="pct"/>
            <w:shd w:val="clear" w:color="auto" w:fill="auto"/>
            <w:vAlign w:val="bottom"/>
          </w:tcPr>
          <w:p w14:paraId="5902B19D" w14:textId="77777777" w:rsidR="0084406A" w:rsidRDefault="0084406A">
            <w:pPr>
              <w:rPr>
                <w:rFonts w:ascii="宋体"/>
              </w:rPr>
            </w:pPr>
          </w:p>
        </w:tc>
        <w:tc>
          <w:tcPr>
            <w:tcW w:w="2715" w:type="pct"/>
            <w:shd w:val="clear" w:color="auto" w:fill="auto"/>
            <w:vAlign w:val="bottom"/>
          </w:tcPr>
          <w:p w14:paraId="5902B19E" w14:textId="77777777" w:rsidR="0084406A" w:rsidRDefault="0084406A">
            <w:pPr>
              <w:rPr>
                <w:rFonts w:ascii="宋体"/>
              </w:rPr>
            </w:pPr>
          </w:p>
        </w:tc>
        <w:tc>
          <w:tcPr>
            <w:tcW w:w="5" w:type="pct"/>
            <w:shd w:val="clear" w:color="auto" w:fill="auto"/>
            <w:vAlign w:val="bottom"/>
          </w:tcPr>
          <w:p w14:paraId="5902B19F" w14:textId="77777777" w:rsidR="0084406A" w:rsidRDefault="0084406A">
            <w:pPr>
              <w:rPr>
                <w:rFonts w:ascii="宋体"/>
              </w:rPr>
            </w:pPr>
          </w:p>
        </w:tc>
        <w:tc>
          <w:tcPr>
            <w:tcW w:w="50" w:type="pct"/>
            <w:shd w:val="clear" w:color="auto" w:fill="auto"/>
            <w:vAlign w:val="bottom"/>
          </w:tcPr>
          <w:p w14:paraId="5902B1A0" w14:textId="77777777" w:rsidR="0084406A" w:rsidRDefault="0084406A">
            <w:pPr>
              <w:rPr>
                <w:rFonts w:ascii="宋体"/>
              </w:rPr>
            </w:pPr>
          </w:p>
        </w:tc>
        <w:tc>
          <w:tcPr>
            <w:tcW w:w="668" w:type="pct"/>
            <w:shd w:val="clear" w:color="auto" w:fill="auto"/>
            <w:vAlign w:val="bottom"/>
          </w:tcPr>
          <w:p w14:paraId="5902B1A1" w14:textId="77777777" w:rsidR="0084406A" w:rsidRDefault="0084406A">
            <w:pPr>
              <w:rPr>
                <w:rFonts w:ascii="宋体"/>
              </w:rPr>
            </w:pPr>
          </w:p>
        </w:tc>
        <w:tc>
          <w:tcPr>
            <w:tcW w:w="5" w:type="pct"/>
            <w:shd w:val="clear" w:color="auto" w:fill="auto"/>
            <w:vAlign w:val="bottom"/>
          </w:tcPr>
          <w:p w14:paraId="5902B1A2" w14:textId="77777777" w:rsidR="0084406A" w:rsidRDefault="0084406A">
            <w:pPr>
              <w:rPr>
                <w:rFonts w:ascii="宋体"/>
              </w:rPr>
            </w:pPr>
          </w:p>
        </w:tc>
        <w:tc>
          <w:tcPr>
            <w:tcW w:w="5" w:type="pct"/>
            <w:shd w:val="clear" w:color="auto" w:fill="auto"/>
            <w:vAlign w:val="bottom"/>
          </w:tcPr>
          <w:p w14:paraId="5902B1A3" w14:textId="77777777" w:rsidR="0084406A" w:rsidRDefault="0084406A">
            <w:pPr>
              <w:rPr>
                <w:rFonts w:ascii="宋体"/>
              </w:rPr>
            </w:pPr>
          </w:p>
        </w:tc>
        <w:tc>
          <w:tcPr>
            <w:tcW w:w="19" w:type="pct"/>
            <w:shd w:val="clear" w:color="auto" w:fill="auto"/>
            <w:vAlign w:val="bottom"/>
          </w:tcPr>
          <w:p w14:paraId="5902B1A4" w14:textId="77777777" w:rsidR="0084406A" w:rsidRDefault="0084406A">
            <w:pPr>
              <w:rPr>
                <w:rFonts w:ascii="宋体"/>
              </w:rPr>
            </w:pPr>
          </w:p>
        </w:tc>
        <w:tc>
          <w:tcPr>
            <w:tcW w:w="5" w:type="pct"/>
            <w:shd w:val="clear" w:color="auto" w:fill="auto"/>
            <w:vAlign w:val="bottom"/>
          </w:tcPr>
          <w:p w14:paraId="5902B1A5" w14:textId="77777777" w:rsidR="0084406A" w:rsidRDefault="0084406A">
            <w:pPr>
              <w:rPr>
                <w:rFonts w:ascii="宋体"/>
              </w:rPr>
            </w:pPr>
          </w:p>
        </w:tc>
        <w:tc>
          <w:tcPr>
            <w:tcW w:w="50" w:type="pct"/>
            <w:shd w:val="clear" w:color="auto" w:fill="auto"/>
            <w:vAlign w:val="bottom"/>
          </w:tcPr>
          <w:p w14:paraId="5902B1A6" w14:textId="77777777" w:rsidR="0084406A" w:rsidRDefault="0084406A">
            <w:pPr>
              <w:rPr>
                <w:rFonts w:ascii="宋体"/>
              </w:rPr>
            </w:pPr>
          </w:p>
        </w:tc>
        <w:tc>
          <w:tcPr>
            <w:tcW w:w="668" w:type="pct"/>
            <w:shd w:val="clear" w:color="auto" w:fill="auto"/>
            <w:vAlign w:val="bottom"/>
          </w:tcPr>
          <w:p w14:paraId="5902B1A7" w14:textId="77777777" w:rsidR="0084406A" w:rsidRDefault="0084406A">
            <w:pPr>
              <w:rPr>
                <w:rFonts w:ascii="宋体"/>
              </w:rPr>
            </w:pPr>
          </w:p>
        </w:tc>
        <w:tc>
          <w:tcPr>
            <w:tcW w:w="5" w:type="pct"/>
            <w:shd w:val="clear" w:color="auto" w:fill="auto"/>
            <w:vAlign w:val="bottom"/>
          </w:tcPr>
          <w:p w14:paraId="5902B1A8" w14:textId="77777777" w:rsidR="0084406A" w:rsidRDefault="0084406A">
            <w:pPr>
              <w:rPr>
                <w:rFonts w:ascii="宋体"/>
              </w:rPr>
            </w:pPr>
          </w:p>
        </w:tc>
        <w:tc>
          <w:tcPr>
            <w:tcW w:w="5" w:type="pct"/>
            <w:shd w:val="clear" w:color="auto" w:fill="auto"/>
            <w:vAlign w:val="bottom"/>
          </w:tcPr>
          <w:p w14:paraId="5902B1A9" w14:textId="77777777" w:rsidR="0084406A" w:rsidRDefault="0084406A">
            <w:pPr>
              <w:rPr>
                <w:rFonts w:ascii="宋体"/>
              </w:rPr>
            </w:pPr>
          </w:p>
        </w:tc>
        <w:tc>
          <w:tcPr>
            <w:tcW w:w="19" w:type="pct"/>
            <w:shd w:val="clear" w:color="auto" w:fill="auto"/>
            <w:vAlign w:val="bottom"/>
          </w:tcPr>
          <w:p w14:paraId="5902B1AA" w14:textId="77777777" w:rsidR="0084406A" w:rsidRDefault="0084406A">
            <w:pPr>
              <w:rPr>
                <w:rFonts w:ascii="宋体"/>
              </w:rPr>
            </w:pPr>
          </w:p>
        </w:tc>
        <w:tc>
          <w:tcPr>
            <w:tcW w:w="5" w:type="pct"/>
            <w:shd w:val="clear" w:color="auto" w:fill="auto"/>
            <w:vAlign w:val="bottom"/>
          </w:tcPr>
          <w:p w14:paraId="5902B1AB" w14:textId="77777777" w:rsidR="0084406A" w:rsidRDefault="0084406A">
            <w:pPr>
              <w:rPr>
                <w:rFonts w:ascii="宋体"/>
              </w:rPr>
            </w:pPr>
          </w:p>
        </w:tc>
        <w:tc>
          <w:tcPr>
            <w:tcW w:w="50" w:type="pct"/>
            <w:shd w:val="clear" w:color="auto" w:fill="auto"/>
            <w:vAlign w:val="bottom"/>
          </w:tcPr>
          <w:p w14:paraId="5902B1AC" w14:textId="77777777" w:rsidR="0084406A" w:rsidRDefault="0084406A">
            <w:pPr>
              <w:rPr>
                <w:rFonts w:ascii="宋体"/>
              </w:rPr>
            </w:pPr>
          </w:p>
        </w:tc>
        <w:tc>
          <w:tcPr>
            <w:tcW w:w="668" w:type="pct"/>
            <w:shd w:val="clear" w:color="auto" w:fill="auto"/>
            <w:vAlign w:val="bottom"/>
          </w:tcPr>
          <w:p w14:paraId="5902B1AD" w14:textId="77777777" w:rsidR="0084406A" w:rsidRDefault="0084406A">
            <w:pPr>
              <w:rPr>
                <w:rFonts w:ascii="宋体"/>
              </w:rPr>
            </w:pPr>
          </w:p>
        </w:tc>
        <w:tc>
          <w:tcPr>
            <w:tcW w:w="5" w:type="pct"/>
            <w:shd w:val="clear" w:color="auto" w:fill="auto"/>
            <w:vAlign w:val="bottom"/>
          </w:tcPr>
          <w:p w14:paraId="5902B1AE" w14:textId="77777777" w:rsidR="0084406A" w:rsidRDefault="0084406A">
            <w:pPr>
              <w:rPr>
                <w:rFonts w:ascii="宋体"/>
              </w:rPr>
            </w:pPr>
          </w:p>
        </w:tc>
      </w:tr>
      <w:tr w:rsidR="0084406A" w14:paraId="5902B1B6" w14:textId="77777777">
        <w:tc>
          <w:tcPr>
            <w:tcW w:w="0" w:type="auto"/>
            <w:gridSpan w:val="3"/>
            <w:shd w:val="clear" w:color="auto" w:fill="auto"/>
            <w:tcMar>
              <w:top w:w="0" w:type="dxa"/>
              <w:left w:w="20" w:type="dxa"/>
              <w:bottom w:w="0" w:type="dxa"/>
              <w:right w:w="20" w:type="dxa"/>
            </w:tcMar>
            <w:vAlign w:val="bottom"/>
          </w:tcPr>
          <w:p w14:paraId="5902B1B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1B1"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1B2"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1B3"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1B4"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1B5"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1B9" w14:textId="77777777">
        <w:tc>
          <w:tcPr>
            <w:tcW w:w="0" w:type="auto"/>
            <w:gridSpan w:val="3"/>
            <w:shd w:val="clear" w:color="auto" w:fill="auto"/>
            <w:tcMar>
              <w:top w:w="40" w:type="dxa"/>
              <w:left w:w="20" w:type="dxa"/>
              <w:bottom w:w="40" w:type="dxa"/>
              <w:right w:w="20" w:type="dxa"/>
            </w:tcMar>
            <w:vAlign w:val="bottom"/>
          </w:tcPr>
          <w:p w14:paraId="5902B1B7"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1B8"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1C0" w14:textId="77777777">
        <w:tc>
          <w:tcPr>
            <w:tcW w:w="0" w:type="auto"/>
            <w:gridSpan w:val="3"/>
            <w:shd w:val="clear" w:color="auto" w:fill="CCEEFF"/>
            <w:tcMar>
              <w:top w:w="40" w:type="dxa"/>
              <w:left w:w="20" w:type="dxa"/>
              <w:bottom w:w="40" w:type="dxa"/>
              <w:right w:w="20" w:type="dxa"/>
            </w:tcMar>
            <w:vAlign w:val="bottom"/>
          </w:tcPr>
          <w:p w14:paraId="5902B1BA" w14:textId="77777777" w:rsidR="0084406A" w:rsidRDefault="002B18AF">
            <w:pPr>
              <w:textAlignment w:val="bottom"/>
            </w:pPr>
            <w:r>
              <w:rPr>
                <w:rFonts w:ascii="Arial" w:eastAsia="宋体" w:hAnsi="Arial" w:cs="Arial"/>
                <w:color w:val="000000"/>
                <w:sz w:val="20"/>
                <w:szCs w:val="20"/>
              </w:rPr>
              <w:t>Operating loss:</w:t>
            </w:r>
          </w:p>
        </w:tc>
        <w:tc>
          <w:tcPr>
            <w:tcW w:w="0" w:type="auto"/>
            <w:gridSpan w:val="3"/>
            <w:shd w:val="clear" w:color="auto" w:fill="CCEEFF"/>
            <w:tcMar>
              <w:top w:w="40" w:type="dxa"/>
              <w:left w:w="20" w:type="dxa"/>
              <w:bottom w:w="40" w:type="dxa"/>
              <w:right w:w="20" w:type="dxa"/>
            </w:tcMar>
            <w:vAlign w:val="bottom"/>
          </w:tcPr>
          <w:p w14:paraId="5902B1BB" w14:textId="77777777" w:rsidR="0084406A" w:rsidRDefault="002B18AF">
            <w:pPr>
              <w:textAlignment w:val="bottom"/>
            </w:pPr>
            <w:r>
              <w:rPr>
                <w:rFonts w:ascii="Arial" w:eastAsia="宋体" w:hAnsi="Arial" w:cs="Arial"/>
                <w:color w:val="000000"/>
                <w:sz w:val="20"/>
                <w:szCs w:val="20"/>
              </w:rPr>
              <w:t> </w:t>
            </w:r>
          </w:p>
        </w:tc>
        <w:tc>
          <w:tcPr>
            <w:tcW w:w="0" w:type="auto"/>
            <w:gridSpan w:val="3"/>
            <w:shd w:val="clear" w:color="auto" w:fill="CCEEFF"/>
            <w:tcMar>
              <w:top w:w="0" w:type="dxa"/>
              <w:left w:w="20" w:type="dxa"/>
              <w:bottom w:w="0" w:type="dxa"/>
              <w:right w:w="20" w:type="dxa"/>
            </w:tcMar>
            <w:vAlign w:val="bottom"/>
          </w:tcPr>
          <w:p w14:paraId="5902B1BC"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BD" w14:textId="77777777" w:rsidR="0084406A" w:rsidRDefault="0084406A">
            <w:pPr>
              <w:rPr>
                <w:rFonts w:ascii="宋体"/>
              </w:rPr>
            </w:pPr>
          </w:p>
        </w:tc>
        <w:tc>
          <w:tcPr>
            <w:tcW w:w="0" w:type="auto"/>
            <w:gridSpan w:val="3"/>
            <w:shd w:val="clear" w:color="auto" w:fill="CCEEFF"/>
            <w:tcMar>
              <w:top w:w="0" w:type="dxa"/>
              <w:left w:w="20" w:type="dxa"/>
              <w:bottom w:w="0" w:type="dxa"/>
              <w:right w:w="20" w:type="dxa"/>
            </w:tcMar>
            <w:vAlign w:val="bottom"/>
          </w:tcPr>
          <w:p w14:paraId="5902B1BE" w14:textId="77777777" w:rsidR="0084406A" w:rsidRDefault="0084406A">
            <w:pPr>
              <w:rPr>
                <w:rFonts w:ascii="宋体"/>
              </w:rPr>
            </w:pPr>
          </w:p>
        </w:tc>
        <w:tc>
          <w:tcPr>
            <w:tcW w:w="0" w:type="auto"/>
            <w:gridSpan w:val="3"/>
            <w:shd w:val="clear" w:color="auto" w:fill="CCEEFF"/>
            <w:tcMar>
              <w:top w:w="40" w:type="dxa"/>
              <w:left w:w="20" w:type="dxa"/>
              <w:bottom w:w="40" w:type="dxa"/>
              <w:right w:w="20" w:type="dxa"/>
            </w:tcMar>
            <w:vAlign w:val="bottom"/>
          </w:tcPr>
          <w:p w14:paraId="5902B1BF" w14:textId="77777777" w:rsidR="0084406A" w:rsidRDefault="002B18AF">
            <w:pPr>
              <w:textAlignment w:val="bottom"/>
            </w:pPr>
            <w:r>
              <w:rPr>
                <w:rFonts w:ascii="Arial" w:eastAsia="宋体" w:hAnsi="Arial" w:cs="Arial"/>
                <w:color w:val="000000"/>
                <w:sz w:val="20"/>
                <w:szCs w:val="20"/>
              </w:rPr>
              <w:t> </w:t>
            </w:r>
          </w:p>
        </w:tc>
      </w:tr>
      <w:tr w:rsidR="0084406A" w14:paraId="5902B1CD" w14:textId="77777777">
        <w:tc>
          <w:tcPr>
            <w:tcW w:w="0" w:type="auto"/>
            <w:gridSpan w:val="3"/>
            <w:shd w:val="clear" w:color="auto" w:fill="FFFFFF"/>
            <w:tcMar>
              <w:top w:w="40" w:type="dxa"/>
              <w:left w:w="380" w:type="dxa"/>
              <w:bottom w:w="40" w:type="dxa"/>
              <w:right w:w="20" w:type="dxa"/>
            </w:tcMar>
            <w:vAlign w:val="bottom"/>
          </w:tcPr>
          <w:p w14:paraId="5902B1C1" w14:textId="77777777" w:rsidR="0084406A" w:rsidRDefault="002B18AF">
            <w:pPr>
              <w:textAlignment w:val="bottom"/>
            </w:pPr>
            <w:r>
              <w:rPr>
                <w:rFonts w:ascii="Arial" w:eastAsia="宋体" w:hAnsi="Arial" w:cs="Arial"/>
                <w:color w:val="000000"/>
                <w:sz w:val="20"/>
                <w:szCs w:val="20"/>
              </w:rPr>
              <w:t>Stock-based compensation expense</w:t>
            </w:r>
          </w:p>
        </w:tc>
        <w:tc>
          <w:tcPr>
            <w:tcW w:w="0" w:type="auto"/>
            <w:shd w:val="clear" w:color="auto" w:fill="FFFFFF"/>
            <w:tcMar>
              <w:top w:w="40" w:type="dxa"/>
              <w:left w:w="20" w:type="dxa"/>
              <w:bottom w:w="40" w:type="dxa"/>
              <w:right w:w="0" w:type="dxa"/>
            </w:tcMar>
            <w:vAlign w:val="bottom"/>
          </w:tcPr>
          <w:p w14:paraId="5902B1C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C3" w14:textId="77777777" w:rsidR="0084406A" w:rsidRDefault="002B18AF">
            <w:pPr>
              <w:jc w:val="right"/>
              <w:textAlignment w:val="bottom"/>
            </w:pPr>
            <w:r>
              <w:rPr>
                <w:rFonts w:ascii="Arial" w:eastAsia="宋体" w:hAnsi="Arial" w:cs="Arial"/>
                <w:color w:val="000000"/>
                <w:sz w:val="20"/>
                <w:szCs w:val="20"/>
              </w:rPr>
              <w:t>(379)</w:t>
            </w:r>
          </w:p>
        </w:tc>
        <w:tc>
          <w:tcPr>
            <w:tcW w:w="0" w:type="auto"/>
            <w:shd w:val="clear" w:color="auto" w:fill="FFFFFF"/>
            <w:tcMar>
              <w:top w:w="40" w:type="dxa"/>
              <w:left w:w="0" w:type="dxa"/>
              <w:bottom w:w="40" w:type="dxa"/>
              <w:right w:w="20" w:type="dxa"/>
            </w:tcMar>
            <w:vAlign w:val="bottom"/>
          </w:tcPr>
          <w:p w14:paraId="5902B1C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C5"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C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C7" w14:textId="77777777" w:rsidR="0084406A" w:rsidRDefault="002B18AF">
            <w:pPr>
              <w:jc w:val="right"/>
              <w:textAlignment w:val="bottom"/>
            </w:pPr>
            <w:r>
              <w:rPr>
                <w:rFonts w:ascii="Arial" w:eastAsia="宋体" w:hAnsi="Arial" w:cs="Arial"/>
                <w:color w:val="000000"/>
                <w:sz w:val="20"/>
                <w:szCs w:val="20"/>
              </w:rPr>
              <w:t>(274)</w:t>
            </w:r>
          </w:p>
        </w:tc>
        <w:tc>
          <w:tcPr>
            <w:tcW w:w="0" w:type="auto"/>
            <w:shd w:val="clear" w:color="auto" w:fill="FFFFFF"/>
            <w:tcMar>
              <w:top w:w="40" w:type="dxa"/>
              <w:left w:w="0" w:type="dxa"/>
              <w:bottom w:w="40" w:type="dxa"/>
              <w:right w:w="20" w:type="dxa"/>
            </w:tcMar>
            <w:vAlign w:val="bottom"/>
          </w:tcPr>
          <w:p w14:paraId="5902B1C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C9" w14:textId="77777777" w:rsidR="0084406A" w:rsidRDefault="0084406A">
            <w:pPr>
              <w:rPr>
                <w:rFonts w:ascii="宋体"/>
              </w:rPr>
            </w:pPr>
          </w:p>
        </w:tc>
        <w:tc>
          <w:tcPr>
            <w:tcW w:w="0" w:type="auto"/>
            <w:shd w:val="clear" w:color="auto" w:fill="FFFFFF"/>
            <w:tcMar>
              <w:top w:w="40" w:type="dxa"/>
              <w:left w:w="20" w:type="dxa"/>
              <w:bottom w:w="40" w:type="dxa"/>
              <w:right w:w="0" w:type="dxa"/>
            </w:tcMar>
            <w:vAlign w:val="bottom"/>
          </w:tcPr>
          <w:p w14:paraId="5902B1C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5902B1CB" w14:textId="77777777" w:rsidR="0084406A" w:rsidRDefault="002B18AF">
            <w:pPr>
              <w:jc w:val="right"/>
              <w:textAlignment w:val="bottom"/>
            </w:pPr>
            <w:r>
              <w:rPr>
                <w:rFonts w:ascii="Arial" w:eastAsia="宋体" w:hAnsi="Arial" w:cs="Arial"/>
                <w:color w:val="000000"/>
                <w:sz w:val="20"/>
                <w:szCs w:val="20"/>
              </w:rPr>
              <w:t>(197)</w:t>
            </w:r>
          </w:p>
        </w:tc>
        <w:tc>
          <w:tcPr>
            <w:tcW w:w="0" w:type="auto"/>
            <w:shd w:val="clear" w:color="auto" w:fill="FFFFFF"/>
            <w:tcMar>
              <w:top w:w="40" w:type="dxa"/>
              <w:left w:w="0" w:type="dxa"/>
              <w:bottom w:w="40" w:type="dxa"/>
              <w:right w:w="20" w:type="dxa"/>
            </w:tcMar>
            <w:vAlign w:val="bottom"/>
          </w:tcPr>
          <w:p w14:paraId="5902B1CC" w14:textId="77777777" w:rsidR="0084406A" w:rsidRDefault="0084406A">
            <w:pPr>
              <w:jc w:val="right"/>
              <w:rPr>
                <w:rFonts w:ascii="宋体"/>
              </w:rPr>
            </w:pPr>
          </w:p>
        </w:tc>
      </w:tr>
      <w:tr w:rsidR="0084406A" w14:paraId="5902B1D4" w14:textId="77777777">
        <w:trPr>
          <w:hidden/>
        </w:trPr>
        <w:tc>
          <w:tcPr>
            <w:tcW w:w="0" w:type="auto"/>
            <w:gridSpan w:val="3"/>
            <w:shd w:val="clear" w:color="auto" w:fill="auto"/>
            <w:vAlign w:val="bottom"/>
          </w:tcPr>
          <w:p w14:paraId="5902B1CE" w14:textId="77777777" w:rsidR="0084406A" w:rsidRDefault="0084406A">
            <w:pPr>
              <w:rPr>
                <w:rFonts w:ascii="宋体"/>
                <w:vanish/>
              </w:rPr>
            </w:pPr>
          </w:p>
        </w:tc>
        <w:tc>
          <w:tcPr>
            <w:tcW w:w="0" w:type="auto"/>
            <w:gridSpan w:val="3"/>
            <w:shd w:val="clear" w:color="auto" w:fill="auto"/>
            <w:vAlign w:val="bottom"/>
          </w:tcPr>
          <w:p w14:paraId="5902B1CF" w14:textId="77777777" w:rsidR="0084406A" w:rsidRDefault="0084406A">
            <w:pPr>
              <w:rPr>
                <w:rFonts w:ascii="宋体"/>
                <w:vanish/>
              </w:rPr>
            </w:pPr>
          </w:p>
        </w:tc>
        <w:tc>
          <w:tcPr>
            <w:tcW w:w="0" w:type="auto"/>
            <w:gridSpan w:val="3"/>
            <w:shd w:val="clear" w:color="auto" w:fill="auto"/>
            <w:vAlign w:val="bottom"/>
          </w:tcPr>
          <w:p w14:paraId="5902B1D0" w14:textId="77777777" w:rsidR="0084406A" w:rsidRDefault="0084406A">
            <w:pPr>
              <w:rPr>
                <w:rFonts w:ascii="宋体"/>
                <w:vanish/>
              </w:rPr>
            </w:pPr>
          </w:p>
        </w:tc>
        <w:tc>
          <w:tcPr>
            <w:tcW w:w="0" w:type="auto"/>
            <w:gridSpan w:val="3"/>
            <w:shd w:val="clear" w:color="auto" w:fill="auto"/>
            <w:vAlign w:val="bottom"/>
          </w:tcPr>
          <w:p w14:paraId="5902B1D1" w14:textId="77777777" w:rsidR="0084406A" w:rsidRDefault="0084406A">
            <w:pPr>
              <w:rPr>
                <w:rFonts w:ascii="宋体"/>
                <w:vanish/>
              </w:rPr>
            </w:pPr>
          </w:p>
        </w:tc>
        <w:tc>
          <w:tcPr>
            <w:tcW w:w="0" w:type="auto"/>
            <w:gridSpan w:val="3"/>
            <w:shd w:val="clear" w:color="auto" w:fill="auto"/>
            <w:vAlign w:val="bottom"/>
          </w:tcPr>
          <w:p w14:paraId="5902B1D2" w14:textId="77777777" w:rsidR="0084406A" w:rsidRDefault="0084406A">
            <w:pPr>
              <w:rPr>
                <w:rFonts w:ascii="宋体"/>
                <w:vanish/>
              </w:rPr>
            </w:pPr>
          </w:p>
        </w:tc>
        <w:tc>
          <w:tcPr>
            <w:tcW w:w="0" w:type="auto"/>
            <w:gridSpan w:val="3"/>
            <w:shd w:val="clear" w:color="auto" w:fill="auto"/>
            <w:vAlign w:val="bottom"/>
          </w:tcPr>
          <w:p w14:paraId="5902B1D3" w14:textId="77777777" w:rsidR="0084406A" w:rsidRDefault="0084406A">
            <w:pPr>
              <w:rPr>
                <w:rFonts w:ascii="宋体"/>
                <w:vanish/>
              </w:rPr>
            </w:pPr>
          </w:p>
        </w:tc>
      </w:tr>
      <w:tr w:rsidR="0084406A" w14:paraId="5902B1DE" w14:textId="77777777">
        <w:tc>
          <w:tcPr>
            <w:tcW w:w="0" w:type="auto"/>
            <w:gridSpan w:val="3"/>
            <w:shd w:val="clear" w:color="auto" w:fill="CCEEFF"/>
            <w:tcMar>
              <w:top w:w="40" w:type="dxa"/>
              <w:left w:w="380" w:type="dxa"/>
              <w:bottom w:w="40" w:type="dxa"/>
              <w:right w:w="20" w:type="dxa"/>
            </w:tcMar>
            <w:vAlign w:val="bottom"/>
          </w:tcPr>
          <w:p w14:paraId="5902B1D5" w14:textId="77777777" w:rsidR="0084406A" w:rsidRDefault="002B18AF">
            <w:pPr>
              <w:textAlignment w:val="bottom"/>
            </w:pPr>
            <w:r>
              <w:rPr>
                <w:rFonts w:ascii="Arial" w:eastAsia="宋体" w:hAnsi="Arial" w:cs="Arial"/>
                <w:color w:val="000000"/>
                <w:sz w:val="20"/>
                <w:szCs w:val="20"/>
              </w:rPr>
              <w:t>Acquisition-related costs</w:t>
            </w:r>
          </w:p>
        </w:tc>
        <w:tc>
          <w:tcPr>
            <w:tcW w:w="0" w:type="auto"/>
            <w:gridSpan w:val="2"/>
            <w:shd w:val="clear" w:color="auto" w:fill="CCEEFF"/>
            <w:tcMar>
              <w:top w:w="40" w:type="dxa"/>
              <w:left w:w="20" w:type="dxa"/>
              <w:bottom w:w="40" w:type="dxa"/>
              <w:right w:w="0" w:type="dxa"/>
            </w:tcMar>
            <w:vAlign w:val="bottom"/>
          </w:tcPr>
          <w:p w14:paraId="5902B1D6" w14:textId="77777777" w:rsidR="0084406A" w:rsidRDefault="002B18AF">
            <w:pPr>
              <w:jc w:val="right"/>
              <w:textAlignment w:val="bottom"/>
            </w:pPr>
            <w:r>
              <w:rPr>
                <w:rFonts w:ascii="Arial" w:eastAsia="宋体" w:hAnsi="Arial" w:cs="Arial"/>
                <w:color w:val="000000"/>
                <w:sz w:val="20"/>
                <w:szCs w:val="20"/>
              </w:rPr>
              <w:t>(42)</w:t>
            </w:r>
          </w:p>
        </w:tc>
        <w:tc>
          <w:tcPr>
            <w:tcW w:w="0" w:type="auto"/>
            <w:shd w:val="clear" w:color="auto" w:fill="CCEEFF"/>
            <w:tcMar>
              <w:top w:w="40" w:type="dxa"/>
              <w:left w:w="0" w:type="dxa"/>
              <w:bottom w:w="40" w:type="dxa"/>
              <w:right w:w="20" w:type="dxa"/>
            </w:tcMar>
            <w:vAlign w:val="bottom"/>
          </w:tcPr>
          <w:p w14:paraId="5902B1D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D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D9" w14:textId="77777777" w:rsidR="0084406A" w:rsidRDefault="002B18AF">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5902B1D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1D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1DC"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5902B1DD" w14:textId="77777777" w:rsidR="0084406A" w:rsidRDefault="0084406A">
            <w:pPr>
              <w:jc w:val="right"/>
              <w:rPr>
                <w:rFonts w:ascii="宋体"/>
              </w:rPr>
            </w:pPr>
          </w:p>
        </w:tc>
      </w:tr>
      <w:tr w:rsidR="0084406A" w14:paraId="5902B1E5" w14:textId="77777777">
        <w:trPr>
          <w:hidden/>
        </w:trPr>
        <w:tc>
          <w:tcPr>
            <w:tcW w:w="0" w:type="auto"/>
            <w:gridSpan w:val="3"/>
            <w:shd w:val="clear" w:color="auto" w:fill="auto"/>
            <w:vAlign w:val="bottom"/>
          </w:tcPr>
          <w:p w14:paraId="5902B1DF" w14:textId="77777777" w:rsidR="0084406A" w:rsidRDefault="0084406A">
            <w:pPr>
              <w:rPr>
                <w:rFonts w:ascii="宋体"/>
                <w:vanish/>
              </w:rPr>
            </w:pPr>
          </w:p>
        </w:tc>
        <w:tc>
          <w:tcPr>
            <w:tcW w:w="0" w:type="auto"/>
            <w:gridSpan w:val="3"/>
            <w:shd w:val="clear" w:color="auto" w:fill="auto"/>
            <w:vAlign w:val="bottom"/>
          </w:tcPr>
          <w:p w14:paraId="5902B1E0" w14:textId="77777777" w:rsidR="0084406A" w:rsidRDefault="0084406A">
            <w:pPr>
              <w:rPr>
                <w:rFonts w:ascii="宋体"/>
                <w:vanish/>
              </w:rPr>
            </w:pPr>
          </w:p>
        </w:tc>
        <w:tc>
          <w:tcPr>
            <w:tcW w:w="0" w:type="auto"/>
            <w:gridSpan w:val="3"/>
            <w:shd w:val="clear" w:color="auto" w:fill="auto"/>
            <w:vAlign w:val="bottom"/>
          </w:tcPr>
          <w:p w14:paraId="5902B1E1" w14:textId="77777777" w:rsidR="0084406A" w:rsidRDefault="0084406A">
            <w:pPr>
              <w:rPr>
                <w:rFonts w:ascii="宋体"/>
                <w:vanish/>
              </w:rPr>
            </w:pPr>
          </w:p>
        </w:tc>
        <w:tc>
          <w:tcPr>
            <w:tcW w:w="0" w:type="auto"/>
            <w:gridSpan w:val="3"/>
            <w:shd w:val="clear" w:color="auto" w:fill="auto"/>
            <w:vAlign w:val="bottom"/>
          </w:tcPr>
          <w:p w14:paraId="5902B1E2" w14:textId="77777777" w:rsidR="0084406A" w:rsidRDefault="0084406A">
            <w:pPr>
              <w:rPr>
                <w:rFonts w:ascii="宋体"/>
                <w:vanish/>
              </w:rPr>
            </w:pPr>
          </w:p>
        </w:tc>
        <w:tc>
          <w:tcPr>
            <w:tcW w:w="0" w:type="auto"/>
            <w:gridSpan w:val="3"/>
            <w:shd w:val="clear" w:color="auto" w:fill="auto"/>
            <w:vAlign w:val="bottom"/>
          </w:tcPr>
          <w:p w14:paraId="5902B1E3" w14:textId="77777777" w:rsidR="0084406A" w:rsidRDefault="0084406A">
            <w:pPr>
              <w:rPr>
                <w:rFonts w:ascii="宋体"/>
                <w:vanish/>
              </w:rPr>
            </w:pPr>
          </w:p>
        </w:tc>
        <w:tc>
          <w:tcPr>
            <w:tcW w:w="0" w:type="auto"/>
            <w:gridSpan w:val="3"/>
            <w:shd w:val="clear" w:color="auto" w:fill="auto"/>
            <w:vAlign w:val="bottom"/>
          </w:tcPr>
          <w:p w14:paraId="5902B1E4" w14:textId="77777777" w:rsidR="0084406A" w:rsidRDefault="0084406A">
            <w:pPr>
              <w:rPr>
                <w:rFonts w:ascii="宋体"/>
                <w:vanish/>
              </w:rPr>
            </w:pPr>
          </w:p>
        </w:tc>
      </w:tr>
      <w:tr w:rsidR="0084406A" w14:paraId="5902B1EF" w14:textId="77777777">
        <w:tc>
          <w:tcPr>
            <w:tcW w:w="0" w:type="auto"/>
            <w:gridSpan w:val="3"/>
            <w:shd w:val="clear" w:color="auto" w:fill="FFFFFF"/>
            <w:tcMar>
              <w:top w:w="40" w:type="dxa"/>
              <w:left w:w="380" w:type="dxa"/>
              <w:bottom w:w="40" w:type="dxa"/>
              <w:right w:w="20" w:type="dxa"/>
            </w:tcMar>
            <w:vAlign w:val="bottom"/>
          </w:tcPr>
          <w:p w14:paraId="5902B1E6" w14:textId="77777777" w:rsidR="0084406A" w:rsidRDefault="002B18AF">
            <w:pPr>
              <w:textAlignment w:val="bottom"/>
            </w:pPr>
            <w:r>
              <w:rPr>
                <w:rFonts w:ascii="Arial" w:eastAsia="宋体" w:hAnsi="Arial" w:cs="Arial"/>
                <w:color w:val="000000"/>
                <w:sz w:val="20"/>
                <w:szCs w:val="20"/>
              </w:rPr>
              <w:t>Loss contingency on legal matter</w:t>
            </w:r>
          </w:p>
        </w:tc>
        <w:tc>
          <w:tcPr>
            <w:tcW w:w="0" w:type="auto"/>
            <w:gridSpan w:val="2"/>
            <w:shd w:val="clear" w:color="auto" w:fill="FFFFFF"/>
            <w:tcMar>
              <w:top w:w="40" w:type="dxa"/>
              <w:left w:w="20" w:type="dxa"/>
              <w:bottom w:w="40" w:type="dxa"/>
              <w:right w:w="0" w:type="dxa"/>
            </w:tcMar>
            <w:vAlign w:val="bottom"/>
          </w:tcPr>
          <w:p w14:paraId="5902B1E7"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B1E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E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1EA" w14:textId="77777777" w:rsidR="0084406A" w:rsidRDefault="002B18AF">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5902B1E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1E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1ED" w14:textId="77777777" w:rsidR="0084406A" w:rsidRDefault="002B18AF">
            <w:pPr>
              <w:jc w:val="right"/>
              <w:textAlignment w:val="bottom"/>
            </w:pPr>
            <w:r>
              <w:rPr>
                <w:rFonts w:ascii="Arial" w:eastAsia="宋体" w:hAnsi="Arial" w:cs="Arial"/>
                <w:color w:val="000000"/>
                <w:sz w:val="20"/>
                <w:szCs w:val="20"/>
              </w:rPr>
              <w:t>(12)</w:t>
            </w:r>
          </w:p>
        </w:tc>
        <w:tc>
          <w:tcPr>
            <w:tcW w:w="0" w:type="auto"/>
            <w:shd w:val="clear" w:color="auto" w:fill="FFFFFF"/>
            <w:tcMar>
              <w:top w:w="40" w:type="dxa"/>
              <w:left w:w="0" w:type="dxa"/>
              <w:bottom w:w="40" w:type="dxa"/>
              <w:right w:w="20" w:type="dxa"/>
            </w:tcMar>
            <w:vAlign w:val="bottom"/>
          </w:tcPr>
          <w:p w14:paraId="5902B1EE" w14:textId="77777777" w:rsidR="0084406A" w:rsidRDefault="0084406A">
            <w:pPr>
              <w:jc w:val="right"/>
              <w:rPr>
                <w:rFonts w:ascii="宋体"/>
              </w:rPr>
            </w:pPr>
          </w:p>
        </w:tc>
      </w:tr>
      <w:tr w:rsidR="0084406A" w14:paraId="5902B1F6" w14:textId="77777777">
        <w:trPr>
          <w:hidden/>
        </w:trPr>
        <w:tc>
          <w:tcPr>
            <w:tcW w:w="0" w:type="auto"/>
            <w:gridSpan w:val="3"/>
            <w:shd w:val="clear" w:color="auto" w:fill="auto"/>
            <w:vAlign w:val="bottom"/>
          </w:tcPr>
          <w:p w14:paraId="5902B1F0" w14:textId="77777777" w:rsidR="0084406A" w:rsidRDefault="0084406A">
            <w:pPr>
              <w:rPr>
                <w:rFonts w:ascii="宋体"/>
                <w:vanish/>
              </w:rPr>
            </w:pPr>
          </w:p>
        </w:tc>
        <w:tc>
          <w:tcPr>
            <w:tcW w:w="0" w:type="auto"/>
            <w:gridSpan w:val="3"/>
            <w:shd w:val="clear" w:color="auto" w:fill="auto"/>
            <w:vAlign w:val="bottom"/>
          </w:tcPr>
          <w:p w14:paraId="5902B1F1" w14:textId="77777777" w:rsidR="0084406A" w:rsidRDefault="0084406A">
            <w:pPr>
              <w:rPr>
                <w:rFonts w:ascii="宋体"/>
                <w:vanish/>
              </w:rPr>
            </w:pPr>
          </w:p>
        </w:tc>
        <w:tc>
          <w:tcPr>
            <w:tcW w:w="0" w:type="auto"/>
            <w:gridSpan w:val="3"/>
            <w:shd w:val="clear" w:color="auto" w:fill="auto"/>
            <w:vAlign w:val="bottom"/>
          </w:tcPr>
          <w:p w14:paraId="5902B1F2" w14:textId="77777777" w:rsidR="0084406A" w:rsidRDefault="0084406A">
            <w:pPr>
              <w:rPr>
                <w:rFonts w:ascii="宋体"/>
                <w:vanish/>
              </w:rPr>
            </w:pPr>
          </w:p>
        </w:tc>
        <w:tc>
          <w:tcPr>
            <w:tcW w:w="0" w:type="auto"/>
            <w:gridSpan w:val="3"/>
            <w:shd w:val="clear" w:color="auto" w:fill="auto"/>
            <w:vAlign w:val="bottom"/>
          </w:tcPr>
          <w:p w14:paraId="5902B1F3" w14:textId="77777777" w:rsidR="0084406A" w:rsidRDefault="0084406A">
            <w:pPr>
              <w:rPr>
                <w:rFonts w:ascii="宋体"/>
                <w:vanish/>
              </w:rPr>
            </w:pPr>
          </w:p>
        </w:tc>
        <w:tc>
          <w:tcPr>
            <w:tcW w:w="0" w:type="auto"/>
            <w:gridSpan w:val="3"/>
            <w:shd w:val="clear" w:color="auto" w:fill="auto"/>
            <w:vAlign w:val="bottom"/>
          </w:tcPr>
          <w:p w14:paraId="5902B1F4" w14:textId="77777777" w:rsidR="0084406A" w:rsidRDefault="0084406A">
            <w:pPr>
              <w:rPr>
                <w:rFonts w:ascii="宋体"/>
                <w:vanish/>
              </w:rPr>
            </w:pPr>
          </w:p>
        </w:tc>
        <w:tc>
          <w:tcPr>
            <w:tcW w:w="0" w:type="auto"/>
            <w:gridSpan w:val="3"/>
            <w:shd w:val="clear" w:color="auto" w:fill="auto"/>
            <w:vAlign w:val="bottom"/>
          </w:tcPr>
          <w:p w14:paraId="5902B1F5" w14:textId="77777777" w:rsidR="0084406A" w:rsidRDefault="0084406A">
            <w:pPr>
              <w:rPr>
                <w:rFonts w:ascii="宋体"/>
                <w:vanish/>
              </w:rPr>
            </w:pPr>
          </w:p>
        </w:tc>
      </w:tr>
      <w:tr w:rsidR="0084406A" w14:paraId="5902B1FD" w14:textId="77777777">
        <w:trPr>
          <w:hidden/>
        </w:trPr>
        <w:tc>
          <w:tcPr>
            <w:tcW w:w="0" w:type="auto"/>
            <w:gridSpan w:val="3"/>
            <w:shd w:val="clear" w:color="auto" w:fill="auto"/>
            <w:vAlign w:val="bottom"/>
          </w:tcPr>
          <w:p w14:paraId="5902B1F7" w14:textId="77777777" w:rsidR="0084406A" w:rsidRDefault="0084406A">
            <w:pPr>
              <w:rPr>
                <w:rFonts w:ascii="宋体"/>
                <w:vanish/>
              </w:rPr>
            </w:pPr>
          </w:p>
        </w:tc>
        <w:tc>
          <w:tcPr>
            <w:tcW w:w="0" w:type="auto"/>
            <w:gridSpan w:val="3"/>
            <w:shd w:val="clear" w:color="auto" w:fill="auto"/>
            <w:vAlign w:val="bottom"/>
          </w:tcPr>
          <w:p w14:paraId="5902B1F8" w14:textId="77777777" w:rsidR="0084406A" w:rsidRDefault="0084406A">
            <w:pPr>
              <w:rPr>
                <w:rFonts w:ascii="宋体"/>
                <w:vanish/>
              </w:rPr>
            </w:pPr>
          </w:p>
        </w:tc>
        <w:tc>
          <w:tcPr>
            <w:tcW w:w="0" w:type="auto"/>
            <w:gridSpan w:val="3"/>
            <w:shd w:val="clear" w:color="auto" w:fill="auto"/>
            <w:vAlign w:val="bottom"/>
          </w:tcPr>
          <w:p w14:paraId="5902B1F9" w14:textId="77777777" w:rsidR="0084406A" w:rsidRDefault="0084406A">
            <w:pPr>
              <w:rPr>
                <w:rFonts w:ascii="宋体"/>
                <w:vanish/>
              </w:rPr>
            </w:pPr>
          </w:p>
        </w:tc>
        <w:tc>
          <w:tcPr>
            <w:tcW w:w="0" w:type="auto"/>
            <w:gridSpan w:val="3"/>
            <w:shd w:val="clear" w:color="auto" w:fill="auto"/>
            <w:vAlign w:val="bottom"/>
          </w:tcPr>
          <w:p w14:paraId="5902B1FA" w14:textId="77777777" w:rsidR="0084406A" w:rsidRDefault="0084406A">
            <w:pPr>
              <w:rPr>
                <w:rFonts w:ascii="宋体"/>
                <w:vanish/>
              </w:rPr>
            </w:pPr>
          </w:p>
        </w:tc>
        <w:tc>
          <w:tcPr>
            <w:tcW w:w="0" w:type="auto"/>
            <w:gridSpan w:val="3"/>
            <w:shd w:val="clear" w:color="auto" w:fill="auto"/>
            <w:vAlign w:val="bottom"/>
          </w:tcPr>
          <w:p w14:paraId="5902B1FB" w14:textId="77777777" w:rsidR="0084406A" w:rsidRDefault="0084406A">
            <w:pPr>
              <w:rPr>
                <w:rFonts w:ascii="宋体"/>
                <w:vanish/>
              </w:rPr>
            </w:pPr>
          </w:p>
        </w:tc>
        <w:tc>
          <w:tcPr>
            <w:tcW w:w="0" w:type="auto"/>
            <w:gridSpan w:val="3"/>
            <w:shd w:val="clear" w:color="auto" w:fill="auto"/>
            <w:vAlign w:val="bottom"/>
          </w:tcPr>
          <w:p w14:paraId="5902B1FC" w14:textId="77777777" w:rsidR="0084406A" w:rsidRDefault="0084406A">
            <w:pPr>
              <w:rPr>
                <w:rFonts w:ascii="宋体"/>
                <w:vanish/>
              </w:rPr>
            </w:pPr>
          </w:p>
        </w:tc>
      </w:tr>
      <w:tr w:rsidR="0084406A" w14:paraId="5902B20A" w14:textId="77777777">
        <w:tc>
          <w:tcPr>
            <w:tcW w:w="0" w:type="auto"/>
            <w:gridSpan w:val="3"/>
            <w:shd w:val="clear" w:color="auto" w:fill="CCEEFF"/>
            <w:tcMar>
              <w:top w:w="40" w:type="dxa"/>
              <w:left w:w="20" w:type="dxa"/>
              <w:bottom w:w="40" w:type="dxa"/>
              <w:right w:w="20" w:type="dxa"/>
            </w:tcMar>
            <w:vAlign w:val="bottom"/>
          </w:tcPr>
          <w:p w14:paraId="5902B1FE" w14:textId="77777777" w:rsidR="0084406A" w:rsidRDefault="002B18AF">
            <w:pPr>
              <w:textAlignment w:val="bottom"/>
            </w:pPr>
            <w:r>
              <w:rPr>
                <w:rFonts w:ascii="Arial" w:eastAsia="宋体" w:hAnsi="Arial" w:cs="Arial"/>
                <w:color w:val="000000"/>
                <w:sz w:val="20"/>
                <w:szCs w:val="20"/>
              </w:rPr>
              <w:t>Total operating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1F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200" w14:textId="77777777" w:rsidR="0084406A" w:rsidRDefault="002B18AF">
            <w:pPr>
              <w:jc w:val="right"/>
              <w:textAlignment w:val="bottom"/>
            </w:pPr>
            <w:r>
              <w:rPr>
                <w:rFonts w:ascii="Arial" w:eastAsia="宋体" w:hAnsi="Arial" w:cs="Arial"/>
                <w:color w:val="000000"/>
                <w:sz w:val="20"/>
                <w:szCs w:val="20"/>
              </w:rPr>
              <w:t>(421)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20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02"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203"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204" w14:textId="77777777" w:rsidR="0084406A" w:rsidRDefault="002B18AF">
            <w:pPr>
              <w:jc w:val="right"/>
              <w:textAlignment w:val="bottom"/>
            </w:pPr>
            <w:r>
              <w:rPr>
                <w:rFonts w:ascii="Arial" w:eastAsia="宋体" w:hAnsi="Arial" w:cs="Arial"/>
                <w:color w:val="000000"/>
                <w:sz w:val="20"/>
                <w:szCs w:val="20"/>
              </w:rPr>
              <w:t>(288)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205"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206"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20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208" w14:textId="77777777" w:rsidR="0084406A" w:rsidRDefault="002B18AF">
            <w:pPr>
              <w:jc w:val="right"/>
              <w:textAlignment w:val="bottom"/>
            </w:pPr>
            <w:r>
              <w:rPr>
                <w:rFonts w:ascii="Arial" w:eastAsia="宋体" w:hAnsi="Arial" w:cs="Arial"/>
                <w:color w:val="000000"/>
                <w:sz w:val="20"/>
                <w:szCs w:val="20"/>
              </w:rPr>
              <w:t>(209)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209" w14:textId="77777777" w:rsidR="0084406A" w:rsidRDefault="0084406A">
            <w:pPr>
              <w:jc w:val="right"/>
              <w:rPr>
                <w:rFonts w:ascii="宋体"/>
              </w:rPr>
            </w:pPr>
          </w:p>
        </w:tc>
      </w:tr>
    </w:tbl>
    <w:p w14:paraId="5902B20B" w14:textId="77777777" w:rsidR="0084406A" w:rsidRDefault="002B18AF">
      <w:pPr>
        <w:spacing w:before="180"/>
        <w:jc w:val="both"/>
      </w:pPr>
      <w:r>
        <w:rPr>
          <w:rFonts w:ascii="Arial" w:eastAsia="宋体" w:hAnsi="Arial" w:cs="Arial"/>
          <w:color w:val="000000"/>
          <w:sz w:val="20"/>
          <w:szCs w:val="20"/>
        </w:rPr>
        <w:t>The Company does not discretely allocate assets to its operating segments, nor does management evaluate operating segments using discrete asset information.</w:t>
      </w:r>
    </w:p>
    <w:p w14:paraId="5902B20C" w14:textId="77777777" w:rsidR="0084406A" w:rsidRDefault="002B18AF">
      <w:pPr>
        <w:jc w:val="center"/>
      </w:pPr>
      <w:r>
        <w:rPr>
          <w:rFonts w:ascii="Arial" w:eastAsia="宋体" w:hAnsi="Arial" w:cs="Arial"/>
          <w:color w:val="000000"/>
          <w:sz w:val="20"/>
          <w:szCs w:val="20"/>
        </w:rPr>
        <w:t>73</w:t>
      </w:r>
    </w:p>
    <w:p w14:paraId="5902B20D" w14:textId="77777777" w:rsidR="0084406A" w:rsidRDefault="002B18AF">
      <w:r>
        <w:pict w14:anchorId="5902BB3F">
          <v:rect id="_x0000_i1100" style="width:415.3pt;height:1.5pt" o:hralign="center" o:hrstd="t" o:hr="t" fillcolor="#a0a0a0" stroked="f"/>
        </w:pict>
      </w:r>
    </w:p>
    <w:p w14:paraId="5902B20E" w14:textId="77777777" w:rsidR="0084406A" w:rsidRDefault="0084406A"/>
    <w:p w14:paraId="5902B20F" w14:textId="77777777" w:rsidR="0084406A" w:rsidRDefault="002B18AF">
      <w:pPr>
        <w:spacing w:before="180"/>
        <w:jc w:val="both"/>
      </w:pPr>
      <w:r>
        <w:rPr>
          <w:rFonts w:ascii="Arial" w:eastAsia="宋体" w:hAnsi="Arial" w:cs="Arial"/>
          <w:color w:val="000000"/>
          <w:sz w:val="20"/>
          <w:szCs w:val="20"/>
        </w:rPr>
        <w:t>The following table summarizes sales to</w:t>
      </w:r>
      <w:r>
        <w:rPr>
          <w:rFonts w:ascii="Arial" w:eastAsia="宋体" w:hAnsi="Arial" w:cs="Arial"/>
          <w:color w:val="000000"/>
          <w:sz w:val="20"/>
          <w:szCs w:val="20"/>
        </w:rPr>
        <w:t xml:space="preserve"> external customers by geographic regions based on billing location of the customer:</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8"/>
        <w:gridCol w:w="132"/>
        <w:gridCol w:w="1038"/>
        <w:gridCol w:w="36"/>
        <w:gridCol w:w="36"/>
        <w:gridCol w:w="36"/>
        <w:gridCol w:w="36"/>
        <w:gridCol w:w="133"/>
        <w:gridCol w:w="1038"/>
        <w:gridCol w:w="36"/>
        <w:gridCol w:w="36"/>
        <w:gridCol w:w="36"/>
        <w:gridCol w:w="36"/>
        <w:gridCol w:w="133"/>
        <w:gridCol w:w="1039"/>
        <w:gridCol w:w="36"/>
      </w:tblGrid>
      <w:tr w:rsidR="0084406A" w14:paraId="5902B222" w14:textId="77777777">
        <w:tc>
          <w:tcPr>
            <w:tcW w:w="50" w:type="pct"/>
            <w:shd w:val="clear" w:color="auto" w:fill="auto"/>
            <w:vAlign w:val="bottom"/>
          </w:tcPr>
          <w:p w14:paraId="5902B210" w14:textId="77777777" w:rsidR="0084406A" w:rsidRDefault="0084406A">
            <w:pPr>
              <w:rPr>
                <w:rFonts w:ascii="宋体"/>
              </w:rPr>
            </w:pPr>
          </w:p>
        </w:tc>
        <w:tc>
          <w:tcPr>
            <w:tcW w:w="2715" w:type="pct"/>
            <w:shd w:val="clear" w:color="auto" w:fill="auto"/>
            <w:vAlign w:val="bottom"/>
          </w:tcPr>
          <w:p w14:paraId="5902B211" w14:textId="77777777" w:rsidR="0084406A" w:rsidRDefault="0084406A">
            <w:pPr>
              <w:rPr>
                <w:rFonts w:ascii="宋体"/>
              </w:rPr>
            </w:pPr>
          </w:p>
        </w:tc>
        <w:tc>
          <w:tcPr>
            <w:tcW w:w="5" w:type="pct"/>
            <w:shd w:val="clear" w:color="auto" w:fill="auto"/>
            <w:vAlign w:val="bottom"/>
          </w:tcPr>
          <w:p w14:paraId="5902B212" w14:textId="77777777" w:rsidR="0084406A" w:rsidRDefault="0084406A">
            <w:pPr>
              <w:rPr>
                <w:rFonts w:ascii="宋体"/>
              </w:rPr>
            </w:pPr>
          </w:p>
        </w:tc>
        <w:tc>
          <w:tcPr>
            <w:tcW w:w="50" w:type="pct"/>
            <w:shd w:val="clear" w:color="auto" w:fill="auto"/>
            <w:vAlign w:val="bottom"/>
          </w:tcPr>
          <w:p w14:paraId="5902B213" w14:textId="77777777" w:rsidR="0084406A" w:rsidRDefault="0084406A">
            <w:pPr>
              <w:rPr>
                <w:rFonts w:ascii="宋体"/>
              </w:rPr>
            </w:pPr>
          </w:p>
        </w:tc>
        <w:tc>
          <w:tcPr>
            <w:tcW w:w="668" w:type="pct"/>
            <w:shd w:val="clear" w:color="auto" w:fill="auto"/>
            <w:vAlign w:val="bottom"/>
          </w:tcPr>
          <w:p w14:paraId="5902B214" w14:textId="77777777" w:rsidR="0084406A" w:rsidRDefault="0084406A">
            <w:pPr>
              <w:rPr>
                <w:rFonts w:ascii="宋体"/>
              </w:rPr>
            </w:pPr>
          </w:p>
        </w:tc>
        <w:tc>
          <w:tcPr>
            <w:tcW w:w="5" w:type="pct"/>
            <w:shd w:val="clear" w:color="auto" w:fill="auto"/>
            <w:vAlign w:val="bottom"/>
          </w:tcPr>
          <w:p w14:paraId="5902B215" w14:textId="77777777" w:rsidR="0084406A" w:rsidRDefault="0084406A">
            <w:pPr>
              <w:rPr>
                <w:rFonts w:ascii="宋体"/>
              </w:rPr>
            </w:pPr>
          </w:p>
        </w:tc>
        <w:tc>
          <w:tcPr>
            <w:tcW w:w="5" w:type="pct"/>
            <w:shd w:val="clear" w:color="auto" w:fill="auto"/>
            <w:vAlign w:val="bottom"/>
          </w:tcPr>
          <w:p w14:paraId="5902B216" w14:textId="77777777" w:rsidR="0084406A" w:rsidRDefault="0084406A">
            <w:pPr>
              <w:rPr>
                <w:rFonts w:ascii="宋体"/>
              </w:rPr>
            </w:pPr>
          </w:p>
        </w:tc>
        <w:tc>
          <w:tcPr>
            <w:tcW w:w="19" w:type="pct"/>
            <w:shd w:val="clear" w:color="auto" w:fill="auto"/>
            <w:vAlign w:val="bottom"/>
          </w:tcPr>
          <w:p w14:paraId="5902B217" w14:textId="77777777" w:rsidR="0084406A" w:rsidRDefault="0084406A">
            <w:pPr>
              <w:rPr>
                <w:rFonts w:ascii="宋体"/>
              </w:rPr>
            </w:pPr>
          </w:p>
        </w:tc>
        <w:tc>
          <w:tcPr>
            <w:tcW w:w="5" w:type="pct"/>
            <w:shd w:val="clear" w:color="auto" w:fill="auto"/>
            <w:vAlign w:val="bottom"/>
          </w:tcPr>
          <w:p w14:paraId="5902B218" w14:textId="77777777" w:rsidR="0084406A" w:rsidRDefault="0084406A">
            <w:pPr>
              <w:rPr>
                <w:rFonts w:ascii="宋体"/>
              </w:rPr>
            </w:pPr>
          </w:p>
        </w:tc>
        <w:tc>
          <w:tcPr>
            <w:tcW w:w="50" w:type="pct"/>
            <w:shd w:val="clear" w:color="auto" w:fill="auto"/>
            <w:vAlign w:val="bottom"/>
          </w:tcPr>
          <w:p w14:paraId="5902B219" w14:textId="77777777" w:rsidR="0084406A" w:rsidRDefault="0084406A">
            <w:pPr>
              <w:rPr>
                <w:rFonts w:ascii="宋体"/>
              </w:rPr>
            </w:pPr>
          </w:p>
        </w:tc>
        <w:tc>
          <w:tcPr>
            <w:tcW w:w="668" w:type="pct"/>
            <w:shd w:val="clear" w:color="auto" w:fill="auto"/>
            <w:vAlign w:val="bottom"/>
          </w:tcPr>
          <w:p w14:paraId="5902B21A" w14:textId="77777777" w:rsidR="0084406A" w:rsidRDefault="0084406A">
            <w:pPr>
              <w:rPr>
                <w:rFonts w:ascii="宋体"/>
              </w:rPr>
            </w:pPr>
          </w:p>
        </w:tc>
        <w:tc>
          <w:tcPr>
            <w:tcW w:w="5" w:type="pct"/>
            <w:shd w:val="clear" w:color="auto" w:fill="auto"/>
            <w:vAlign w:val="bottom"/>
          </w:tcPr>
          <w:p w14:paraId="5902B21B" w14:textId="77777777" w:rsidR="0084406A" w:rsidRDefault="0084406A">
            <w:pPr>
              <w:rPr>
                <w:rFonts w:ascii="宋体"/>
              </w:rPr>
            </w:pPr>
          </w:p>
        </w:tc>
        <w:tc>
          <w:tcPr>
            <w:tcW w:w="5" w:type="pct"/>
            <w:shd w:val="clear" w:color="auto" w:fill="auto"/>
            <w:vAlign w:val="bottom"/>
          </w:tcPr>
          <w:p w14:paraId="5902B21C" w14:textId="77777777" w:rsidR="0084406A" w:rsidRDefault="0084406A">
            <w:pPr>
              <w:rPr>
                <w:rFonts w:ascii="宋体"/>
              </w:rPr>
            </w:pPr>
          </w:p>
        </w:tc>
        <w:tc>
          <w:tcPr>
            <w:tcW w:w="19" w:type="pct"/>
            <w:shd w:val="clear" w:color="auto" w:fill="auto"/>
            <w:vAlign w:val="bottom"/>
          </w:tcPr>
          <w:p w14:paraId="5902B21D" w14:textId="77777777" w:rsidR="0084406A" w:rsidRDefault="0084406A">
            <w:pPr>
              <w:rPr>
                <w:rFonts w:ascii="宋体"/>
              </w:rPr>
            </w:pPr>
          </w:p>
        </w:tc>
        <w:tc>
          <w:tcPr>
            <w:tcW w:w="5" w:type="pct"/>
            <w:shd w:val="clear" w:color="auto" w:fill="auto"/>
            <w:vAlign w:val="bottom"/>
          </w:tcPr>
          <w:p w14:paraId="5902B21E" w14:textId="77777777" w:rsidR="0084406A" w:rsidRDefault="0084406A">
            <w:pPr>
              <w:rPr>
                <w:rFonts w:ascii="宋体"/>
              </w:rPr>
            </w:pPr>
          </w:p>
        </w:tc>
        <w:tc>
          <w:tcPr>
            <w:tcW w:w="50" w:type="pct"/>
            <w:shd w:val="clear" w:color="auto" w:fill="auto"/>
            <w:vAlign w:val="bottom"/>
          </w:tcPr>
          <w:p w14:paraId="5902B21F" w14:textId="77777777" w:rsidR="0084406A" w:rsidRDefault="0084406A">
            <w:pPr>
              <w:rPr>
                <w:rFonts w:ascii="宋体"/>
              </w:rPr>
            </w:pPr>
          </w:p>
        </w:tc>
        <w:tc>
          <w:tcPr>
            <w:tcW w:w="668" w:type="pct"/>
            <w:shd w:val="clear" w:color="auto" w:fill="auto"/>
            <w:vAlign w:val="bottom"/>
          </w:tcPr>
          <w:p w14:paraId="5902B220" w14:textId="77777777" w:rsidR="0084406A" w:rsidRDefault="0084406A">
            <w:pPr>
              <w:rPr>
                <w:rFonts w:ascii="宋体"/>
              </w:rPr>
            </w:pPr>
          </w:p>
        </w:tc>
        <w:tc>
          <w:tcPr>
            <w:tcW w:w="5" w:type="pct"/>
            <w:shd w:val="clear" w:color="auto" w:fill="auto"/>
            <w:vAlign w:val="bottom"/>
          </w:tcPr>
          <w:p w14:paraId="5902B221" w14:textId="77777777" w:rsidR="0084406A" w:rsidRDefault="0084406A">
            <w:pPr>
              <w:rPr>
                <w:rFonts w:ascii="宋体"/>
              </w:rPr>
            </w:pPr>
          </w:p>
        </w:tc>
      </w:tr>
      <w:tr w:rsidR="0084406A" w14:paraId="5902B229" w14:textId="77777777">
        <w:tc>
          <w:tcPr>
            <w:tcW w:w="0" w:type="auto"/>
            <w:gridSpan w:val="3"/>
            <w:shd w:val="clear" w:color="auto" w:fill="auto"/>
            <w:tcMar>
              <w:top w:w="0" w:type="dxa"/>
              <w:left w:w="20" w:type="dxa"/>
              <w:bottom w:w="0" w:type="dxa"/>
              <w:right w:w="20" w:type="dxa"/>
            </w:tcMar>
            <w:vAlign w:val="bottom"/>
          </w:tcPr>
          <w:p w14:paraId="5902B22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24"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225"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226"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227"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228"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22C" w14:textId="77777777">
        <w:tc>
          <w:tcPr>
            <w:tcW w:w="0" w:type="auto"/>
            <w:gridSpan w:val="3"/>
            <w:shd w:val="clear" w:color="auto" w:fill="auto"/>
            <w:tcMar>
              <w:top w:w="40" w:type="dxa"/>
              <w:left w:w="20" w:type="dxa"/>
              <w:bottom w:w="40" w:type="dxa"/>
              <w:right w:w="20" w:type="dxa"/>
            </w:tcMar>
            <w:vAlign w:val="bottom"/>
          </w:tcPr>
          <w:p w14:paraId="5902B22A" w14:textId="77777777" w:rsidR="0084406A" w:rsidRDefault="002B18AF">
            <w:pPr>
              <w:textAlignment w:val="bottom"/>
            </w:pPr>
            <w:r>
              <w:rPr>
                <w:rFonts w:ascii="Arial" w:eastAsia="宋体" w:hAnsi="Arial" w:cs="Arial"/>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22B"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239" w14:textId="77777777">
        <w:tc>
          <w:tcPr>
            <w:tcW w:w="0" w:type="auto"/>
            <w:gridSpan w:val="3"/>
            <w:shd w:val="clear" w:color="auto" w:fill="CCEEFF"/>
            <w:tcMar>
              <w:top w:w="40" w:type="dxa"/>
              <w:left w:w="20" w:type="dxa"/>
              <w:bottom w:w="40" w:type="dxa"/>
              <w:right w:w="20" w:type="dxa"/>
            </w:tcMar>
            <w:vAlign w:val="bottom"/>
          </w:tcPr>
          <w:p w14:paraId="5902B22D" w14:textId="77777777" w:rsidR="0084406A" w:rsidRDefault="002B18AF">
            <w:pPr>
              <w:textAlignment w:val="bottom"/>
            </w:pPr>
            <w:r>
              <w:rPr>
                <w:rFonts w:ascii="Arial" w:eastAsia="宋体" w:hAnsi="Arial" w:cs="Arial"/>
                <w:color w:val="000000"/>
                <w:sz w:val="20"/>
                <w:szCs w:val="20"/>
              </w:rPr>
              <w:t>United States</w:t>
            </w:r>
          </w:p>
        </w:tc>
        <w:tc>
          <w:tcPr>
            <w:tcW w:w="0" w:type="auto"/>
            <w:shd w:val="clear" w:color="auto" w:fill="CCEEFF"/>
            <w:tcMar>
              <w:top w:w="40" w:type="dxa"/>
              <w:left w:w="20" w:type="dxa"/>
              <w:bottom w:w="40" w:type="dxa"/>
              <w:right w:w="0" w:type="dxa"/>
            </w:tcMar>
            <w:vAlign w:val="bottom"/>
          </w:tcPr>
          <w:p w14:paraId="5902B22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22F" w14:textId="77777777" w:rsidR="0084406A" w:rsidRDefault="002B18AF">
            <w:pPr>
              <w:jc w:val="right"/>
              <w:textAlignment w:val="bottom"/>
            </w:pPr>
            <w:r>
              <w:rPr>
                <w:rFonts w:ascii="Arial" w:eastAsia="宋体" w:hAnsi="Arial" w:cs="Arial"/>
                <w:color w:val="000000"/>
                <w:sz w:val="20"/>
                <w:szCs w:val="20"/>
              </w:rPr>
              <w:t>4,656 </w:t>
            </w:r>
          </w:p>
        </w:tc>
        <w:tc>
          <w:tcPr>
            <w:tcW w:w="0" w:type="auto"/>
            <w:shd w:val="clear" w:color="auto" w:fill="CCEEFF"/>
            <w:tcMar>
              <w:top w:w="40" w:type="dxa"/>
              <w:left w:w="0" w:type="dxa"/>
              <w:bottom w:w="40" w:type="dxa"/>
              <w:right w:w="20" w:type="dxa"/>
            </w:tcMar>
            <w:vAlign w:val="bottom"/>
          </w:tcPr>
          <w:p w14:paraId="5902B23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3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23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233" w14:textId="77777777" w:rsidR="0084406A" w:rsidRDefault="002B18AF">
            <w:pPr>
              <w:jc w:val="right"/>
              <w:textAlignment w:val="bottom"/>
            </w:pPr>
            <w:r>
              <w:rPr>
                <w:rFonts w:ascii="Arial" w:eastAsia="宋体" w:hAnsi="Arial" w:cs="Arial"/>
                <w:color w:val="000000"/>
                <w:sz w:val="20"/>
                <w:szCs w:val="20"/>
              </w:rPr>
              <w:t>2,294 </w:t>
            </w:r>
          </w:p>
        </w:tc>
        <w:tc>
          <w:tcPr>
            <w:tcW w:w="0" w:type="auto"/>
            <w:shd w:val="clear" w:color="auto" w:fill="CCEEFF"/>
            <w:tcMar>
              <w:top w:w="40" w:type="dxa"/>
              <w:left w:w="0" w:type="dxa"/>
              <w:bottom w:w="40" w:type="dxa"/>
              <w:right w:w="20" w:type="dxa"/>
            </w:tcMar>
            <w:vAlign w:val="bottom"/>
          </w:tcPr>
          <w:p w14:paraId="5902B234"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35"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23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237" w14:textId="77777777" w:rsidR="0084406A" w:rsidRDefault="002B18AF">
            <w:pPr>
              <w:jc w:val="right"/>
              <w:textAlignment w:val="bottom"/>
            </w:pPr>
            <w:r>
              <w:rPr>
                <w:rFonts w:ascii="Arial" w:eastAsia="宋体" w:hAnsi="Arial" w:cs="Arial"/>
                <w:color w:val="000000"/>
                <w:sz w:val="20"/>
                <w:szCs w:val="20"/>
              </w:rPr>
              <w:t>1,764 </w:t>
            </w:r>
          </w:p>
        </w:tc>
        <w:tc>
          <w:tcPr>
            <w:tcW w:w="0" w:type="auto"/>
            <w:shd w:val="clear" w:color="auto" w:fill="CCEEFF"/>
            <w:tcMar>
              <w:top w:w="40" w:type="dxa"/>
              <w:left w:w="0" w:type="dxa"/>
              <w:bottom w:w="40" w:type="dxa"/>
              <w:right w:w="20" w:type="dxa"/>
            </w:tcMar>
            <w:vAlign w:val="bottom"/>
          </w:tcPr>
          <w:p w14:paraId="5902B238" w14:textId="77777777" w:rsidR="0084406A" w:rsidRDefault="0084406A">
            <w:pPr>
              <w:jc w:val="right"/>
              <w:rPr>
                <w:rFonts w:ascii="宋体"/>
              </w:rPr>
            </w:pPr>
          </w:p>
        </w:tc>
      </w:tr>
      <w:tr w:rsidR="0084406A" w14:paraId="5902B243" w14:textId="77777777">
        <w:tc>
          <w:tcPr>
            <w:tcW w:w="0" w:type="auto"/>
            <w:gridSpan w:val="3"/>
            <w:shd w:val="clear" w:color="auto" w:fill="FFFFFF"/>
            <w:tcMar>
              <w:top w:w="40" w:type="dxa"/>
              <w:left w:w="20" w:type="dxa"/>
              <w:bottom w:w="40" w:type="dxa"/>
              <w:right w:w="20" w:type="dxa"/>
            </w:tcMar>
            <w:vAlign w:val="bottom"/>
          </w:tcPr>
          <w:p w14:paraId="5902B23A" w14:textId="77777777" w:rsidR="0084406A" w:rsidRDefault="002B18AF">
            <w:pPr>
              <w:textAlignment w:val="bottom"/>
            </w:pPr>
            <w:r>
              <w:rPr>
                <w:rFonts w:ascii="Arial" w:eastAsia="宋体" w:hAnsi="Arial" w:cs="Arial"/>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5902B23B" w14:textId="77777777" w:rsidR="0084406A" w:rsidRDefault="002B18AF">
            <w:pPr>
              <w:jc w:val="right"/>
              <w:textAlignment w:val="bottom"/>
            </w:pPr>
            <w:r>
              <w:rPr>
                <w:rFonts w:ascii="Arial" w:eastAsia="宋体" w:hAnsi="Arial" w:cs="Arial"/>
                <w:color w:val="000000"/>
                <w:sz w:val="20"/>
                <w:szCs w:val="20"/>
              </w:rPr>
              <w:t>4,096 </w:t>
            </w:r>
          </w:p>
        </w:tc>
        <w:tc>
          <w:tcPr>
            <w:tcW w:w="0" w:type="auto"/>
            <w:shd w:val="clear" w:color="auto" w:fill="FFFFFF"/>
            <w:tcMar>
              <w:top w:w="40" w:type="dxa"/>
              <w:left w:w="0" w:type="dxa"/>
              <w:bottom w:w="40" w:type="dxa"/>
              <w:right w:w="20" w:type="dxa"/>
            </w:tcMar>
            <w:vAlign w:val="bottom"/>
          </w:tcPr>
          <w:p w14:paraId="5902B23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3D"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3E" w14:textId="77777777" w:rsidR="0084406A" w:rsidRDefault="002B18AF">
            <w:pPr>
              <w:jc w:val="right"/>
              <w:textAlignment w:val="bottom"/>
            </w:pPr>
            <w:r>
              <w:rPr>
                <w:rFonts w:ascii="Arial" w:eastAsia="宋体" w:hAnsi="Arial" w:cs="Arial"/>
                <w:color w:val="000000"/>
                <w:sz w:val="20"/>
                <w:szCs w:val="20"/>
              </w:rPr>
              <w:t>2,329 </w:t>
            </w:r>
          </w:p>
        </w:tc>
        <w:tc>
          <w:tcPr>
            <w:tcW w:w="0" w:type="auto"/>
            <w:shd w:val="clear" w:color="auto" w:fill="FFFFFF"/>
            <w:tcMar>
              <w:top w:w="40" w:type="dxa"/>
              <w:left w:w="0" w:type="dxa"/>
              <w:bottom w:w="40" w:type="dxa"/>
              <w:right w:w="20" w:type="dxa"/>
            </w:tcMar>
            <w:vAlign w:val="bottom"/>
          </w:tcPr>
          <w:p w14:paraId="5902B23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4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41" w14:textId="77777777" w:rsidR="0084406A" w:rsidRDefault="002B18AF">
            <w:pPr>
              <w:jc w:val="right"/>
              <w:textAlignment w:val="bottom"/>
            </w:pPr>
            <w:r>
              <w:rPr>
                <w:rFonts w:ascii="Arial" w:eastAsia="宋体" w:hAnsi="Arial" w:cs="Arial"/>
                <w:color w:val="000000"/>
                <w:sz w:val="20"/>
                <w:szCs w:val="20"/>
              </w:rPr>
              <w:t>1,736 </w:t>
            </w:r>
          </w:p>
        </w:tc>
        <w:tc>
          <w:tcPr>
            <w:tcW w:w="0" w:type="auto"/>
            <w:shd w:val="clear" w:color="auto" w:fill="FFFFFF"/>
            <w:tcMar>
              <w:top w:w="40" w:type="dxa"/>
              <w:left w:w="0" w:type="dxa"/>
              <w:bottom w:w="40" w:type="dxa"/>
              <w:right w:w="20" w:type="dxa"/>
            </w:tcMar>
            <w:vAlign w:val="bottom"/>
          </w:tcPr>
          <w:p w14:paraId="5902B242" w14:textId="77777777" w:rsidR="0084406A" w:rsidRDefault="0084406A">
            <w:pPr>
              <w:jc w:val="right"/>
              <w:rPr>
                <w:rFonts w:ascii="宋体"/>
              </w:rPr>
            </w:pPr>
          </w:p>
        </w:tc>
      </w:tr>
      <w:tr w:rsidR="0084406A" w14:paraId="5902B24D" w14:textId="77777777">
        <w:tc>
          <w:tcPr>
            <w:tcW w:w="0" w:type="auto"/>
            <w:gridSpan w:val="3"/>
            <w:shd w:val="clear" w:color="auto" w:fill="CCEEFF"/>
            <w:tcMar>
              <w:top w:w="40" w:type="dxa"/>
              <w:left w:w="20" w:type="dxa"/>
              <w:bottom w:w="40" w:type="dxa"/>
              <w:right w:w="20" w:type="dxa"/>
            </w:tcMar>
            <w:vAlign w:val="bottom"/>
          </w:tcPr>
          <w:p w14:paraId="5902B244" w14:textId="77777777" w:rsidR="0084406A" w:rsidRDefault="002B18AF">
            <w:pPr>
              <w:textAlignment w:val="bottom"/>
            </w:pPr>
            <w:r>
              <w:rPr>
                <w:rFonts w:ascii="Arial" w:eastAsia="宋体" w:hAnsi="Arial" w:cs="Arial"/>
                <w:color w:val="000000"/>
                <w:sz w:val="20"/>
                <w:szCs w:val="20"/>
              </w:rPr>
              <w:t>Japan</w:t>
            </w:r>
          </w:p>
        </w:tc>
        <w:tc>
          <w:tcPr>
            <w:tcW w:w="0" w:type="auto"/>
            <w:gridSpan w:val="2"/>
            <w:shd w:val="clear" w:color="auto" w:fill="CCEEFF"/>
            <w:tcMar>
              <w:top w:w="40" w:type="dxa"/>
              <w:left w:w="20" w:type="dxa"/>
              <w:bottom w:w="40" w:type="dxa"/>
              <w:right w:w="0" w:type="dxa"/>
            </w:tcMar>
            <w:vAlign w:val="bottom"/>
          </w:tcPr>
          <w:p w14:paraId="5902B245" w14:textId="77777777" w:rsidR="0084406A" w:rsidRDefault="002B18AF">
            <w:pPr>
              <w:jc w:val="right"/>
              <w:textAlignment w:val="bottom"/>
            </w:pPr>
            <w:r>
              <w:rPr>
                <w:rFonts w:ascii="Arial" w:eastAsia="宋体" w:hAnsi="Arial" w:cs="Arial"/>
                <w:color w:val="000000"/>
                <w:sz w:val="20"/>
                <w:szCs w:val="20"/>
              </w:rPr>
              <w:t>2,381 </w:t>
            </w:r>
          </w:p>
        </w:tc>
        <w:tc>
          <w:tcPr>
            <w:tcW w:w="0" w:type="auto"/>
            <w:shd w:val="clear" w:color="auto" w:fill="CCEEFF"/>
            <w:tcMar>
              <w:top w:w="40" w:type="dxa"/>
              <w:left w:w="0" w:type="dxa"/>
              <w:bottom w:w="40" w:type="dxa"/>
              <w:right w:w="20" w:type="dxa"/>
            </w:tcMar>
            <w:vAlign w:val="bottom"/>
          </w:tcPr>
          <w:p w14:paraId="5902B246"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47"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48" w14:textId="77777777" w:rsidR="0084406A" w:rsidRDefault="002B18AF">
            <w:pPr>
              <w:jc w:val="right"/>
              <w:textAlignment w:val="bottom"/>
            </w:pPr>
            <w:r>
              <w:rPr>
                <w:rFonts w:ascii="Arial" w:eastAsia="宋体" w:hAnsi="Arial" w:cs="Arial"/>
                <w:color w:val="000000"/>
                <w:sz w:val="20"/>
                <w:szCs w:val="20"/>
              </w:rPr>
              <w:t>1,033 </w:t>
            </w:r>
          </w:p>
        </w:tc>
        <w:tc>
          <w:tcPr>
            <w:tcW w:w="0" w:type="auto"/>
            <w:shd w:val="clear" w:color="auto" w:fill="CCEEFF"/>
            <w:tcMar>
              <w:top w:w="40" w:type="dxa"/>
              <w:left w:w="0" w:type="dxa"/>
              <w:bottom w:w="40" w:type="dxa"/>
              <w:right w:w="20" w:type="dxa"/>
            </w:tcMar>
            <w:vAlign w:val="bottom"/>
          </w:tcPr>
          <w:p w14:paraId="5902B249"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4A"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4B" w14:textId="77777777" w:rsidR="0084406A" w:rsidRDefault="002B18AF">
            <w:pPr>
              <w:jc w:val="right"/>
              <w:textAlignment w:val="bottom"/>
            </w:pPr>
            <w:r>
              <w:rPr>
                <w:rFonts w:ascii="Arial" w:eastAsia="宋体" w:hAnsi="Arial" w:cs="Arial"/>
                <w:color w:val="000000"/>
                <w:sz w:val="20"/>
                <w:szCs w:val="20"/>
              </w:rPr>
              <w:t>840 </w:t>
            </w:r>
          </w:p>
        </w:tc>
        <w:tc>
          <w:tcPr>
            <w:tcW w:w="0" w:type="auto"/>
            <w:shd w:val="clear" w:color="auto" w:fill="CCEEFF"/>
            <w:tcMar>
              <w:top w:w="40" w:type="dxa"/>
              <w:left w:w="0" w:type="dxa"/>
              <w:bottom w:w="40" w:type="dxa"/>
              <w:right w:w="20" w:type="dxa"/>
            </w:tcMar>
            <w:vAlign w:val="bottom"/>
          </w:tcPr>
          <w:p w14:paraId="5902B24C" w14:textId="77777777" w:rsidR="0084406A" w:rsidRDefault="0084406A">
            <w:pPr>
              <w:jc w:val="right"/>
              <w:rPr>
                <w:rFonts w:ascii="宋体"/>
              </w:rPr>
            </w:pPr>
          </w:p>
        </w:tc>
      </w:tr>
      <w:tr w:rsidR="0084406A" w14:paraId="5902B257" w14:textId="77777777">
        <w:tc>
          <w:tcPr>
            <w:tcW w:w="0" w:type="auto"/>
            <w:gridSpan w:val="3"/>
            <w:shd w:val="clear" w:color="auto" w:fill="FFFFFF"/>
            <w:tcMar>
              <w:top w:w="40" w:type="dxa"/>
              <w:left w:w="20" w:type="dxa"/>
              <w:bottom w:w="40" w:type="dxa"/>
              <w:right w:w="20" w:type="dxa"/>
            </w:tcMar>
            <w:vAlign w:val="bottom"/>
          </w:tcPr>
          <w:p w14:paraId="5902B24E" w14:textId="77777777" w:rsidR="0084406A" w:rsidRDefault="002B18AF">
            <w:pPr>
              <w:textAlignment w:val="bottom"/>
            </w:pPr>
            <w:r>
              <w:rPr>
                <w:rFonts w:ascii="Arial" w:eastAsia="宋体" w:hAnsi="Arial" w:cs="Arial"/>
                <w:color w:val="000000"/>
                <w:sz w:val="20"/>
                <w:szCs w:val="20"/>
              </w:rPr>
              <w:t>Europe</w:t>
            </w:r>
          </w:p>
        </w:tc>
        <w:tc>
          <w:tcPr>
            <w:tcW w:w="0" w:type="auto"/>
            <w:gridSpan w:val="2"/>
            <w:shd w:val="clear" w:color="auto" w:fill="FFFFFF"/>
            <w:tcMar>
              <w:top w:w="40" w:type="dxa"/>
              <w:left w:w="20" w:type="dxa"/>
              <w:bottom w:w="40" w:type="dxa"/>
              <w:right w:w="0" w:type="dxa"/>
            </w:tcMar>
            <w:vAlign w:val="bottom"/>
          </w:tcPr>
          <w:p w14:paraId="5902B24F" w14:textId="77777777" w:rsidR="0084406A" w:rsidRDefault="002B18AF">
            <w:pPr>
              <w:jc w:val="right"/>
              <w:textAlignment w:val="bottom"/>
            </w:pPr>
            <w:r>
              <w:rPr>
                <w:rFonts w:ascii="Arial" w:eastAsia="宋体" w:hAnsi="Arial" w:cs="Arial"/>
                <w:color w:val="000000"/>
                <w:sz w:val="20"/>
                <w:szCs w:val="20"/>
              </w:rPr>
              <w:t>1,249 </w:t>
            </w:r>
          </w:p>
        </w:tc>
        <w:tc>
          <w:tcPr>
            <w:tcW w:w="0" w:type="auto"/>
            <w:shd w:val="clear" w:color="auto" w:fill="FFFFFF"/>
            <w:tcMar>
              <w:top w:w="40" w:type="dxa"/>
              <w:left w:w="0" w:type="dxa"/>
              <w:bottom w:w="40" w:type="dxa"/>
              <w:right w:w="20" w:type="dxa"/>
            </w:tcMar>
            <w:vAlign w:val="bottom"/>
          </w:tcPr>
          <w:p w14:paraId="5902B25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5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52" w14:textId="77777777" w:rsidR="0084406A" w:rsidRDefault="002B18AF">
            <w:pPr>
              <w:jc w:val="right"/>
              <w:textAlignment w:val="bottom"/>
            </w:pPr>
            <w:r>
              <w:rPr>
                <w:rFonts w:ascii="Arial" w:eastAsia="宋体" w:hAnsi="Arial" w:cs="Arial"/>
                <w:color w:val="000000"/>
                <w:sz w:val="20"/>
                <w:szCs w:val="20"/>
              </w:rPr>
              <w:t>1,108 </w:t>
            </w:r>
          </w:p>
        </w:tc>
        <w:tc>
          <w:tcPr>
            <w:tcW w:w="0" w:type="auto"/>
            <w:shd w:val="clear" w:color="auto" w:fill="FFFFFF"/>
            <w:tcMar>
              <w:top w:w="40" w:type="dxa"/>
              <w:left w:w="0" w:type="dxa"/>
              <w:bottom w:w="40" w:type="dxa"/>
              <w:right w:w="20" w:type="dxa"/>
            </w:tcMar>
            <w:vAlign w:val="bottom"/>
          </w:tcPr>
          <w:p w14:paraId="5902B253"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54"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55" w14:textId="77777777" w:rsidR="0084406A" w:rsidRDefault="002B18AF">
            <w:pPr>
              <w:jc w:val="right"/>
              <w:textAlignment w:val="bottom"/>
            </w:pPr>
            <w:r>
              <w:rPr>
                <w:rFonts w:ascii="Arial" w:eastAsia="宋体" w:hAnsi="Arial" w:cs="Arial"/>
                <w:color w:val="000000"/>
                <w:sz w:val="20"/>
                <w:szCs w:val="20"/>
              </w:rPr>
              <w:t>762 </w:t>
            </w:r>
          </w:p>
        </w:tc>
        <w:tc>
          <w:tcPr>
            <w:tcW w:w="0" w:type="auto"/>
            <w:shd w:val="clear" w:color="auto" w:fill="FFFFFF"/>
            <w:tcMar>
              <w:top w:w="40" w:type="dxa"/>
              <w:left w:w="0" w:type="dxa"/>
              <w:bottom w:w="40" w:type="dxa"/>
              <w:right w:w="20" w:type="dxa"/>
            </w:tcMar>
            <w:vAlign w:val="bottom"/>
          </w:tcPr>
          <w:p w14:paraId="5902B256" w14:textId="77777777" w:rsidR="0084406A" w:rsidRDefault="0084406A">
            <w:pPr>
              <w:jc w:val="right"/>
              <w:rPr>
                <w:rFonts w:ascii="宋体"/>
              </w:rPr>
            </w:pPr>
          </w:p>
        </w:tc>
      </w:tr>
      <w:tr w:rsidR="0084406A" w14:paraId="5902B261" w14:textId="77777777">
        <w:tc>
          <w:tcPr>
            <w:tcW w:w="0" w:type="auto"/>
            <w:gridSpan w:val="3"/>
            <w:shd w:val="clear" w:color="auto" w:fill="CCEEFF"/>
            <w:tcMar>
              <w:top w:w="40" w:type="dxa"/>
              <w:left w:w="20" w:type="dxa"/>
              <w:bottom w:w="40" w:type="dxa"/>
              <w:right w:w="20" w:type="dxa"/>
            </w:tcMar>
            <w:vAlign w:val="bottom"/>
          </w:tcPr>
          <w:p w14:paraId="5902B258" w14:textId="77777777" w:rsidR="0084406A" w:rsidRDefault="002B18AF">
            <w:pPr>
              <w:textAlignment w:val="bottom"/>
            </w:pPr>
            <w:r>
              <w:rPr>
                <w:rFonts w:ascii="Arial" w:eastAsia="宋体" w:hAnsi="Arial" w:cs="Arial"/>
                <w:color w:val="000000"/>
                <w:sz w:val="20"/>
                <w:szCs w:val="20"/>
              </w:rPr>
              <w:t>Taiwan</w:t>
            </w:r>
          </w:p>
        </w:tc>
        <w:tc>
          <w:tcPr>
            <w:tcW w:w="0" w:type="auto"/>
            <w:gridSpan w:val="2"/>
            <w:shd w:val="clear" w:color="auto" w:fill="CCEEFF"/>
            <w:tcMar>
              <w:top w:w="40" w:type="dxa"/>
              <w:left w:w="20" w:type="dxa"/>
              <w:bottom w:w="40" w:type="dxa"/>
              <w:right w:w="0" w:type="dxa"/>
            </w:tcMar>
            <w:vAlign w:val="bottom"/>
          </w:tcPr>
          <w:p w14:paraId="5902B259" w14:textId="77777777" w:rsidR="0084406A" w:rsidRDefault="002B18AF">
            <w:pPr>
              <w:jc w:val="right"/>
              <w:textAlignment w:val="bottom"/>
            </w:pPr>
            <w:r>
              <w:rPr>
                <w:rFonts w:ascii="Arial" w:eastAsia="宋体" w:hAnsi="Arial" w:cs="Arial"/>
                <w:color w:val="000000"/>
                <w:sz w:val="20"/>
                <w:szCs w:val="20"/>
              </w:rPr>
              <w:t>2,091 </w:t>
            </w:r>
          </w:p>
        </w:tc>
        <w:tc>
          <w:tcPr>
            <w:tcW w:w="0" w:type="auto"/>
            <w:shd w:val="clear" w:color="auto" w:fill="CCEEFF"/>
            <w:tcMar>
              <w:top w:w="40" w:type="dxa"/>
              <w:left w:w="0" w:type="dxa"/>
              <w:bottom w:w="40" w:type="dxa"/>
              <w:right w:w="20" w:type="dxa"/>
            </w:tcMar>
            <w:vAlign w:val="bottom"/>
          </w:tcPr>
          <w:p w14:paraId="5902B25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5B"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5C" w14:textId="77777777" w:rsidR="0084406A" w:rsidRDefault="002B18AF">
            <w:pPr>
              <w:jc w:val="right"/>
              <w:textAlignment w:val="bottom"/>
            </w:pPr>
            <w:r>
              <w:rPr>
                <w:rFonts w:ascii="Arial" w:eastAsia="宋体" w:hAnsi="Arial" w:cs="Arial"/>
                <w:color w:val="000000"/>
                <w:sz w:val="20"/>
                <w:szCs w:val="20"/>
              </w:rPr>
              <w:t>1,187 </w:t>
            </w:r>
          </w:p>
        </w:tc>
        <w:tc>
          <w:tcPr>
            <w:tcW w:w="0" w:type="auto"/>
            <w:shd w:val="clear" w:color="auto" w:fill="CCEEFF"/>
            <w:tcMar>
              <w:top w:w="40" w:type="dxa"/>
              <w:left w:w="0" w:type="dxa"/>
              <w:bottom w:w="40" w:type="dxa"/>
              <w:right w:w="20" w:type="dxa"/>
            </w:tcMar>
            <w:vAlign w:val="bottom"/>
          </w:tcPr>
          <w:p w14:paraId="5902B25D"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5E"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5F" w14:textId="77777777" w:rsidR="0084406A" w:rsidRDefault="002B18AF">
            <w:pPr>
              <w:jc w:val="right"/>
              <w:textAlignment w:val="bottom"/>
            </w:pPr>
            <w:r>
              <w:rPr>
                <w:rFonts w:ascii="Arial" w:eastAsia="宋体" w:hAnsi="Arial" w:cs="Arial"/>
                <w:color w:val="000000"/>
                <w:sz w:val="20"/>
                <w:szCs w:val="20"/>
              </w:rPr>
              <w:t>719 </w:t>
            </w:r>
          </w:p>
        </w:tc>
        <w:tc>
          <w:tcPr>
            <w:tcW w:w="0" w:type="auto"/>
            <w:shd w:val="clear" w:color="auto" w:fill="CCEEFF"/>
            <w:tcMar>
              <w:top w:w="40" w:type="dxa"/>
              <w:left w:w="0" w:type="dxa"/>
              <w:bottom w:w="40" w:type="dxa"/>
              <w:right w:w="20" w:type="dxa"/>
            </w:tcMar>
            <w:vAlign w:val="bottom"/>
          </w:tcPr>
          <w:p w14:paraId="5902B260" w14:textId="77777777" w:rsidR="0084406A" w:rsidRDefault="0084406A">
            <w:pPr>
              <w:jc w:val="right"/>
              <w:rPr>
                <w:rFonts w:ascii="宋体"/>
              </w:rPr>
            </w:pPr>
          </w:p>
        </w:tc>
      </w:tr>
      <w:tr w:rsidR="0084406A" w14:paraId="5902B26B" w14:textId="77777777">
        <w:tc>
          <w:tcPr>
            <w:tcW w:w="0" w:type="auto"/>
            <w:gridSpan w:val="3"/>
            <w:shd w:val="clear" w:color="auto" w:fill="FFFFFF"/>
            <w:tcMar>
              <w:top w:w="40" w:type="dxa"/>
              <w:left w:w="20" w:type="dxa"/>
              <w:bottom w:w="40" w:type="dxa"/>
              <w:right w:w="20" w:type="dxa"/>
            </w:tcMar>
            <w:vAlign w:val="bottom"/>
          </w:tcPr>
          <w:p w14:paraId="5902B262" w14:textId="77777777" w:rsidR="0084406A" w:rsidRDefault="002B18AF">
            <w:pPr>
              <w:textAlignment w:val="bottom"/>
            </w:pPr>
            <w:r>
              <w:rPr>
                <w:rFonts w:ascii="Arial" w:eastAsia="宋体" w:hAnsi="Arial" w:cs="Arial"/>
                <w:color w:val="000000"/>
                <w:sz w:val="20"/>
                <w:szCs w:val="20"/>
              </w:rPr>
              <w:t>Singapore</w:t>
            </w:r>
          </w:p>
        </w:tc>
        <w:tc>
          <w:tcPr>
            <w:tcW w:w="0" w:type="auto"/>
            <w:gridSpan w:val="2"/>
            <w:shd w:val="clear" w:color="auto" w:fill="FFFFFF"/>
            <w:tcMar>
              <w:top w:w="40" w:type="dxa"/>
              <w:left w:w="20" w:type="dxa"/>
              <w:bottom w:w="40" w:type="dxa"/>
              <w:right w:w="0" w:type="dxa"/>
            </w:tcMar>
            <w:vAlign w:val="bottom"/>
          </w:tcPr>
          <w:p w14:paraId="5902B263" w14:textId="77777777" w:rsidR="0084406A" w:rsidRDefault="002B18AF">
            <w:pPr>
              <w:jc w:val="right"/>
              <w:textAlignment w:val="bottom"/>
            </w:pPr>
            <w:r>
              <w:rPr>
                <w:rFonts w:ascii="Arial" w:eastAsia="宋体" w:hAnsi="Arial" w:cs="Arial"/>
                <w:color w:val="000000"/>
                <w:sz w:val="20"/>
                <w:szCs w:val="20"/>
              </w:rPr>
              <w:t>1,389 </w:t>
            </w:r>
          </w:p>
        </w:tc>
        <w:tc>
          <w:tcPr>
            <w:tcW w:w="0" w:type="auto"/>
            <w:shd w:val="clear" w:color="auto" w:fill="FFFFFF"/>
            <w:tcMar>
              <w:top w:w="40" w:type="dxa"/>
              <w:left w:w="0" w:type="dxa"/>
              <w:bottom w:w="40" w:type="dxa"/>
              <w:right w:w="20" w:type="dxa"/>
            </w:tcMar>
            <w:vAlign w:val="bottom"/>
          </w:tcPr>
          <w:p w14:paraId="5902B264"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65"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66" w14:textId="77777777" w:rsidR="0084406A" w:rsidRDefault="002B18AF">
            <w:pPr>
              <w:jc w:val="right"/>
              <w:textAlignment w:val="bottom"/>
            </w:pPr>
            <w:r>
              <w:rPr>
                <w:rFonts w:ascii="Arial" w:eastAsia="宋体" w:hAnsi="Arial" w:cs="Arial"/>
                <w:color w:val="000000"/>
                <w:sz w:val="20"/>
                <w:szCs w:val="20"/>
              </w:rPr>
              <w:t>1,096 </w:t>
            </w:r>
          </w:p>
        </w:tc>
        <w:tc>
          <w:tcPr>
            <w:tcW w:w="0" w:type="auto"/>
            <w:shd w:val="clear" w:color="auto" w:fill="FFFFFF"/>
            <w:tcMar>
              <w:top w:w="40" w:type="dxa"/>
              <w:left w:w="0" w:type="dxa"/>
              <w:bottom w:w="40" w:type="dxa"/>
              <w:right w:w="20" w:type="dxa"/>
            </w:tcMar>
            <w:vAlign w:val="bottom"/>
          </w:tcPr>
          <w:p w14:paraId="5902B26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68"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69" w14:textId="77777777" w:rsidR="0084406A" w:rsidRDefault="002B18AF">
            <w:pPr>
              <w:jc w:val="right"/>
              <w:textAlignment w:val="bottom"/>
            </w:pPr>
            <w:r>
              <w:rPr>
                <w:rFonts w:ascii="Arial" w:eastAsia="宋体" w:hAnsi="Arial" w:cs="Arial"/>
                <w:color w:val="000000"/>
                <w:sz w:val="20"/>
                <w:szCs w:val="20"/>
              </w:rPr>
              <w:t>597 </w:t>
            </w:r>
          </w:p>
        </w:tc>
        <w:tc>
          <w:tcPr>
            <w:tcW w:w="0" w:type="auto"/>
            <w:shd w:val="clear" w:color="auto" w:fill="FFFFFF"/>
            <w:tcMar>
              <w:top w:w="40" w:type="dxa"/>
              <w:left w:w="0" w:type="dxa"/>
              <w:bottom w:w="40" w:type="dxa"/>
              <w:right w:w="20" w:type="dxa"/>
            </w:tcMar>
            <w:vAlign w:val="bottom"/>
          </w:tcPr>
          <w:p w14:paraId="5902B26A" w14:textId="77777777" w:rsidR="0084406A" w:rsidRDefault="0084406A">
            <w:pPr>
              <w:jc w:val="right"/>
              <w:rPr>
                <w:rFonts w:ascii="宋体"/>
              </w:rPr>
            </w:pPr>
          </w:p>
        </w:tc>
      </w:tr>
      <w:tr w:rsidR="0084406A" w14:paraId="5902B275" w14:textId="77777777">
        <w:tc>
          <w:tcPr>
            <w:tcW w:w="0" w:type="auto"/>
            <w:gridSpan w:val="3"/>
            <w:shd w:val="clear" w:color="auto" w:fill="CCEEFF"/>
            <w:tcMar>
              <w:top w:w="40" w:type="dxa"/>
              <w:left w:w="20" w:type="dxa"/>
              <w:bottom w:w="40" w:type="dxa"/>
              <w:right w:w="20" w:type="dxa"/>
            </w:tcMar>
            <w:vAlign w:val="bottom"/>
          </w:tcPr>
          <w:p w14:paraId="5902B26C" w14:textId="77777777" w:rsidR="0084406A" w:rsidRDefault="002B18AF">
            <w:pPr>
              <w:textAlignment w:val="bottom"/>
            </w:pPr>
            <w:r>
              <w:rPr>
                <w:rFonts w:ascii="Arial" w:eastAsia="宋体" w:hAnsi="Arial" w:cs="Arial"/>
                <w:color w:val="000000"/>
                <w:sz w:val="20"/>
                <w:szCs w:val="20"/>
              </w:rPr>
              <w:t>Other countries</w:t>
            </w:r>
          </w:p>
        </w:tc>
        <w:tc>
          <w:tcPr>
            <w:tcW w:w="0" w:type="auto"/>
            <w:gridSpan w:val="2"/>
            <w:shd w:val="clear" w:color="auto" w:fill="CCEEFF"/>
            <w:tcMar>
              <w:top w:w="40" w:type="dxa"/>
              <w:left w:w="20" w:type="dxa"/>
              <w:bottom w:w="40" w:type="dxa"/>
              <w:right w:w="0" w:type="dxa"/>
            </w:tcMar>
            <w:vAlign w:val="bottom"/>
          </w:tcPr>
          <w:p w14:paraId="5902B26D" w14:textId="77777777" w:rsidR="0084406A" w:rsidRDefault="002B18AF">
            <w:pPr>
              <w:jc w:val="right"/>
              <w:textAlignment w:val="bottom"/>
            </w:pPr>
            <w:r>
              <w:rPr>
                <w:rFonts w:ascii="Arial" w:eastAsia="宋体" w:hAnsi="Arial" w:cs="Arial"/>
                <w:color w:val="000000"/>
                <w:sz w:val="20"/>
                <w:szCs w:val="20"/>
              </w:rPr>
              <w:t>572 </w:t>
            </w:r>
          </w:p>
        </w:tc>
        <w:tc>
          <w:tcPr>
            <w:tcW w:w="0" w:type="auto"/>
            <w:shd w:val="clear" w:color="auto" w:fill="CCEEFF"/>
            <w:tcMar>
              <w:top w:w="40" w:type="dxa"/>
              <w:left w:w="0" w:type="dxa"/>
              <w:bottom w:w="40" w:type="dxa"/>
              <w:right w:w="20" w:type="dxa"/>
            </w:tcMar>
            <w:vAlign w:val="bottom"/>
          </w:tcPr>
          <w:p w14:paraId="5902B26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6F"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70" w14:textId="77777777" w:rsidR="0084406A" w:rsidRDefault="002B18AF">
            <w:pPr>
              <w:jc w:val="right"/>
              <w:textAlignment w:val="bottom"/>
            </w:pPr>
            <w:r>
              <w:rPr>
                <w:rFonts w:ascii="Arial" w:eastAsia="宋体" w:hAnsi="Arial" w:cs="Arial"/>
                <w:color w:val="000000"/>
                <w:sz w:val="20"/>
                <w:szCs w:val="20"/>
              </w:rPr>
              <w:t>716 </w:t>
            </w:r>
          </w:p>
        </w:tc>
        <w:tc>
          <w:tcPr>
            <w:tcW w:w="0" w:type="auto"/>
            <w:shd w:val="clear" w:color="auto" w:fill="CCEEFF"/>
            <w:tcMar>
              <w:top w:w="40" w:type="dxa"/>
              <w:left w:w="0" w:type="dxa"/>
              <w:bottom w:w="40" w:type="dxa"/>
              <w:right w:w="20" w:type="dxa"/>
            </w:tcMar>
            <w:vAlign w:val="bottom"/>
          </w:tcPr>
          <w:p w14:paraId="5902B271"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72"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73" w14:textId="77777777" w:rsidR="0084406A" w:rsidRDefault="002B18AF">
            <w:pPr>
              <w:jc w:val="right"/>
              <w:textAlignment w:val="bottom"/>
            </w:pPr>
            <w:r>
              <w:rPr>
                <w:rFonts w:ascii="Arial" w:eastAsia="宋体" w:hAnsi="Arial" w:cs="Arial"/>
                <w:color w:val="000000"/>
                <w:sz w:val="20"/>
                <w:szCs w:val="20"/>
              </w:rPr>
              <w:t>313 </w:t>
            </w:r>
          </w:p>
        </w:tc>
        <w:tc>
          <w:tcPr>
            <w:tcW w:w="0" w:type="auto"/>
            <w:shd w:val="clear" w:color="auto" w:fill="CCEEFF"/>
            <w:tcMar>
              <w:top w:w="40" w:type="dxa"/>
              <w:left w:w="0" w:type="dxa"/>
              <w:bottom w:w="40" w:type="dxa"/>
              <w:right w:w="20" w:type="dxa"/>
            </w:tcMar>
            <w:vAlign w:val="bottom"/>
          </w:tcPr>
          <w:p w14:paraId="5902B274" w14:textId="77777777" w:rsidR="0084406A" w:rsidRDefault="0084406A">
            <w:pPr>
              <w:jc w:val="right"/>
              <w:rPr>
                <w:rFonts w:ascii="宋体"/>
              </w:rPr>
            </w:pPr>
          </w:p>
        </w:tc>
      </w:tr>
      <w:tr w:rsidR="0084406A" w14:paraId="5902B282" w14:textId="77777777">
        <w:tc>
          <w:tcPr>
            <w:tcW w:w="0" w:type="auto"/>
            <w:gridSpan w:val="3"/>
            <w:shd w:val="clear" w:color="auto" w:fill="FFFFFF"/>
            <w:tcMar>
              <w:top w:w="40" w:type="dxa"/>
              <w:left w:w="20" w:type="dxa"/>
              <w:bottom w:w="40" w:type="dxa"/>
              <w:right w:w="20" w:type="dxa"/>
            </w:tcMar>
            <w:vAlign w:val="bottom"/>
          </w:tcPr>
          <w:p w14:paraId="5902B276" w14:textId="77777777" w:rsidR="0084406A" w:rsidRDefault="002B18AF">
            <w:pPr>
              <w:textAlignment w:val="bottom"/>
            </w:pPr>
            <w:r>
              <w:rPr>
                <w:rFonts w:ascii="Arial" w:eastAsia="宋体" w:hAnsi="Arial" w:cs="Arial"/>
                <w:color w:val="000000"/>
                <w:sz w:val="20"/>
                <w:szCs w:val="20"/>
              </w:rPr>
              <w:t xml:space="preserve">Total sales to </w:t>
            </w:r>
            <w:r>
              <w:rPr>
                <w:rFonts w:ascii="Arial" w:eastAsia="宋体" w:hAnsi="Arial" w:cs="Arial"/>
                <w:color w:val="000000"/>
                <w:sz w:val="20"/>
                <w:szCs w:val="20"/>
              </w:rPr>
              <w:t>external customers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277"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278" w14:textId="77777777" w:rsidR="0084406A" w:rsidRDefault="002B18AF">
            <w:pPr>
              <w:jc w:val="right"/>
              <w:textAlignment w:val="bottom"/>
            </w:pPr>
            <w:r>
              <w:rPr>
                <w:rFonts w:ascii="Arial" w:eastAsia="宋体" w:hAnsi="Arial" w:cs="Arial"/>
                <w:color w:val="000000"/>
                <w:sz w:val="20"/>
                <w:szCs w:val="20"/>
              </w:rPr>
              <w:t>16,434 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279"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7A"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27B"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27C" w14:textId="77777777" w:rsidR="0084406A" w:rsidRDefault="002B18AF">
            <w:pPr>
              <w:jc w:val="right"/>
              <w:textAlignment w:val="bottom"/>
            </w:pPr>
            <w:r>
              <w:rPr>
                <w:rFonts w:ascii="Arial" w:eastAsia="宋体" w:hAnsi="Arial" w:cs="Arial"/>
                <w:color w:val="000000"/>
                <w:sz w:val="20"/>
                <w:szCs w:val="20"/>
              </w:rPr>
              <w:t>9,763 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27D"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7E"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27F"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280" w14:textId="77777777" w:rsidR="0084406A" w:rsidRDefault="002B18AF">
            <w:pPr>
              <w:jc w:val="right"/>
              <w:textAlignment w:val="bottom"/>
            </w:pPr>
            <w:r>
              <w:rPr>
                <w:rFonts w:ascii="Arial" w:eastAsia="宋体" w:hAnsi="Arial" w:cs="Arial"/>
                <w:color w:val="000000"/>
                <w:sz w:val="20"/>
                <w:szCs w:val="20"/>
              </w:rPr>
              <w:t>6,731 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281" w14:textId="77777777" w:rsidR="0084406A" w:rsidRDefault="0084406A">
            <w:pPr>
              <w:jc w:val="right"/>
              <w:rPr>
                <w:rFonts w:ascii="宋体"/>
              </w:rPr>
            </w:pPr>
          </w:p>
        </w:tc>
      </w:tr>
    </w:tbl>
    <w:p w14:paraId="5902B283" w14:textId="77777777" w:rsidR="0084406A" w:rsidRDefault="002B18AF">
      <w:pPr>
        <w:spacing w:before="180"/>
        <w:jc w:val="both"/>
      </w:pPr>
      <w:r>
        <w:rPr>
          <w:rFonts w:ascii="Arial" w:eastAsia="宋体" w:hAnsi="Arial" w:cs="Arial"/>
          <w:color w:val="000000"/>
          <w:sz w:val="20"/>
          <w:szCs w:val="20"/>
        </w:rPr>
        <w:t xml:space="preserve">The following table summarizes sales to major customers that accounted for at least 10% of the Company’s consolidated net revenue for the respective years: </w:t>
      </w:r>
    </w:p>
    <w:tbl>
      <w:tblPr>
        <w:tblW w:w="5000" w:type="pct"/>
        <w:tblCellMar>
          <w:top w:w="15" w:type="dxa"/>
          <w:left w:w="15" w:type="dxa"/>
          <w:bottom w:w="15" w:type="dxa"/>
          <w:right w:w="15" w:type="dxa"/>
        </w:tblCellMar>
        <w:tblLook w:val="04A0" w:firstRow="1" w:lastRow="0" w:firstColumn="1" w:lastColumn="0" w:noHBand="0" w:noVBand="1"/>
      </w:tblPr>
      <w:tblGrid>
        <w:gridCol w:w="37"/>
        <w:gridCol w:w="4461"/>
        <w:gridCol w:w="36"/>
        <w:gridCol w:w="57"/>
        <w:gridCol w:w="1002"/>
        <w:gridCol w:w="198"/>
        <w:gridCol w:w="36"/>
        <w:gridCol w:w="36"/>
        <w:gridCol w:w="36"/>
        <w:gridCol w:w="57"/>
        <w:gridCol w:w="1002"/>
        <w:gridCol w:w="36"/>
        <w:gridCol w:w="36"/>
        <w:gridCol w:w="36"/>
        <w:gridCol w:w="36"/>
        <w:gridCol w:w="58"/>
        <w:gridCol w:w="978"/>
        <w:gridCol w:w="198"/>
      </w:tblGrid>
      <w:tr w:rsidR="0084406A" w14:paraId="5902B296" w14:textId="77777777">
        <w:tc>
          <w:tcPr>
            <w:tcW w:w="50" w:type="pct"/>
            <w:shd w:val="clear" w:color="auto" w:fill="auto"/>
            <w:vAlign w:val="bottom"/>
          </w:tcPr>
          <w:p w14:paraId="5902B284" w14:textId="77777777" w:rsidR="0084406A" w:rsidRDefault="0084406A">
            <w:pPr>
              <w:rPr>
                <w:rFonts w:ascii="宋体"/>
              </w:rPr>
            </w:pPr>
          </w:p>
        </w:tc>
        <w:tc>
          <w:tcPr>
            <w:tcW w:w="2730" w:type="pct"/>
            <w:shd w:val="clear" w:color="auto" w:fill="auto"/>
            <w:vAlign w:val="bottom"/>
          </w:tcPr>
          <w:p w14:paraId="5902B285" w14:textId="77777777" w:rsidR="0084406A" w:rsidRDefault="0084406A">
            <w:pPr>
              <w:rPr>
                <w:rFonts w:ascii="宋体"/>
              </w:rPr>
            </w:pPr>
          </w:p>
        </w:tc>
        <w:tc>
          <w:tcPr>
            <w:tcW w:w="5" w:type="pct"/>
            <w:shd w:val="clear" w:color="auto" w:fill="auto"/>
            <w:vAlign w:val="bottom"/>
          </w:tcPr>
          <w:p w14:paraId="5902B286" w14:textId="77777777" w:rsidR="0084406A" w:rsidRDefault="0084406A">
            <w:pPr>
              <w:rPr>
                <w:rFonts w:ascii="宋体"/>
              </w:rPr>
            </w:pPr>
          </w:p>
        </w:tc>
        <w:tc>
          <w:tcPr>
            <w:tcW w:w="50" w:type="pct"/>
            <w:shd w:val="clear" w:color="auto" w:fill="auto"/>
            <w:vAlign w:val="bottom"/>
          </w:tcPr>
          <w:p w14:paraId="5902B287" w14:textId="77777777" w:rsidR="0084406A" w:rsidRDefault="0084406A">
            <w:pPr>
              <w:rPr>
                <w:rFonts w:ascii="宋体"/>
              </w:rPr>
            </w:pPr>
          </w:p>
        </w:tc>
        <w:tc>
          <w:tcPr>
            <w:tcW w:w="668" w:type="pct"/>
            <w:shd w:val="clear" w:color="auto" w:fill="auto"/>
            <w:vAlign w:val="bottom"/>
          </w:tcPr>
          <w:p w14:paraId="5902B288" w14:textId="77777777" w:rsidR="0084406A" w:rsidRDefault="0084406A">
            <w:pPr>
              <w:rPr>
                <w:rFonts w:ascii="宋体"/>
              </w:rPr>
            </w:pPr>
          </w:p>
        </w:tc>
        <w:tc>
          <w:tcPr>
            <w:tcW w:w="5" w:type="pct"/>
            <w:shd w:val="clear" w:color="auto" w:fill="auto"/>
            <w:vAlign w:val="bottom"/>
          </w:tcPr>
          <w:p w14:paraId="5902B289" w14:textId="77777777" w:rsidR="0084406A" w:rsidRDefault="0084406A">
            <w:pPr>
              <w:rPr>
                <w:rFonts w:ascii="宋体"/>
              </w:rPr>
            </w:pPr>
          </w:p>
        </w:tc>
        <w:tc>
          <w:tcPr>
            <w:tcW w:w="5" w:type="pct"/>
            <w:shd w:val="clear" w:color="auto" w:fill="auto"/>
            <w:vAlign w:val="bottom"/>
          </w:tcPr>
          <w:p w14:paraId="5902B28A" w14:textId="77777777" w:rsidR="0084406A" w:rsidRDefault="0084406A">
            <w:pPr>
              <w:rPr>
                <w:rFonts w:ascii="宋体"/>
              </w:rPr>
            </w:pPr>
          </w:p>
        </w:tc>
        <w:tc>
          <w:tcPr>
            <w:tcW w:w="19" w:type="pct"/>
            <w:shd w:val="clear" w:color="auto" w:fill="auto"/>
            <w:vAlign w:val="bottom"/>
          </w:tcPr>
          <w:p w14:paraId="5902B28B" w14:textId="77777777" w:rsidR="0084406A" w:rsidRDefault="0084406A">
            <w:pPr>
              <w:rPr>
                <w:rFonts w:ascii="宋体"/>
              </w:rPr>
            </w:pPr>
          </w:p>
        </w:tc>
        <w:tc>
          <w:tcPr>
            <w:tcW w:w="5" w:type="pct"/>
            <w:shd w:val="clear" w:color="auto" w:fill="auto"/>
            <w:vAlign w:val="bottom"/>
          </w:tcPr>
          <w:p w14:paraId="5902B28C" w14:textId="77777777" w:rsidR="0084406A" w:rsidRDefault="0084406A">
            <w:pPr>
              <w:rPr>
                <w:rFonts w:ascii="宋体"/>
              </w:rPr>
            </w:pPr>
          </w:p>
        </w:tc>
        <w:tc>
          <w:tcPr>
            <w:tcW w:w="50" w:type="pct"/>
            <w:shd w:val="clear" w:color="auto" w:fill="auto"/>
            <w:vAlign w:val="bottom"/>
          </w:tcPr>
          <w:p w14:paraId="5902B28D" w14:textId="77777777" w:rsidR="0084406A" w:rsidRDefault="0084406A">
            <w:pPr>
              <w:rPr>
                <w:rFonts w:ascii="宋体"/>
              </w:rPr>
            </w:pPr>
          </w:p>
        </w:tc>
        <w:tc>
          <w:tcPr>
            <w:tcW w:w="668" w:type="pct"/>
            <w:shd w:val="clear" w:color="auto" w:fill="auto"/>
            <w:vAlign w:val="bottom"/>
          </w:tcPr>
          <w:p w14:paraId="5902B28E" w14:textId="77777777" w:rsidR="0084406A" w:rsidRDefault="0084406A">
            <w:pPr>
              <w:rPr>
                <w:rFonts w:ascii="宋体"/>
              </w:rPr>
            </w:pPr>
          </w:p>
        </w:tc>
        <w:tc>
          <w:tcPr>
            <w:tcW w:w="5" w:type="pct"/>
            <w:shd w:val="clear" w:color="auto" w:fill="auto"/>
            <w:vAlign w:val="bottom"/>
          </w:tcPr>
          <w:p w14:paraId="5902B28F" w14:textId="77777777" w:rsidR="0084406A" w:rsidRDefault="0084406A">
            <w:pPr>
              <w:rPr>
                <w:rFonts w:ascii="宋体"/>
              </w:rPr>
            </w:pPr>
          </w:p>
        </w:tc>
        <w:tc>
          <w:tcPr>
            <w:tcW w:w="5" w:type="pct"/>
            <w:shd w:val="clear" w:color="auto" w:fill="auto"/>
            <w:vAlign w:val="bottom"/>
          </w:tcPr>
          <w:p w14:paraId="5902B290" w14:textId="77777777" w:rsidR="0084406A" w:rsidRDefault="0084406A">
            <w:pPr>
              <w:rPr>
                <w:rFonts w:ascii="宋体"/>
              </w:rPr>
            </w:pPr>
          </w:p>
        </w:tc>
        <w:tc>
          <w:tcPr>
            <w:tcW w:w="19" w:type="pct"/>
            <w:shd w:val="clear" w:color="auto" w:fill="auto"/>
            <w:vAlign w:val="bottom"/>
          </w:tcPr>
          <w:p w14:paraId="5902B291" w14:textId="77777777" w:rsidR="0084406A" w:rsidRDefault="0084406A">
            <w:pPr>
              <w:rPr>
                <w:rFonts w:ascii="宋体"/>
              </w:rPr>
            </w:pPr>
          </w:p>
        </w:tc>
        <w:tc>
          <w:tcPr>
            <w:tcW w:w="5" w:type="pct"/>
            <w:shd w:val="clear" w:color="auto" w:fill="auto"/>
            <w:vAlign w:val="bottom"/>
          </w:tcPr>
          <w:p w14:paraId="5902B292" w14:textId="77777777" w:rsidR="0084406A" w:rsidRDefault="0084406A">
            <w:pPr>
              <w:rPr>
                <w:rFonts w:ascii="宋体"/>
              </w:rPr>
            </w:pPr>
          </w:p>
        </w:tc>
        <w:tc>
          <w:tcPr>
            <w:tcW w:w="50" w:type="pct"/>
            <w:shd w:val="clear" w:color="auto" w:fill="auto"/>
            <w:vAlign w:val="bottom"/>
          </w:tcPr>
          <w:p w14:paraId="5902B293" w14:textId="77777777" w:rsidR="0084406A" w:rsidRDefault="0084406A">
            <w:pPr>
              <w:rPr>
                <w:rFonts w:ascii="宋体"/>
              </w:rPr>
            </w:pPr>
          </w:p>
        </w:tc>
        <w:tc>
          <w:tcPr>
            <w:tcW w:w="654" w:type="pct"/>
            <w:shd w:val="clear" w:color="auto" w:fill="auto"/>
            <w:vAlign w:val="bottom"/>
          </w:tcPr>
          <w:p w14:paraId="5902B294" w14:textId="77777777" w:rsidR="0084406A" w:rsidRDefault="0084406A">
            <w:pPr>
              <w:rPr>
                <w:rFonts w:ascii="宋体"/>
              </w:rPr>
            </w:pPr>
          </w:p>
        </w:tc>
        <w:tc>
          <w:tcPr>
            <w:tcW w:w="5" w:type="pct"/>
            <w:shd w:val="clear" w:color="auto" w:fill="auto"/>
            <w:vAlign w:val="bottom"/>
          </w:tcPr>
          <w:p w14:paraId="5902B295" w14:textId="77777777" w:rsidR="0084406A" w:rsidRDefault="0084406A">
            <w:pPr>
              <w:rPr>
                <w:rFonts w:ascii="宋体"/>
              </w:rPr>
            </w:pPr>
          </w:p>
        </w:tc>
      </w:tr>
      <w:tr w:rsidR="0084406A" w14:paraId="5902B29D" w14:textId="77777777">
        <w:tc>
          <w:tcPr>
            <w:tcW w:w="0" w:type="auto"/>
            <w:gridSpan w:val="3"/>
            <w:shd w:val="clear" w:color="auto" w:fill="auto"/>
            <w:tcMar>
              <w:top w:w="0" w:type="dxa"/>
              <w:left w:w="20" w:type="dxa"/>
              <w:bottom w:w="0" w:type="dxa"/>
              <w:right w:w="20" w:type="dxa"/>
            </w:tcMar>
            <w:vAlign w:val="bottom"/>
          </w:tcPr>
          <w:p w14:paraId="5902B29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98"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29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9A"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29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9C"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2A6" w14:textId="77777777">
        <w:tc>
          <w:tcPr>
            <w:tcW w:w="0" w:type="auto"/>
            <w:gridSpan w:val="3"/>
            <w:shd w:val="clear" w:color="auto" w:fill="CCEEFF"/>
            <w:tcMar>
              <w:top w:w="40" w:type="dxa"/>
              <w:left w:w="20" w:type="dxa"/>
              <w:bottom w:w="40" w:type="dxa"/>
              <w:right w:w="20" w:type="dxa"/>
            </w:tcMar>
            <w:vAlign w:val="bottom"/>
          </w:tcPr>
          <w:p w14:paraId="5902B29E" w14:textId="77777777" w:rsidR="0084406A" w:rsidRDefault="002B18AF">
            <w:pPr>
              <w:textAlignment w:val="bottom"/>
            </w:pPr>
            <w:r>
              <w:rPr>
                <w:rFonts w:ascii="Arial" w:eastAsia="宋体" w:hAnsi="Arial" w:cs="Arial"/>
                <w:color w:val="000000"/>
                <w:sz w:val="20"/>
                <w:szCs w:val="20"/>
              </w:rPr>
              <w:t>Customer A</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B29F" w14:textId="77777777" w:rsidR="0084406A" w:rsidRDefault="002B18AF">
            <w:pPr>
              <w:jc w:val="right"/>
              <w:textAlignment w:val="bottom"/>
            </w:pPr>
            <w:r>
              <w:rPr>
                <w:rFonts w:ascii="Arial" w:eastAsia="宋体" w:hAnsi="Arial" w:cs="Arial"/>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B2A0"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B2A1" w14:textId="77777777" w:rsidR="0084406A" w:rsidRDefault="0084406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B2A2"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5902B2A3" w14:textId="77777777" w:rsidR="0084406A" w:rsidRDefault="0084406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B2A4" w14:textId="77777777" w:rsidR="0084406A" w:rsidRDefault="002B18AF">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B2A5" w14:textId="77777777" w:rsidR="0084406A" w:rsidRDefault="002B18AF">
            <w:pPr>
              <w:jc w:val="right"/>
              <w:textAlignment w:val="bottom"/>
            </w:pPr>
            <w:r>
              <w:rPr>
                <w:rFonts w:ascii="Arial" w:eastAsia="宋体" w:hAnsi="Arial" w:cs="Arial"/>
                <w:color w:val="000000"/>
                <w:sz w:val="20"/>
                <w:szCs w:val="20"/>
              </w:rPr>
              <w:t>%</w:t>
            </w:r>
          </w:p>
        </w:tc>
      </w:tr>
      <w:tr w:rsidR="0084406A" w14:paraId="5902B2AE" w14:textId="77777777">
        <w:tc>
          <w:tcPr>
            <w:tcW w:w="0" w:type="auto"/>
            <w:gridSpan w:val="3"/>
            <w:shd w:val="clear" w:color="auto" w:fill="FFFFFF"/>
            <w:tcMar>
              <w:top w:w="40" w:type="dxa"/>
              <w:left w:w="20" w:type="dxa"/>
              <w:bottom w:w="40" w:type="dxa"/>
              <w:right w:w="20" w:type="dxa"/>
            </w:tcMar>
            <w:vAlign w:val="bottom"/>
          </w:tcPr>
          <w:p w14:paraId="5902B2A7" w14:textId="77777777" w:rsidR="0084406A" w:rsidRDefault="002B18AF">
            <w:pPr>
              <w:textAlignment w:val="bottom"/>
            </w:pPr>
            <w:r>
              <w:rPr>
                <w:rFonts w:ascii="Arial" w:eastAsia="宋体" w:hAnsi="Arial" w:cs="Arial"/>
                <w:color w:val="000000"/>
                <w:sz w:val="20"/>
                <w:szCs w:val="20"/>
              </w:rPr>
              <w:t>Customer B</w:t>
            </w:r>
          </w:p>
        </w:tc>
        <w:tc>
          <w:tcPr>
            <w:tcW w:w="0" w:type="auto"/>
            <w:gridSpan w:val="2"/>
            <w:shd w:val="clear" w:color="auto" w:fill="FFFFFF"/>
            <w:tcMar>
              <w:top w:w="40" w:type="dxa"/>
              <w:left w:w="20" w:type="dxa"/>
              <w:bottom w:w="40" w:type="dxa"/>
              <w:right w:w="0" w:type="dxa"/>
            </w:tcMar>
            <w:vAlign w:val="bottom"/>
          </w:tcPr>
          <w:p w14:paraId="5902B2A8" w14:textId="77777777" w:rsidR="0084406A" w:rsidRDefault="002B18AF">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5902B2A9"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5902B2AA"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B2AB" w14:textId="77777777" w:rsidR="0084406A" w:rsidRDefault="002B18AF">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5902B2AC" w14:textId="77777777" w:rsidR="0084406A" w:rsidRDefault="0084406A">
            <w:pPr>
              <w:rPr>
                <w:rFonts w:ascii="宋体"/>
              </w:rPr>
            </w:pPr>
          </w:p>
        </w:tc>
        <w:tc>
          <w:tcPr>
            <w:tcW w:w="0" w:type="auto"/>
            <w:gridSpan w:val="3"/>
            <w:shd w:val="clear" w:color="auto" w:fill="FFFFFF"/>
            <w:tcMar>
              <w:top w:w="40" w:type="dxa"/>
              <w:left w:w="20" w:type="dxa"/>
              <w:bottom w:w="40" w:type="dxa"/>
              <w:right w:w="20" w:type="dxa"/>
            </w:tcMar>
            <w:vAlign w:val="bottom"/>
          </w:tcPr>
          <w:p w14:paraId="5902B2AD" w14:textId="77777777" w:rsidR="0084406A" w:rsidRDefault="002B18AF">
            <w:pPr>
              <w:jc w:val="right"/>
              <w:textAlignment w:val="bottom"/>
            </w:pPr>
            <w:r>
              <w:rPr>
                <w:rFonts w:ascii="Arial" w:eastAsia="宋体" w:hAnsi="Arial" w:cs="Arial"/>
                <w:color w:val="000000"/>
                <w:sz w:val="20"/>
                <w:szCs w:val="20"/>
              </w:rPr>
              <w:t>*</w:t>
            </w:r>
          </w:p>
        </w:tc>
      </w:tr>
    </w:tbl>
    <w:p w14:paraId="5902B2AF" w14:textId="77777777" w:rsidR="0084406A" w:rsidRDefault="0084406A">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0"/>
        <w:gridCol w:w="178"/>
        <w:gridCol w:w="36"/>
        <w:gridCol w:w="36"/>
        <w:gridCol w:w="46"/>
        <w:gridCol w:w="36"/>
        <w:gridCol w:w="61"/>
        <w:gridCol w:w="7799"/>
        <w:gridCol w:w="36"/>
      </w:tblGrid>
      <w:tr w:rsidR="0084406A" w14:paraId="5902B2B9" w14:textId="77777777">
        <w:trPr>
          <w:jc w:val="center"/>
        </w:trPr>
        <w:tc>
          <w:tcPr>
            <w:tcW w:w="50" w:type="pct"/>
            <w:shd w:val="clear" w:color="auto" w:fill="auto"/>
            <w:vAlign w:val="bottom"/>
          </w:tcPr>
          <w:p w14:paraId="5902B2B0" w14:textId="77777777" w:rsidR="0084406A" w:rsidRDefault="0084406A">
            <w:pPr>
              <w:rPr>
                <w:rFonts w:ascii="宋体"/>
              </w:rPr>
            </w:pPr>
          </w:p>
        </w:tc>
        <w:tc>
          <w:tcPr>
            <w:tcW w:w="121" w:type="pct"/>
            <w:shd w:val="clear" w:color="auto" w:fill="auto"/>
            <w:vAlign w:val="bottom"/>
          </w:tcPr>
          <w:p w14:paraId="5902B2B1" w14:textId="77777777" w:rsidR="0084406A" w:rsidRDefault="0084406A">
            <w:pPr>
              <w:rPr>
                <w:rFonts w:ascii="宋体"/>
              </w:rPr>
            </w:pPr>
          </w:p>
        </w:tc>
        <w:tc>
          <w:tcPr>
            <w:tcW w:w="5" w:type="pct"/>
            <w:shd w:val="clear" w:color="auto" w:fill="auto"/>
            <w:vAlign w:val="bottom"/>
          </w:tcPr>
          <w:p w14:paraId="5902B2B2" w14:textId="77777777" w:rsidR="0084406A" w:rsidRDefault="0084406A">
            <w:pPr>
              <w:rPr>
                <w:rFonts w:ascii="宋体"/>
              </w:rPr>
            </w:pPr>
          </w:p>
        </w:tc>
        <w:tc>
          <w:tcPr>
            <w:tcW w:w="5" w:type="pct"/>
            <w:shd w:val="clear" w:color="auto" w:fill="auto"/>
            <w:vAlign w:val="bottom"/>
          </w:tcPr>
          <w:p w14:paraId="5902B2B3" w14:textId="77777777" w:rsidR="0084406A" w:rsidRDefault="0084406A">
            <w:pPr>
              <w:rPr>
                <w:rFonts w:ascii="宋体"/>
              </w:rPr>
            </w:pPr>
          </w:p>
        </w:tc>
        <w:tc>
          <w:tcPr>
            <w:tcW w:w="41" w:type="pct"/>
            <w:shd w:val="clear" w:color="auto" w:fill="auto"/>
            <w:vAlign w:val="bottom"/>
          </w:tcPr>
          <w:p w14:paraId="5902B2B4" w14:textId="77777777" w:rsidR="0084406A" w:rsidRDefault="0084406A">
            <w:pPr>
              <w:rPr>
                <w:rFonts w:ascii="宋体"/>
              </w:rPr>
            </w:pPr>
          </w:p>
        </w:tc>
        <w:tc>
          <w:tcPr>
            <w:tcW w:w="5" w:type="pct"/>
            <w:shd w:val="clear" w:color="auto" w:fill="auto"/>
            <w:vAlign w:val="bottom"/>
          </w:tcPr>
          <w:p w14:paraId="5902B2B5" w14:textId="77777777" w:rsidR="0084406A" w:rsidRDefault="0084406A">
            <w:pPr>
              <w:rPr>
                <w:rFonts w:ascii="宋体"/>
              </w:rPr>
            </w:pPr>
          </w:p>
        </w:tc>
        <w:tc>
          <w:tcPr>
            <w:tcW w:w="50" w:type="pct"/>
            <w:shd w:val="clear" w:color="auto" w:fill="auto"/>
            <w:vAlign w:val="bottom"/>
          </w:tcPr>
          <w:p w14:paraId="5902B2B6" w14:textId="77777777" w:rsidR="0084406A" w:rsidRDefault="0084406A">
            <w:pPr>
              <w:rPr>
                <w:rFonts w:ascii="宋体"/>
              </w:rPr>
            </w:pPr>
          </w:p>
        </w:tc>
        <w:tc>
          <w:tcPr>
            <w:tcW w:w="4717" w:type="pct"/>
            <w:shd w:val="clear" w:color="auto" w:fill="auto"/>
            <w:vAlign w:val="bottom"/>
          </w:tcPr>
          <w:p w14:paraId="5902B2B7" w14:textId="77777777" w:rsidR="0084406A" w:rsidRDefault="0084406A">
            <w:pPr>
              <w:rPr>
                <w:rFonts w:ascii="宋体"/>
              </w:rPr>
            </w:pPr>
          </w:p>
        </w:tc>
        <w:tc>
          <w:tcPr>
            <w:tcW w:w="5" w:type="pct"/>
            <w:shd w:val="clear" w:color="auto" w:fill="auto"/>
            <w:vAlign w:val="bottom"/>
          </w:tcPr>
          <w:p w14:paraId="5902B2B8" w14:textId="77777777" w:rsidR="0084406A" w:rsidRDefault="0084406A">
            <w:pPr>
              <w:rPr>
                <w:rFonts w:ascii="宋体"/>
              </w:rPr>
            </w:pPr>
          </w:p>
        </w:tc>
      </w:tr>
      <w:tr w:rsidR="0084406A" w14:paraId="5902B2BD" w14:textId="77777777">
        <w:trPr>
          <w:jc w:val="center"/>
        </w:trPr>
        <w:tc>
          <w:tcPr>
            <w:tcW w:w="0" w:type="auto"/>
            <w:gridSpan w:val="3"/>
            <w:shd w:val="clear" w:color="auto" w:fill="auto"/>
            <w:tcMar>
              <w:top w:w="40" w:type="dxa"/>
              <w:left w:w="20" w:type="dxa"/>
              <w:bottom w:w="40" w:type="dxa"/>
              <w:right w:w="20" w:type="dxa"/>
            </w:tcMar>
            <w:vAlign w:val="center"/>
          </w:tcPr>
          <w:p w14:paraId="5902B2BA" w14:textId="77777777" w:rsidR="0084406A" w:rsidRDefault="002B18AF">
            <w:pPr>
              <w:textAlignment w:val="center"/>
            </w:pPr>
            <w:r>
              <w:rPr>
                <w:rFonts w:ascii="Arial" w:eastAsia="宋体" w:hAnsi="Arial" w:cs="Arial"/>
                <w:color w:val="000000"/>
                <w:sz w:val="13"/>
                <w:szCs w:val="13"/>
              </w:rPr>
              <w:t>*</w:t>
            </w:r>
          </w:p>
        </w:tc>
        <w:tc>
          <w:tcPr>
            <w:tcW w:w="0" w:type="auto"/>
            <w:gridSpan w:val="3"/>
            <w:shd w:val="clear" w:color="auto" w:fill="auto"/>
            <w:tcMar>
              <w:top w:w="0" w:type="dxa"/>
              <w:left w:w="20" w:type="dxa"/>
              <w:bottom w:w="0" w:type="dxa"/>
              <w:right w:w="20" w:type="dxa"/>
            </w:tcMar>
            <w:vAlign w:val="bottom"/>
          </w:tcPr>
          <w:p w14:paraId="5902B2B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BC" w14:textId="77777777" w:rsidR="0084406A" w:rsidRDefault="002B18AF">
            <w:pPr>
              <w:ind w:hanging="360"/>
              <w:jc w:val="both"/>
              <w:textAlignment w:val="bottom"/>
            </w:pPr>
            <w:r>
              <w:rPr>
                <w:rFonts w:ascii="Arial" w:eastAsia="宋体" w:hAnsi="Arial" w:cs="Arial"/>
                <w:color w:val="000000"/>
                <w:sz w:val="16"/>
                <w:szCs w:val="16"/>
              </w:rPr>
              <w:t>Less than 10%</w:t>
            </w:r>
          </w:p>
        </w:tc>
      </w:tr>
    </w:tbl>
    <w:p w14:paraId="5902B2BE" w14:textId="77777777" w:rsidR="0084406A" w:rsidRDefault="002B18AF">
      <w:pPr>
        <w:spacing w:before="180"/>
        <w:jc w:val="both"/>
      </w:pPr>
      <w:r>
        <w:rPr>
          <w:rFonts w:ascii="Arial" w:eastAsia="宋体" w:hAnsi="Arial" w:cs="Arial"/>
          <w:color w:val="000000"/>
          <w:sz w:val="20"/>
          <w:szCs w:val="20"/>
        </w:rPr>
        <w:t xml:space="preserve">Sales to customer A consisted of products primarily from the Enterprise, Embedded and Semi-Custom segment and sales to customer B </w:t>
      </w:r>
      <w:r>
        <w:rPr>
          <w:rFonts w:ascii="Arial" w:eastAsia="宋体" w:hAnsi="Arial" w:cs="Arial"/>
          <w:color w:val="000000"/>
          <w:sz w:val="20"/>
          <w:szCs w:val="20"/>
        </w:rPr>
        <w:t>consisted of products primarily from the Computing and Graphics segment.</w:t>
      </w:r>
    </w:p>
    <w:p w14:paraId="5902B2BF" w14:textId="77777777" w:rsidR="0084406A" w:rsidRDefault="002B18AF">
      <w:pPr>
        <w:spacing w:before="180"/>
        <w:jc w:val="both"/>
      </w:pPr>
      <w:r>
        <w:rPr>
          <w:rFonts w:ascii="Arial" w:eastAsia="宋体" w:hAnsi="Arial" w:cs="Arial"/>
          <w:color w:val="000000"/>
          <w:sz w:val="20"/>
          <w:szCs w:val="20"/>
        </w:rPr>
        <w:t>The following table summarizes Property and equipment, net by geographic areas:</w:t>
      </w:r>
    </w:p>
    <w:tbl>
      <w:tblPr>
        <w:tblW w:w="5000" w:type="pct"/>
        <w:tblCellMar>
          <w:top w:w="15" w:type="dxa"/>
          <w:left w:w="15" w:type="dxa"/>
          <w:bottom w:w="15" w:type="dxa"/>
          <w:right w:w="15" w:type="dxa"/>
        </w:tblCellMar>
        <w:tblLook w:val="04A0" w:firstRow="1" w:lastRow="0" w:firstColumn="1" w:lastColumn="0" w:noHBand="0" w:noVBand="1"/>
      </w:tblPr>
      <w:tblGrid>
        <w:gridCol w:w="40"/>
        <w:gridCol w:w="5279"/>
        <w:gridCol w:w="39"/>
        <w:gridCol w:w="133"/>
        <w:gridCol w:w="1286"/>
        <w:gridCol w:w="36"/>
        <w:gridCol w:w="36"/>
        <w:gridCol w:w="36"/>
        <w:gridCol w:w="36"/>
        <w:gridCol w:w="133"/>
        <w:gridCol w:w="1246"/>
        <w:gridCol w:w="36"/>
      </w:tblGrid>
      <w:tr w:rsidR="0084406A" w14:paraId="5902B2CC" w14:textId="77777777">
        <w:tc>
          <w:tcPr>
            <w:tcW w:w="50" w:type="pct"/>
            <w:shd w:val="clear" w:color="auto" w:fill="auto"/>
            <w:vAlign w:val="bottom"/>
          </w:tcPr>
          <w:p w14:paraId="5902B2C0" w14:textId="77777777" w:rsidR="0084406A" w:rsidRDefault="0084406A">
            <w:pPr>
              <w:rPr>
                <w:rFonts w:ascii="宋体"/>
              </w:rPr>
            </w:pPr>
          </w:p>
        </w:tc>
        <w:tc>
          <w:tcPr>
            <w:tcW w:w="3197" w:type="pct"/>
            <w:shd w:val="clear" w:color="auto" w:fill="auto"/>
            <w:vAlign w:val="bottom"/>
          </w:tcPr>
          <w:p w14:paraId="5902B2C1" w14:textId="77777777" w:rsidR="0084406A" w:rsidRDefault="0084406A">
            <w:pPr>
              <w:rPr>
                <w:rFonts w:ascii="宋体"/>
              </w:rPr>
            </w:pPr>
          </w:p>
        </w:tc>
        <w:tc>
          <w:tcPr>
            <w:tcW w:w="5" w:type="pct"/>
            <w:shd w:val="clear" w:color="auto" w:fill="auto"/>
            <w:vAlign w:val="bottom"/>
          </w:tcPr>
          <w:p w14:paraId="5902B2C2" w14:textId="77777777" w:rsidR="0084406A" w:rsidRDefault="0084406A">
            <w:pPr>
              <w:rPr>
                <w:rFonts w:ascii="宋体"/>
              </w:rPr>
            </w:pPr>
          </w:p>
        </w:tc>
        <w:tc>
          <w:tcPr>
            <w:tcW w:w="50" w:type="pct"/>
            <w:shd w:val="clear" w:color="auto" w:fill="auto"/>
            <w:vAlign w:val="bottom"/>
          </w:tcPr>
          <w:p w14:paraId="5902B2C3" w14:textId="77777777" w:rsidR="0084406A" w:rsidRDefault="0084406A">
            <w:pPr>
              <w:rPr>
                <w:rFonts w:ascii="宋体"/>
              </w:rPr>
            </w:pPr>
          </w:p>
        </w:tc>
        <w:tc>
          <w:tcPr>
            <w:tcW w:w="800" w:type="pct"/>
            <w:shd w:val="clear" w:color="auto" w:fill="auto"/>
            <w:vAlign w:val="bottom"/>
          </w:tcPr>
          <w:p w14:paraId="5902B2C4" w14:textId="77777777" w:rsidR="0084406A" w:rsidRDefault="0084406A">
            <w:pPr>
              <w:rPr>
                <w:rFonts w:ascii="宋体"/>
              </w:rPr>
            </w:pPr>
          </w:p>
        </w:tc>
        <w:tc>
          <w:tcPr>
            <w:tcW w:w="5" w:type="pct"/>
            <w:shd w:val="clear" w:color="auto" w:fill="auto"/>
            <w:vAlign w:val="bottom"/>
          </w:tcPr>
          <w:p w14:paraId="5902B2C5" w14:textId="77777777" w:rsidR="0084406A" w:rsidRDefault="0084406A">
            <w:pPr>
              <w:rPr>
                <w:rFonts w:ascii="宋体"/>
              </w:rPr>
            </w:pPr>
          </w:p>
        </w:tc>
        <w:tc>
          <w:tcPr>
            <w:tcW w:w="5" w:type="pct"/>
            <w:shd w:val="clear" w:color="auto" w:fill="auto"/>
            <w:vAlign w:val="bottom"/>
          </w:tcPr>
          <w:p w14:paraId="5902B2C6" w14:textId="77777777" w:rsidR="0084406A" w:rsidRDefault="0084406A">
            <w:pPr>
              <w:rPr>
                <w:rFonts w:ascii="宋体"/>
              </w:rPr>
            </w:pPr>
          </w:p>
        </w:tc>
        <w:tc>
          <w:tcPr>
            <w:tcW w:w="26" w:type="pct"/>
            <w:shd w:val="clear" w:color="auto" w:fill="auto"/>
            <w:vAlign w:val="bottom"/>
          </w:tcPr>
          <w:p w14:paraId="5902B2C7" w14:textId="77777777" w:rsidR="0084406A" w:rsidRDefault="0084406A">
            <w:pPr>
              <w:rPr>
                <w:rFonts w:ascii="宋体"/>
              </w:rPr>
            </w:pPr>
          </w:p>
        </w:tc>
        <w:tc>
          <w:tcPr>
            <w:tcW w:w="5" w:type="pct"/>
            <w:shd w:val="clear" w:color="auto" w:fill="auto"/>
            <w:vAlign w:val="bottom"/>
          </w:tcPr>
          <w:p w14:paraId="5902B2C8" w14:textId="77777777" w:rsidR="0084406A" w:rsidRDefault="0084406A">
            <w:pPr>
              <w:rPr>
                <w:rFonts w:ascii="宋体"/>
              </w:rPr>
            </w:pPr>
          </w:p>
        </w:tc>
        <w:tc>
          <w:tcPr>
            <w:tcW w:w="50" w:type="pct"/>
            <w:shd w:val="clear" w:color="auto" w:fill="auto"/>
            <w:vAlign w:val="bottom"/>
          </w:tcPr>
          <w:p w14:paraId="5902B2C9" w14:textId="77777777" w:rsidR="0084406A" w:rsidRDefault="0084406A">
            <w:pPr>
              <w:rPr>
                <w:rFonts w:ascii="宋体"/>
              </w:rPr>
            </w:pPr>
          </w:p>
        </w:tc>
        <w:tc>
          <w:tcPr>
            <w:tcW w:w="800" w:type="pct"/>
            <w:shd w:val="clear" w:color="auto" w:fill="auto"/>
            <w:vAlign w:val="bottom"/>
          </w:tcPr>
          <w:p w14:paraId="5902B2CA" w14:textId="77777777" w:rsidR="0084406A" w:rsidRDefault="0084406A">
            <w:pPr>
              <w:rPr>
                <w:rFonts w:ascii="宋体"/>
              </w:rPr>
            </w:pPr>
          </w:p>
        </w:tc>
        <w:tc>
          <w:tcPr>
            <w:tcW w:w="5" w:type="pct"/>
            <w:shd w:val="clear" w:color="auto" w:fill="auto"/>
            <w:vAlign w:val="bottom"/>
          </w:tcPr>
          <w:p w14:paraId="5902B2CB" w14:textId="77777777" w:rsidR="0084406A" w:rsidRDefault="0084406A">
            <w:pPr>
              <w:rPr>
                <w:rFonts w:ascii="宋体"/>
              </w:rPr>
            </w:pPr>
          </w:p>
        </w:tc>
      </w:tr>
      <w:tr w:rsidR="0084406A" w14:paraId="5902B2D1" w14:textId="77777777">
        <w:tc>
          <w:tcPr>
            <w:tcW w:w="0" w:type="auto"/>
            <w:gridSpan w:val="3"/>
            <w:shd w:val="clear" w:color="auto" w:fill="auto"/>
            <w:tcMar>
              <w:top w:w="0" w:type="dxa"/>
              <w:left w:w="20" w:type="dxa"/>
              <w:bottom w:w="0" w:type="dxa"/>
              <w:right w:w="20" w:type="dxa"/>
            </w:tcMar>
            <w:vAlign w:val="bottom"/>
          </w:tcPr>
          <w:p w14:paraId="5902B2C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2CE"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B2CF"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2D0"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B2D4" w14:textId="77777777">
        <w:tc>
          <w:tcPr>
            <w:tcW w:w="0" w:type="auto"/>
            <w:gridSpan w:val="3"/>
            <w:shd w:val="clear" w:color="auto" w:fill="auto"/>
            <w:tcMar>
              <w:top w:w="40" w:type="dxa"/>
              <w:left w:w="20" w:type="dxa"/>
              <w:bottom w:w="40" w:type="dxa"/>
              <w:right w:w="20" w:type="dxa"/>
            </w:tcMar>
            <w:vAlign w:val="bottom"/>
          </w:tcPr>
          <w:p w14:paraId="5902B2D2"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B2D3"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2DD" w14:textId="77777777">
        <w:tc>
          <w:tcPr>
            <w:tcW w:w="0" w:type="auto"/>
            <w:gridSpan w:val="3"/>
            <w:shd w:val="clear" w:color="auto" w:fill="CCEEFF"/>
            <w:tcMar>
              <w:top w:w="40" w:type="dxa"/>
              <w:left w:w="20" w:type="dxa"/>
              <w:bottom w:w="40" w:type="dxa"/>
              <w:right w:w="20" w:type="dxa"/>
            </w:tcMar>
            <w:vAlign w:val="bottom"/>
          </w:tcPr>
          <w:p w14:paraId="5902B2D5" w14:textId="77777777" w:rsidR="0084406A" w:rsidRDefault="002B18AF">
            <w:pPr>
              <w:textAlignment w:val="bottom"/>
            </w:pPr>
            <w:r>
              <w:rPr>
                <w:rFonts w:ascii="Arial" w:eastAsia="宋体" w:hAnsi="Arial" w:cs="Arial"/>
                <w:color w:val="000000"/>
                <w:sz w:val="20"/>
                <w:szCs w:val="20"/>
              </w:rPr>
              <w:t>United States</w:t>
            </w:r>
          </w:p>
        </w:tc>
        <w:tc>
          <w:tcPr>
            <w:tcW w:w="0" w:type="auto"/>
            <w:shd w:val="clear" w:color="auto" w:fill="CCEEFF"/>
            <w:tcMar>
              <w:top w:w="40" w:type="dxa"/>
              <w:left w:w="20" w:type="dxa"/>
              <w:bottom w:w="40" w:type="dxa"/>
              <w:right w:w="0" w:type="dxa"/>
            </w:tcMar>
            <w:vAlign w:val="bottom"/>
          </w:tcPr>
          <w:p w14:paraId="5902B2D6"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2D7" w14:textId="77777777" w:rsidR="0084406A" w:rsidRDefault="002B18AF">
            <w:pPr>
              <w:jc w:val="right"/>
              <w:textAlignment w:val="bottom"/>
            </w:pPr>
            <w:r>
              <w:rPr>
                <w:rFonts w:ascii="Arial" w:eastAsia="宋体" w:hAnsi="Arial" w:cs="Arial"/>
                <w:color w:val="000000"/>
                <w:sz w:val="20"/>
                <w:szCs w:val="20"/>
              </w:rPr>
              <w:t>486 </w:t>
            </w:r>
          </w:p>
        </w:tc>
        <w:tc>
          <w:tcPr>
            <w:tcW w:w="0" w:type="auto"/>
            <w:shd w:val="clear" w:color="auto" w:fill="CCEEFF"/>
            <w:tcMar>
              <w:top w:w="40" w:type="dxa"/>
              <w:left w:w="0" w:type="dxa"/>
              <w:bottom w:w="40" w:type="dxa"/>
              <w:right w:w="20" w:type="dxa"/>
            </w:tcMar>
            <w:vAlign w:val="bottom"/>
          </w:tcPr>
          <w:p w14:paraId="5902B2D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D9"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2DA"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2DB" w14:textId="77777777" w:rsidR="0084406A" w:rsidRDefault="002B18AF">
            <w:pPr>
              <w:jc w:val="right"/>
              <w:textAlignment w:val="bottom"/>
            </w:pPr>
            <w:r>
              <w:rPr>
                <w:rFonts w:ascii="Arial" w:eastAsia="宋体" w:hAnsi="Arial" w:cs="Arial"/>
                <w:color w:val="000000"/>
                <w:sz w:val="20"/>
                <w:szCs w:val="20"/>
              </w:rPr>
              <w:t>421 </w:t>
            </w:r>
          </w:p>
        </w:tc>
        <w:tc>
          <w:tcPr>
            <w:tcW w:w="0" w:type="auto"/>
            <w:shd w:val="clear" w:color="auto" w:fill="CCEEFF"/>
            <w:tcMar>
              <w:top w:w="40" w:type="dxa"/>
              <w:left w:w="0" w:type="dxa"/>
              <w:bottom w:w="40" w:type="dxa"/>
              <w:right w:w="20" w:type="dxa"/>
            </w:tcMar>
            <w:vAlign w:val="bottom"/>
          </w:tcPr>
          <w:p w14:paraId="5902B2DC" w14:textId="77777777" w:rsidR="0084406A" w:rsidRDefault="0084406A">
            <w:pPr>
              <w:jc w:val="right"/>
              <w:rPr>
                <w:rFonts w:ascii="宋体"/>
              </w:rPr>
            </w:pPr>
          </w:p>
        </w:tc>
      </w:tr>
      <w:tr w:rsidR="0084406A" w14:paraId="5902B2E4" w14:textId="77777777">
        <w:tc>
          <w:tcPr>
            <w:tcW w:w="0" w:type="auto"/>
            <w:gridSpan w:val="3"/>
            <w:shd w:val="clear" w:color="auto" w:fill="FFFFFF"/>
            <w:tcMar>
              <w:top w:w="40" w:type="dxa"/>
              <w:left w:w="20" w:type="dxa"/>
              <w:bottom w:w="40" w:type="dxa"/>
              <w:right w:w="20" w:type="dxa"/>
            </w:tcMar>
            <w:vAlign w:val="bottom"/>
          </w:tcPr>
          <w:p w14:paraId="5902B2DE" w14:textId="77777777" w:rsidR="0084406A" w:rsidRDefault="002B18AF">
            <w:pPr>
              <w:textAlignment w:val="bottom"/>
            </w:pPr>
            <w:r>
              <w:rPr>
                <w:rFonts w:ascii="Arial" w:eastAsia="宋体" w:hAnsi="Arial" w:cs="Arial"/>
                <w:color w:val="000000"/>
                <w:sz w:val="20"/>
                <w:szCs w:val="20"/>
              </w:rPr>
              <w:t>Canada</w:t>
            </w:r>
          </w:p>
        </w:tc>
        <w:tc>
          <w:tcPr>
            <w:tcW w:w="0" w:type="auto"/>
            <w:gridSpan w:val="2"/>
            <w:shd w:val="clear" w:color="auto" w:fill="FFFFFF"/>
            <w:tcMar>
              <w:top w:w="40" w:type="dxa"/>
              <w:left w:w="20" w:type="dxa"/>
              <w:bottom w:w="40" w:type="dxa"/>
              <w:right w:w="0" w:type="dxa"/>
            </w:tcMar>
            <w:vAlign w:val="bottom"/>
          </w:tcPr>
          <w:p w14:paraId="5902B2DF" w14:textId="77777777" w:rsidR="0084406A" w:rsidRDefault="002B18AF">
            <w:pPr>
              <w:jc w:val="right"/>
              <w:textAlignment w:val="bottom"/>
            </w:pPr>
            <w:r>
              <w:rPr>
                <w:rFonts w:ascii="Arial" w:eastAsia="宋体" w:hAnsi="Arial" w:cs="Arial"/>
                <w:color w:val="000000"/>
                <w:sz w:val="20"/>
                <w:szCs w:val="20"/>
              </w:rPr>
              <w:t>105 </w:t>
            </w:r>
          </w:p>
        </w:tc>
        <w:tc>
          <w:tcPr>
            <w:tcW w:w="0" w:type="auto"/>
            <w:shd w:val="clear" w:color="auto" w:fill="FFFFFF"/>
            <w:tcMar>
              <w:top w:w="40" w:type="dxa"/>
              <w:left w:w="0" w:type="dxa"/>
              <w:bottom w:w="40" w:type="dxa"/>
              <w:right w:w="20" w:type="dxa"/>
            </w:tcMar>
            <w:vAlign w:val="bottom"/>
          </w:tcPr>
          <w:p w14:paraId="5902B2E0"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E1"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E2" w14:textId="77777777" w:rsidR="0084406A" w:rsidRDefault="002B18AF">
            <w:pPr>
              <w:jc w:val="right"/>
              <w:textAlignment w:val="bottom"/>
            </w:pPr>
            <w:r>
              <w:rPr>
                <w:rFonts w:ascii="Arial" w:eastAsia="宋体" w:hAnsi="Arial" w:cs="Arial"/>
                <w:color w:val="000000"/>
                <w:sz w:val="20"/>
                <w:szCs w:val="20"/>
              </w:rPr>
              <w:t>126 </w:t>
            </w:r>
          </w:p>
        </w:tc>
        <w:tc>
          <w:tcPr>
            <w:tcW w:w="0" w:type="auto"/>
            <w:shd w:val="clear" w:color="auto" w:fill="FFFFFF"/>
            <w:tcMar>
              <w:top w:w="40" w:type="dxa"/>
              <w:left w:w="0" w:type="dxa"/>
              <w:bottom w:w="40" w:type="dxa"/>
              <w:right w:w="20" w:type="dxa"/>
            </w:tcMar>
            <w:vAlign w:val="bottom"/>
          </w:tcPr>
          <w:p w14:paraId="5902B2E3" w14:textId="77777777" w:rsidR="0084406A" w:rsidRDefault="0084406A">
            <w:pPr>
              <w:jc w:val="right"/>
              <w:rPr>
                <w:rFonts w:ascii="宋体"/>
              </w:rPr>
            </w:pPr>
          </w:p>
        </w:tc>
      </w:tr>
      <w:tr w:rsidR="0084406A" w14:paraId="5902B2EB" w14:textId="77777777">
        <w:tc>
          <w:tcPr>
            <w:tcW w:w="0" w:type="auto"/>
            <w:gridSpan w:val="3"/>
            <w:shd w:val="clear" w:color="auto" w:fill="CCEEFF"/>
            <w:tcMar>
              <w:top w:w="40" w:type="dxa"/>
              <w:left w:w="20" w:type="dxa"/>
              <w:bottom w:w="40" w:type="dxa"/>
              <w:right w:w="20" w:type="dxa"/>
            </w:tcMar>
            <w:vAlign w:val="bottom"/>
          </w:tcPr>
          <w:p w14:paraId="5902B2E5" w14:textId="77777777" w:rsidR="0084406A" w:rsidRDefault="002B18AF">
            <w:pPr>
              <w:textAlignment w:val="bottom"/>
            </w:pPr>
            <w:r>
              <w:rPr>
                <w:rFonts w:ascii="Arial" w:eastAsia="宋体" w:hAnsi="Arial" w:cs="Arial"/>
                <w:color w:val="000000"/>
                <w:sz w:val="20"/>
                <w:szCs w:val="20"/>
              </w:rPr>
              <w:t>China</w:t>
            </w:r>
          </w:p>
        </w:tc>
        <w:tc>
          <w:tcPr>
            <w:tcW w:w="0" w:type="auto"/>
            <w:gridSpan w:val="2"/>
            <w:shd w:val="clear" w:color="auto" w:fill="CCEEFF"/>
            <w:tcMar>
              <w:top w:w="40" w:type="dxa"/>
              <w:left w:w="20" w:type="dxa"/>
              <w:bottom w:w="40" w:type="dxa"/>
              <w:right w:w="0" w:type="dxa"/>
            </w:tcMar>
            <w:vAlign w:val="bottom"/>
          </w:tcPr>
          <w:p w14:paraId="5902B2E6" w14:textId="77777777" w:rsidR="0084406A" w:rsidRDefault="002B18AF">
            <w:pPr>
              <w:jc w:val="right"/>
              <w:textAlignment w:val="bottom"/>
            </w:pPr>
            <w:r>
              <w:rPr>
                <w:rFonts w:ascii="Arial" w:eastAsia="宋体" w:hAnsi="Arial" w:cs="Arial"/>
                <w:color w:val="000000"/>
                <w:sz w:val="20"/>
                <w:szCs w:val="20"/>
              </w:rPr>
              <w:t>35 </w:t>
            </w:r>
          </w:p>
        </w:tc>
        <w:tc>
          <w:tcPr>
            <w:tcW w:w="0" w:type="auto"/>
            <w:shd w:val="clear" w:color="auto" w:fill="CCEEFF"/>
            <w:tcMar>
              <w:top w:w="40" w:type="dxa"/>
              <w:left w:w="0" w:type="dxa"/>
              <w:bottom w:w="40" w:type="dxa"/>
              <w:right w:w="20" w:type="dxa"/>
            </w:tcMar>
            <w:vAlign w:val="bottom"/>
          </w:tcPr>
          <w:p w14:paraId="5902B2E7"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2E8"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2E9" w14:textId="77777777" w:rsidR="0084406A" w:rsidRDefault="002B18AF">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5902B2EA" w14:textId="77777777" w:rsidR="0084406A" w:rsidRDefault="0084406A">
            <w:pPr>
              <w:jc w:val="right"/>
              <w:rPr>
                <w:rFonts w:ascii="宋体"/>
              </w:rPr>
            </w:pPr>
          </w:p>
        </w:tc>
      </w:tr>
      <w:tr w:rsidR="0084406A" w14:paraId="5902B2F2" w14:textId="77777777">
        <w:tc>
          <w:tcPr>
            <w:tcW w:w="0" w:type="auto"/>
            <w:gridSpan w:val="3"/>
            <w:shd w:val="clear" w:color="auto" w:fill="FFFFFF"/>
            <w:tcMar>
              <w:top w:w="40" w:type="dxa"/>
              <w:left w:w="20" w:type="dxa"/>
              <w:bottom w:w="40" w:type="dxa"/>
              <w:right w:w="20" w:type="dxa"/>
            </w:tcMar>
            <w:vAlign w:val="bottom"/>
          </w:tcPr>
          <w:p w14:paraId="5902B2EC" w14:textId="77777777" w:rsidR="0084406A" w:rsidRDefault="002B18AF">
            <w:pPr>
              <w:textAlignment w:val="bottom"/>
            </w:pPr>
            <w:r>
              <w:rPr>
                <w:rFonts w:ascii="Arial" w:eastAsia="宋体" w:hAnsi="Arial" w:cs="Arial"/>
                <w:color w:val="000000"/>
                <w:sz w:val="20"/>
                <w:szCs w:val="20"/>
              </w:rPr>
              <w:t>Singapore</w:t>
            </w:r>
          </w:p>
        </w:tc>
        <w:tc>
          <w:tcPr>
            <w:tcW w:w="0" w:type="auto"/>
            <w:gridSpan w:val="2"/>
            <w:shd w:val="clear" w:color="auto" w:fill="FFFFFF"/>
            <w:tcMar>
              <w:top w:w="40" w:type="dxa"/>
              <w:left w:w="20" w:type="dxa"/>
              <w:bottom w:w="40" w:type="dxa"/>
              <w:right w:w="0" w:type="dxa"/>
            </w:tcMar>
            <w:vAlign w:val="bottom"/>
          </w:tcPr>
          <w:p w14:paraId="5902B2ED" w14:textId="77777777" w:rsidR="0084406A" w:rsidRDefault="002B18AF">
            <w:pPr>
              <w:jc w:val="right"/>
              <w:textAlignment w:val="bottom"/>
            </w:pPr>
            <w:r>
              <w:rPr>
                <w:rFonts w:ascii="Arial" w:eastAsia="宋体" w:hAnsi="Arial" w:cs="Arial"/>
                <w:color w:val="000000"/>
                <w:sz w:val="20"/>
                <w:szCs w:val="20"/>
              </w:rPr>
              <w:t>35 </w:t>
            </w:r>
          </w:p>
        </w:tc>
        <w:tc>
          <w:tcPr>
            <w:tcW w:w="0" w:type="auto"/>
            <w:shd w:val="clear" w:color="auto" w:fill="FFFFFF"/>
            <w:tcMar>
              <w:top w:w="40" w:type="dxa"/>
              <w:left w:w="0" w:type="dxa"/>
              <w:bottom w:w="40" w:type="dxa"/>
              <w:right w:w="20" w:type="dxa"/>
            </w:tcMar>
            <w:vAlign w:val="bottom"/>
          </w:tcPr>
          <w:p w14:paraId="5902B2E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2E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2F0" w14:textId="77777777" w:rsidR="0084406A" w:rsidRDefault="002B18AF">
            <w:pPr>
              <w:jc w:val="right"/>
              <w:textAlignment w:val="bottom"/>
            </w:pPr>
            <w:r>
              <w:rPr>
                <w:rFonts w:ascii="Arial" w:eastAsia="宋体" w:hAnsi="Arial" w:cs="Arial"/>
                <w:color w:val="000000"/>
                <w:sz w:val="20"/>
                <w:szCs w:val="20"/>
              </w:rPr>
              <w:t>32 </w:t>
            </w:r>
          </w:p>
        </w:tc>
        <w:tc>
          <w:tcPr>
            <w:tcW w:w="0" w:type="auto"/>
            <w:shd w:val="clear" w:color="auto" w:fill="FFFFFF"/>
            <w:tcMar>
              <w:top w:w="40" w:type="dxa"/>
              <w:left w:w="0" w:type="dxa"/>
              <w:bottom w:w="40" w:type="dxa"/>
              <w:right w:w="20" w:type="dxa"/>
            </w:tcMar>
            <w:vAlign w:val="bottom"/>
          </w:tcPr>
          <w:p w14:paraId="5902B2F1" w14:textId="77777777" w:rsidR="0084406A" w:rsidRDefault="0084406A">
            <w:pPr>
              <w:jc w:val="right"/>
              <w:rPr>
                <w:rFonts w:ascii="宋体"/>
              </w:rPr>
            </w:pPr>
          </w:p>
        </w:tc>
      </w:tr>
      <w:tr w:rsidR="0084406A" w14:paraId="5902B2F7" w14:textId="77777777">
        <w:trPr>
          <w:hidden/>
        </w:trPr>
        <w:tc>
          <w:tcPr>
            <w:tcW w:w="0" w:type="auto"/>
            <w:gridSpan w:val="3"/>
            <w:shd w:val="clear" w:color="auto" w:fill="auto"/>
            <w:vAlign w:val="bottom"/>
          </w:tcPr>
          <w:p w14:paraId="5902B2F3" w14:textId="77777777" w:rsidR="0084406A" w:rsidRDefault="0084406A">
            <w:pPr>
              <w:rPr>
                <w:rFonts w:ascii="宋体"/>
                <w:vanish/>
              </w:rPr>
            </w:pPr>
          </w:p>
        </w:tc>
        <w:tc>
          <w:tcPr>
            <w:tcW w:w="0" w:type="auto"/>
            <w:gridSpan w:val="3"/>
            <w:shd w:val="clear" w:color="auto" w:fill="auto"/>
            <w:vAlign w:val="bottom"/>
          </w:tcPr>
          <w:p w14:paraId="5902B2F4" w14:textId="77777777" w:rsidR="0084406A" w:rsidRDefault="0084406A">
            <w:pPr>
              <w:rPr>
                <w:rFonts w:ascii="宋体"/>
                <w:vanish/>
              </w:rPr>
            </w:pPr>
          </w:p>
        </w:tc>
        <w:tc>
          <w:tcPr>
            <w:tcW w:w="0" w:type="auto"/>
            <w:gridSpan w:val="3"/>
            <w:shd w:val="clear" w:color="auto" w:fill="auto"/>
            <w:vAlign w:val="bottom"/>
          </w:tcPr>
          <w:p w14:paraId="5902B2F5" w14:textId="77777777" w:rsidR="0084406A" w:rsidRDefault="0084406A">
            <w:pPr>
              <w:rPr>
                <w:rFonts w:ascii="宋体"/>
                <w:vanish/>
              </w:rPr>
            </w:pPr>
          </w:p>
        </w:tc>
        <w:tc>
          <w:tcPr>
            <w:tcW w:w="0" w:type="auto"/>
            <w:gridSpan w:val="3"/>
            <w:shd w:val="clear" w:color="auto" w:fill="auto"/>
            <w:vAlign w:val="bottom"/>
          </w:tcPr>
          <w:p w14:paraId="5902B2F6" w14:textId="77777777" w:rsidR="0084406A" w:rsidRDefault="0084406A">
            <w:pPr>
              <w:rPr>
                <w:rFonts w:ascii="宋体"/>
                <w:vanish/>
              </w:rPr>
            </w:pPr>
          </w:p>
        </w:tc>
      </w:tr>
      <w:tr w:rsidR="0084406A" w14:paraId="5902B2FC" w14:textId="77777777">
        <w:trPr>
          <w:hidden/>
        </w:trPr>
        <w:tc>
          <w:tcPr>
            <w:tcW w:w="0" w:type="auto"/>
            <w:gridSpan w:val="3"/>
            <w:shd w:val="clear" w:color="auto" w:fill="auto"/>
            <w:vAlign w:val="bottom"/>
          </w:tcPr>
          <w:p w14:paraId="5902B2F8" w14:textId="77777777" w:rsidR="0084406A" w:rsidRDefault="0084406A">
            <w:pPr>
              <w:rPr>
                <w:rFonts w:ascii="宋体"/>
                <w:vanish/>
              </w:rPr>
            </w:pPr>
          </w:p>
        </w:tc>
        <w:tc>
          <w:tcPr>
            <w:tcW w:w="0" w:type="auto"/>
            <w:gridSpan w:val="3"/>
            <w:shd w:val="clear" w:color="auto" w:fill="auto"/>
            <w:vAlign w:val="bottom"/>
          </w:tcPr>
          <w:p w14:paraId="5902B2F9" w14:textId="77777777" w:rsidR="0084406A" w:rsidRDefault="0084406A">
            <w:pPr>
              <w:rPr>
                <w:rFonts w:ascii="宋体"/>
                <w:vanish/>
              </w:rPr>
            </w:pPr>
          </w:p>
        </w:tc>
        <w:tc>
          <w:tcPr>
            <w:tcW w:w="0" w:type="auto"/>
            <w:gridSpan w:val="3"/>
            <w:shd w:val="clear" w:color="auto" w:fill="auto"/>
            <w:vAlign w:val="bottom"/>
          </w:tcPr>
          <w:p w14:paraId="5902B2FA" w14:textId="77777777" w:rsidR="0084406A" w:rsidRDefault="0084406A">
            <w:pPr>
              <w:rPr>
                <w:rFonts w:ascii="宋体"/>
                <w:vanish/>
              </w:rPr>
            </w:pPr>
          </w:p>
        </w:tc>
        <w:tc>
          <w:tcPr>
            <w:tcW w:w="0" w:type="auto"/>
            <w:gridSpan w:val="3"/>
            <w:shd w:val="clear" w:color="auto" w:fill="auto"/>
            <w:vAlign w:val="bottom"/>
          </w:tcPr>
          <w:p w14:paraId="5902B2FB" w14:textId="77777777" w:rsidR="0084406A" w:rsidRDefault="0084406A">
            <w:pPr>
              <w:rPr>
                <w:rFonts w:ascii="宋体"/>
                <w:vanish/>
              </w:rPr>
            </w:pPr>
          </w:p>
        </w:tc>
      </w:tr>
      <w:tr w:rsidR="0084406A" w14:paraId="5902B303" w14:textId="77777777">
        <w:tc>
          <w:tcPr>
            <w:tcW w:w="0" w:type="auto"/>
            <w:gridSpan w:val="3"/>
            <w:shd w:val="clear" w:color="auto" w:fill="CCEEFF"/>
            <w:tcMar>
              <w:top w:w="40" w:type="dxa"/>
              <w:left w:w="20" w:type="dxa"/>
              <w:bottom w:w="40" w:type="dxa"/>
              <w:right w:w="20" w:type="dxa"/>
            </w:tcMar>
            <w:vAlign w:val="bottom"/>
          </w:tcPr>
          <w:p w14:paraId="5902B2FD" w14:textId="77777777" w:rsidR="0084406A" w:rsidRDefault="002B18AF">
            <w:pPr>
              <w:textAlignment w:val="bottom"/>
            </w:pPr>
            <w:r>
              <w:rPr>
                <w:rFonts w:ascii="Arial" w:eastAsia="宋体" w:hAnsi="Arial" w:cs="Arial"/>
                <w:color w:val="000000"/>
                <w:sz w:val="20"/>
                <w:szCs w:val="20"/>
              </w:rPr>
              <w:t>Other countries</w:t>
            </w:r>
          </w:p>
        </w:tc>
        <w:tc>
          <w:tcPr>
            <w:tcW w:w="0" w:type="auto"/>
            <w:gridSpan w:val="2"/>
            <w:shd w:val="clear" w:color="auto" w:fill="CCEEFF"/>
            <w:tcMar>
              <w:top w:w="40" w:type="dxa"/>
              <w:left w:w="20" w:type="dxa"/>
              <w:bottom w:w="40" w:type="dxa"/>
              <w:right w:w="0" w:type="dxa"/>
            </w:tcMar>
            <w:vAlign w:val="bottom"/>
          </w:tcPr>
          <w:p w14:paraId="5902B2FE" w14:textId="77777777" w:rsidR="0084406A" w:rsidRDefault="002B18AF">
            <w:pPr>
              <w:jc w:val="right"/>
              <w:textAlignment w:val="bottom"/>
            </w:pPr>
            <w:r>
              <w:rPr>
                <w:rFonts w:ascii="Arial" w:eastAsia="宋体" w:hAnsi="Arial" w:cs="Arial"/>
                <w:color w:val="000000"/>
                <w:sz w:val="20"/>
                <w:szCs w:val="20"/>
              </w:rPr>
              <w:t>41 </w:t>
            </w:r>
          </w:p>
        </w:tc>
        <w:tc>
          <w:tcPr>
            <w:tcW w:w="0" w:type="auto"/>
            <w:shd w:val="clear" w:color="auto" w:fill="CCEEFF"/>
            <w:tcMar>
              <w:top w:w="40" w:type="dxa"/>
              <w:left w:w="0" w:type="dxa"/>
              <w:bottom w:w="40" w:type="dxa"/>
              <w:right w:w="20" w:type="dxa"/>
            </w:tcMar>
            <w:vAlign w:val="bottom"/>
          </w:tcPr>
          <w:p w14:paraId="5902B2F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0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301" w14:textId="77777777" w:rsidR="0084406A" w:rsidRDefault="002B18AF">
            <w:pPr>
              <w:jc w:val="right"/>
              <w:textAlignment w:val="bottom"/>
            </w:pPr>
            <w:r>
              <w:rPr>
                <w:rFonts w:ascii="Arial" w:eastAsia="宋体" w:hAnsi="Arial" w:cs="Arial"/>
                <w:color w:val="000000"/>
                <w:sz w:val="20"/>
                <w:szCs w:val="20"/>
              </w:rPr>
              <w:t>28 </w:t>
            </w:r>
          </w:p>
        </w:tc>
        <w:tc>
          <w:tcPr>
            <w:tcW w:w="0" w:type="auto"/>
            <w:shd w:val="clear" w:color="auto" w:fill="CCEEFF"/>
            <w:tcMar>
              <w:top w:w="40" w:type="dxa"/>
              <w:left w:w="0" w:type="dxa"/>
              <w:bottom w:w="40" w:type="dxa"/>
              <w:right w:w="20" w:type="dxa"/>
            </w:tcMar>
            <w:vAlign w:val="bottom"/>
          </w:tcPr>
          <w:p w14:paraId="5902B302" w14:textId="77777777" w:rsidR="0084406A" w:rsidRDefault="0084406A">
            <w:pPr>
              <w:jc w:val="right"/>
              <w:rPr>
                <w:rFonts w:ascii="宋体"/>
              </w:rPr>
            </w:pPr>
          </w:p>
        </w:tc>
      </w:tr>
      <w:tr w:rsidR="0084406A" w14:paraId="5902B30C" w14:textId="77777777">
        <w:tc>
          <w:tcPr>
            <w:tcW w:w="0" w:type="auto"/>
            <w:gridSpan w:val="3"/>
            <w:shd w:val="clear" w:color="auto" w:fill="FFFFFF"/>
            <w:tcMar>
              <w:top w:w="40" w:type="dxa"/>
              <w:left w:w="20" w:type="dxa"/>
              <w:bottom w:w="40" w:type="dxa"/>
              <w:right w:w="20" w:type="dxa"/>
            </w:tcMar>
            <w:vAlign w:val="bottom"/>
          </w:tcPr>
          <w:p w14:paraId="5902B304" w14:textId="77777777" w:rsidR="0084406A" w:rsidRDefault="002B18AF">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305"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306" w14:textId="77777777" w:rsidR="0084406A" w:rsidRDefault="002B18AF">
            <w:pPr>
              <w:jc w:val="right"/>
              <w:textAlignment w:val="bottom"/>
            </w:pPr>
            <w:r>
              <w:rPr>
                <w:rFonts w:ascii="Arial" w:eastAsia="宋体" w:hAnsi="Arial" w:cs="Arial"/>
                <w:color w:val="000000"/>
                <w:sz w:val="20"/>
                <w:szCs w:val="20"/>
              </w:rPr>
              <w:t>702 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307"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308"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309"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30A" w14:textId="77777777" w:rsidR="0084406A" w:rsidRDefault="002B18AF">
            <w:pPr>
              <w:jc w:val="right"/>
              <w:textAlignment w:val="bottom"/>
            </w:pPr>
            <w:r>
              <w:rPr>
                <w:rFonts w:ascii="Arial" w:eastAsia="宋体"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30B" w14:textId="77777777" w:rsidR="0084406A" w:rsidRDefault="0084406A">
            <w:pPr>
              <w:jc w:val="right"/>
              <w:rPr>
                <w:rFonts w:ascii="宋体"/>
              </w:rPr>
            </w:pPr>
          </w:p>
        </w:tc>
      </w:tr>
    </w:tbl>
    <w:p w14:paraId="5902B30D" w14:textId="77777777" w:rsidR="0084406A" w:rsidRDefault="002B18AF">
      <w:pPr>
        <w:spacing w:before="280"/>
        <w:jc w:val="both"/>
      </w:pPr>
      <w:r>
        <w:rPr>
          <w:rFonts w:ascii="Arial" w:eastAsia="宋体" w:hAnsi="Arial" w:cs="Arial"/>
          <w:b/>
          <w:bCs/>
          <w:color w:val="000000"/>
          <w:sz w:val="20"/>
          <w:szCs w:val="20"/>
        </w:rPr>
        <w:t>NOTE 15 – Other Income (Expense), Net</w:t>
      </w:r>
    </w:p>
    <w:p w14:paraId="5902B30E" w14:textId="77777777" w:rsidR="0084406A" w:rsidRDefault="002B18AF">
      <w:pPr>
        <w:spacing w:before="180"/>
        <w:jc w:val="both"/>
      </w:pPr>
      <w:r>
        <w:rPr>
          <w:rFonts w:ascii="Arial" w:eastAsia="宋体" w:hAnsi="Arial" w:cs="Arial"/>
          <w:color w:val="000000"/>
          <w:sz w:val="20"/>
          <w:szCs w:val="20"/>
        </w:rPr>
        <w:t xml:space="preserve">The following table summarizes the components of Other income </w:t>
      </w:r>
      <w:r>
        <w:rPr>
          <w:rFonts w:ascii="Arial" w:eastAsia="宋体" w:hAnsi="Arial" w:cs="Arial"/>
          <w:color w:val="000000"/>
          <w:sz w:val="20"/>
          <w:szCs w:val="20"/>
        </w:rPr>
        <w:t>(expense),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4422"/>
        <w:gridCol w:w="38"/>
        <w:gridCol w:w="133"/>
        <w:gridCol w:w="1038"/>
        <w:gridCol w:w="36"/>
        <w:gridCol w:w="36"/>
        <w:gridCol w:w="36"/>
        <w:gridCol w:w="36"/>
        <w:gridCol w:w="133"/>
        <w:gridCol w:w="1038"/>
        <w:gridCol w:w="36"/>
        <w:gridCol w:w="36"/>
        <w:gridCol w:w="36"/>
        <w:gridCol w:w="36"/>
        <w:gridCol w:w="133"/>
        <w:gridCol w:w="1038"/>
        <w:gridCol w:w="36"/>
      </w:tblGrid>
      <w:tr w:rsidR="0084406A" w14:paraId="5902B321" w14:textId="77777777">
        <w:tc>
          <w:tcPr>
            <w:tcW w:w="50" w:type="pct"/>
            <w:shd w:val="clear" w:color="auto" w:fill="auto"/>
            <w:vAlign w:val="bottom"/>
          </w:tcPr>
          <w:p w14:paraId="5902B30F" w14:textId="77777777" w:rsidR="0084406A" w:rsidRDefault="0084406A">
            <w:pPr>
              <w:rPr>
                <w:rFonts w:ascii="宋体"/>
              </w:rPr>
            </w:pPr>
          </w:p>
        </w:tc>
        <w:tc>
          <w:tcPr>
            <w:tcW w:w="2715" w:type="pct"/>
            <w:shd w:val="clear" w:color="auto" w:fill="auto"/>
            <w:vAlign w:val="bottom"/>
          </w:tcPr>
          <w:p w14:paraId="5902B310" w14:textId="77777777" w:rsidR="0084406A" w:rsidRDefault="0084406A">
            <w:pPr>
              <w:rPr>
                <w:rFonts w:ascii="宋体"/>
              </w:rPr>
            </w:pPr>
          </w:p>
        </w:tc>
        <w:tc>
          <w:tcPr>
            <w:tcW w:w="5" w:type="pct"/>
            <w:shd w:val="clear" w:color="auto" w:fill="auto"/>
            <w:vAlign w:val="bottom"/>
          </w:tcPr>
          <w:p w14:paraId="5902B311" w14:textId="77777777" w:rsidR="0084406A" w:rsidRDefault="0084406A">
            <w:pPr>
              <w:rPr>
                <w:rFonts w:ascii="宋体"/>
              </w:rPr>
            </w:pPr>
          </w:p>
        </w:tc>
        <w:tc>
          <w:tcPr>
            <w:tcW w:w="50" w:type="pct"/>
            <w:shd w:val="clear" w:color="auto" w:fill="auto"/>
            <w:vAlign w:val="bottom"/>
          </w:tcPr>
          <w:p w14:paraId="5902B312" w14:textId="77777777" w:rsidR="0084406A" w:rsidRDefault="0084406A">
            <w:pPr>
              <w:rPr>
                <w:rFonts w:ascii="宋体"/>
              </w:rPr>
            </w:pPr>
          </w:p>
        </w:tc>
        <w:tc>
          <w:tcPr>
            <w:tcW w:w="668" w:type="pct"/>
            <w:shd w:val="clear" w:color="auto" w:fill="auto"/>
            <w:vAlign w:val="bottom"/>
          </w:tcPr>
          <w:p w14:paraId="5902B313" w14:textId="77777777" w:rsidR="0084406A" w:rsidRDefault="0084406A">
            <w:pPr>
              <w:rPr>
                <w:rFonts w:ascii="宋体"/>
              </w:rPr>
            </w:pPr>
          </w:p>
        </w:tc>
        <w:tc>
          <w:tcPr>
            <w:tcW w:w="5" w:type="pct"/>
            <w:shd w:val="clear" w:color="auto" w:fill="auto"/>
            <w:vAlign w:val="bottom"/>
          </w:tcPr>
          <w:p w14:paraId="5902B314" w14:textId="77777777" w:rsidR="0084406A" w:rsidRDefault="0084406A">
            <w:pPr>
              <w:rPr>
                <w:rFonts w:ascii="宋体"/>
              </w:rPr>
            </w:pPr>
          </w:p>
        </w:tc>
        <w:tc>
          <w:tcPr>
            <w:tcW w:w="5" w:type="pct"/>
            <w:shd w:val="clear" w:color="auto" w:fill="auto"/>
            <w:vAlign w:val="bottom"/>
          </w:tcPr>
          <w:p w14:paraId="5902B315" w14:textId="77777777" w:rsidR="0084406A" w:rsidRDefault="0084406A">
            <w:pPr>
              <w:rPr>
                <w:rFonts w:ascii="宋体"/>
              </w:rPr>
            </w:pPr>
          </w:p>
        </w:tc>
        <w:tc>
          <w:tcPr>
            <w:tcW w:w="19" w:type="pct"/>
            <w:shd w:val="clear" w:color="auto" w:fill="auto"/>
            <w:vAlign w:val="bottom"/>
          </w:tcPr>
          <w:p w14:paraId="5902B316" w14:textId="77777777" w:rsidR="0084406A" w:rsidRDefault="0084406A">
            <w:pPr>
              <w:rPr>
                <w:rFonts w:ascii="宋体"/>
              </w:rPr>
            </w:pPr>
          </w:p>
        </w:tc>
        <w:tc>
          <w:tcPr>
            <w:tcW w:w="5" w:type="pct"/>
            <w:shd w:val="clear" w:color="auto" w:fill="auto"/>
            <w:vAlign w:val="bottom"/>
          </w:tcPr>
          <w:p w14:paraId="5902B317" w14:textId="77777777" w:rsidR="0084406A" w:rsidRDefault="0084406A">
            <w:pPr>
              <w:rPr>
                <w:rFonts w:ascii="宋体"/>
              </w:rPr>
            </w:pPr>
          </w:p>
        </w:tc>
        <w:tc>
          <w:tcPr>
            <w:tcW w:w="50" w:type="pct"/>
            <w:shd w:val="clear" w:color="auto" w:fill="auto"/>
            <w:vAlign w:val="bottom"/>
          </w:tcPr>
          <w:p w14:paraId="5902B318" w14:textId="77777777" w:rsidR="0084406A" w:rsidRDefault="0084406A">
            <w:pPr>
              <w:rPr>
                <w:rFonts w:ascii="宋体"/>
              </w:rPr>
            </w:pPr>
          </w:p>
        </w:tc>
        <w:tc>
          <w:tcPr>
            <w:tcW w:w="668" w:type="pct"/>
            <w:shd w:val="clear" w:color="auto" w:fill="auto"/>
            <w:vAlign w:val="bottom"/>
          </w:tcPr>
          <w:p w14:paraId="5902B319" w14:textId="77777777" w:rsidR="0084406A" w:rsidRDefault="0084406A">
            <w:pPr>
              <w:rPr>
                <w:rFonts w:ascii="宋体"/>
              </w:rPr>
            </w:pPr>
          </w:p>
        </w:tc>
        <w:tc>
          <w:tcPr>
            <w:tcW w:w="5" w:type="pct"/>
            <w:shd w:val="clear" w:color="auto" w:fill="auto"/>
            <w:vAlign w:val="bottom"/>
          </w:tcPr>
          <w:p w14:paraId="5902B31A" w14:textId="77777777" w:rsidR="0084406A" w:rsidRDefault="0084406A">
            <w:pPr>
              <w:rPr>
                <w:rFonts w:ascii="宋体"/>
              </w:rPr>
            </w:pPr>
          </w:p>
        </w:tc>
        <w:tc>
          <w:tcPr>
            <w:tcW w:w="5" w:type="pct"/>
            <w:shd w:val="clear" w:color="auto" w:fill="auto"/>
            <w:vAlign w:val="bottom"/>
          </w:tcPr>
          <w:p w14:paraId="5902B31B" w14:textId="77777777" w:rsidR="0084406A" w:rsidRDefault="0084406A">
            <w:pPr>
              <w:rPr>
                <w:rFonts w:ascii="宋体"/>
              </w:rPr>
            </w:pPr>
          </w:p>
        </w:tc>
        <w:tc>
          <w:tcPr>
            <w:tcW w:w="19" w:type="pct"/>
            <w:shd w:val="clear" w:color="auto" w:fill="auto"/>
            <w:vAlign w:val="bottom"/>
          </w:tcPr>
          <w:p w14:paraId="5902B31C" w14:textId="77777777" w:rsidR="0084406A" w:rsidRDefault="0084406A">
            <w:pPr>
              <w:rPr>
                <w:rFonts w:ascii="宋体"/>
              </w:rPr>
            </w:pPr>
          </w:p>
        </w:tc>
        <w:tc>
          <w:tcPr>
            <w:tcW w:w="5" w:type="pct"/>
            <w:shd w:val="clear" w:color="auto" w:fill="auto"/>
            <w:vAlign w:val="bottom"/>
          </w:tcPr>
          <w:p w14:paraId="5902B31D" w14:textId="77777777" w:rsidR="0084406A" w:rsidRDefault="0084406A">
            <w:pPr>
              <w:rPr>
                <w:rFonts w:ascii="宋体"/>
              </w:rPr>
            </w:pPr>
          </w:p>
        </w:tc>
        <w:tc>
          <w:tcPr>
            <w:tcW w:w="50" w:type="pct"/>
            <w:shd w:val="clear" w:color="auto" w:fill="auto"/>
            <w:vAlign w:val="bottom"/>
          </w:tcPr>
          <w:p w14:paraId="5902B31E" w14:textId="77777777" w:rsidR="0084406A" w:rsidRDefault="0084406A">
            <w:pPr>
              <w:rPr>
                <w:rFonts w:ascii="宋体"/>
              </w:rPr>
            </w:pPr>
          </w:p>
        </w:tc>
        <w:tc>
          <w:tcPr>
            <w:tcW w:w="668" w:type="pct"/>
            <w:shd w:val="clear" w:color="auto" w:fill="auto"/>
            <w:vAlign w:val="bottom"/>
          </w:tcPr>
          <w:p w14:paraId="5902B31F" w14:textId="77777777" w:rsidR="0084406A" w:rsidRDefault="0084406A">
            <w:pPr>
              <w:rPr>
                <w:rFonts w:ascii="宋体"/>
              </w:rPr>
            </w:pPr>
          </w:p>
        </w:tc>
        <w:tc>
          <w:tcPr>
            <w:tcW w:w="5" w:type="pct"/>
            <w:shd w:val="clear" w:color="auto" w:fill="auto"/>
            <w:vAlign w:val="bottom"/>
          </w:tcPr>
          <w:p w14:paraId="5902B320" w14:textId="77777777" w:rsidR="0084406A" w:rsidRDefault="0084406A">
            <w:pPr>
              <w:rPr>
                <w:rFonts w:ascii="宋体"/>
              </w:rPr>
            </w:pPr>
          </w:p>
        </w:tc>
      </w:tr>
      <w:tr w:rsidR="0084406A" w14:paraId="5902B328" w14:textId="77777777">
        <w:tc>
          <w:tcPr>
            <w:tcW w:w="0" w:type="auto"/>
            <w:gridSpan w:val="3"/>
            <w:shd w:val="clear" w:color="auto" w:fill="auto"/>
            <w:tcMar>
              <w:top w:w="0" w:type="dxa"/>
              <w:left w:w="20" w:type="dxa"/>
              <w:bottom w:w="0" w:type="dxa"/>
              <w:right w:w="20" w:type="dxa"/>
            </w:tcMar>
            <w:vAlign w:val="bottom"/>
          </w:tcPr>
          <w:p w14:paraId="5902B32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323" w14:textId="77777777" w:rsidR="0084406A" w:rsidRDefault="002B18AF">
            <w:pPr>
              <w:jc w:val="center"/>
              <w:textAlignment w:val="bottom"/>
            </w:pPr>
            <w:r>
              <w:rPr>
                <w:rFonts w:ascii="Arial" w:eastAsia="宋体" w:hAnsi="Arial" w:cs="Arial"/>
                <w:b/>
                <w:bCs/>
                <w:color w:val="000000"/>
                <w:sz w:val="16"/>
                <w:szCs w:val="16"/>
              </w:rPr>
              <w:t>December 25, 2021</w:t>
            </w:r>
          </w:p>
        </w:tc>
        <w:tc>
          <w:tcPr>
            <w:tcW w:w="0" w:type="auto"/>
            <w:gridSpan w:val="3"/>
            <w:shd w:val="clear" w:color="auto" w:fill="auto"/>
            <w:tcMar>
              <w:top w:w="0" w:type="dxa"/>
              <w:left w:w="20" w:type="dxa"/>
              <w:bottom w:w="0" w:type="dxa"/>
              <w:right w:w="20" w:type="dxa"/>
            </w:tcMar>
            <w:vAlign w:val="bottom"/>
          </w:tcPr>
          <w:p w14:paraId="5902B324"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325" w14:textId="77777777" w:rsidR="0084406A" w:rsidRDefault="002B18AF">
            <w:pPr>
              <w:jc w:val="center"/>
              <w:textAlignment w:val="bottom"/>
            </w:pPr>
            <w:r>
              <w:rPr>
                <w:rFonts w:ascii="Arial" w:eastAsia="宋体" w:hAnsi="Arial" w:cs="Arial"/>
                <w:b/>
                <w:bCs/>
                <w:color w:val="000000"/>
                <w:sz w:val="16"/>
                <w:szCs w:val="16"/>
              </w:rPr>
              <w:t>December 26, 2020</w:t>
            </w:r>
          </w:p>
        </w:tc>
        <w:tc>
          <w:tcPr>
            <w:tcW w:w="0" w:type="auto"/>
            <w:gridSpan w:val="3"/>
            <w:shd w:val="clear" w:color="auto" w:fill="auto"/>
            <w:tcMar>
              <w:top w:w="0" w:type="dxa"/>
              <w:left w:w="20" w:type="dxa"/>
              <w:bottom w:w="0" w:type="dxa"/>
              <w:right w:w="20" w:type="dxa"/>
            </w:tcMar>
            <w:vAlign w:val="bottom"/>
          </w:tcPr>
          <w:p w14:paraId="5902B326"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327" w14:textId="77777777" w:rsidR="0084406A" w:rsidRDefault="002B18AF">
            <w:pPr>
              <w:jc w:val="center"/>
              <w:textAlignment w:val="bottom"/>
            </w:pPr>
            <w:r>
              <w:rPr>
                <w:rFonts w:ascii="Arial" w:eastAsia="宋体" w:hAnsi="Arial" w:cs="Arial"/>
                <w:b/>
                <w:bCs/>
                <w:color w:val="000000"/>
                <w:sz w:val="16"/>
                <w:szCs w:val="16"/>
              </w:rPr>
              <w:t>December 28, 2019</w:t>
            </w:r>
          </w:p>
        </w:tc>
      </w:tr>
      <w:tr w:rsidR="0084406A" w14:paraId="5902B32B" w14:textId="77777777">
        <w:tc>
          <w:tcPr>
            <w:tcW w:w="0" w:type="auto"/>
            <w:gridSpan w:val="3"/>
            <w:shd w:val="clear" w:color="auto" w:fill="auto"/>
            <w:tcMar>
              <w:top w:w="40" w:type="dxa"/>
              <w:left w:w="20" w:type="dxa"/>
              <w:bottom w:w="40" w:type="dxa"/>
              <w:right w:w="20" w:type="dxa"/>
            </w:tcMar>
            <w:vAlign w:val="bottom"/>
          </w:tcPr>
          <w:p w14:paraId="5902B329" w14:textId="77777777" w:rsidR="0084406A" w:rsidRDefault="002B18AF">
            <w:pPr>
              <w:textAlignment w:val="bottom"/>
            </w:pPr>
            <w:r>
              <w:rPr>
                <w:rFonts w:ascii="Arial" w:eastAsia="宋体" w:hAnsi="Arial" w:cs="Arial"/>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5902B32A"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338" w14:textId="77777777">
        <w:tc>
          <w:tcPr>
            <w:tcW w:w="0" w:type="auto"/>
            <w:gridSpan w:val="3"/>
            <w:shd w:val="clear" w:color="auto" w:fill="CCEEFF"/>
            <w:tcMar>
              <w:top w:w="40" w:type="dxa"/>
              <w:left w:w="20" w:type="dxa"/>
              <w:bottom w:w="40" w:type="dxa"/>
              <w:right w:w="20" w:type="dxa"/>
            </w:tcMar>
            <w:vAlign w:val="bottom"/>
          </w:tcPr>
          <w:p w14:paraId="5902B32C" w14:textId="77777777" w:rsidR="0084406A" w:rsidRDefault="002B18AF">
            <w:pPr>
              <w:textAlignment w:val="bottom"/>
            </w:pPr>
            <w:r>
              <w:rPr>
                <w:rFonts w:ascii="Arial" w:eastAsia="宋体" w:hAnsi="Arial" w:cs="Arial"/>
                <w:color w:val="000000"/>
                <w:sz w:val="20"/>
                <w:szCs w:val="20"/>
              </w:rPr>
              <w:t>Interest income</w:t>
            </w:r>
          </w:p>
        </w:tc>
        <w:tc>
          <w:tcPr>
            <w:tcW w:w="0" w:type="auto"/>
            <w:shd w:val="clear" w:color="auto" w:fill="CCEEFF"/>
            <w:tcMar>
              <w:top w:w="40" w:type="dxa"/>
              <w:left w:w="20" w:type="dxa"/>
              <w:bottom w:w="40" w:type="dxa"/>
              <w:right w:w="0" w:type="dxa"/>
            </w:tcMar>
            <w:vAlign w:val="bottom"/>
          </w:tcPr>
          <w:p w14:paraId="5902B32D"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2E"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5902B32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30"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331"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32" w14:textId="77777777" w:rsidR="0084406A" w:rsidRDefault="002B18AF">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5902B333"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34"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335"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36" w14:textId="77777777" w:rsidR="0084406A" w:rsidRDefault="002B18AF">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5902B337" w14:textId="77777777" w:rsidR="0084406A" w:rsidRDefault="0084406A">
            <w:pPr>
              <w:jc w:val="right"/>
              <w:rPr>
                <w:rFonts w:ascii="宋体"/>
              </w:rPr>
            </w:pPr>
          </w:p>
        </w:tc>
      </w:tr>
      <w:tr w:rsidR="0084406A" w14:paraId="5902B342" w14:textId="77777777">
        <w:tc>
          <w:tcPr>
            <w:tcW w:w="0" w:type="auto"/>
            <w:gridSpan w:val="3"/>
            <w:shd w:val="clear" w:color="auto" w:fill="FFFFFF"/>
            <w:tcMar>
              <w:top w:w="40" w:type="dxa"/>
              <w:left w:w="20" w:type="dxa"/>
              <w:bottom w:w="40" w:type="dxa"/>
              <w:right w:w="20" w:type="dxa"/>
            </w:tcMar>
            <w:vAlign w:val="bottom"/>
          </w:tcPr>
          <w:p w14:paraId="5902B339" w14:textId="77777777" w:rsidR="0084406A" w:rsidRDefault="002B18AF">
            <w:pPr>
              <w:textAlignment w:val="bottom"/>
            </w:pPr>
            <w:r>
              <w:rPr>
                <w:rFonts w:ascii="Arial" w:eastAsia="宋体" w:hAnsi="Arial" w:cs="Arial"/>
                <w:color w:val="000000"/>
                <w:sz w:val="20"/>
                <w:szCs w:val="20"/>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5902B33A" w14:textId="77777777" w:rsidR="0084406A" w:rsidRDefault="002B18AF">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5902B33B"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33C"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33D" w14:textId="77777777" w:rsidR="0084406A" w:rsidRDefault="002B18AF">
            <w:pPr>
              <w:jc w:val="right"/>
              <w:textAlignment w:val="bottom"/>
            </w:pPr>
            <w:r>
              <w:rPr>
                <w:rFonts w:ascii="Arial" w:eastAsia="宋体" w:hAnsi="Arial" w:cs="Arial"/>
                <w:color w:val="000000"/>
                <w:sz w:val="20"/>
                <w:szCs w:val="20"/>
              </w:rPr>
              <w:t>(54)</w:t>
            </w:r>
          </w:p>
        </w:tc>
        <w:tc>
          <w:tcPr>
            <w:tcW w:w="0" w:type="auto"/>
            <w:shd w:val="clear" w:color="auto" w:fill="FFFFFF"/>
            <w:tcMar>
              <w:top w:w="40" w:type="dxa"/>
              <w:left w:w="0" w:type="dxa"/>
              <w:bottom w:w="40" w:type="dxa"/>
              <w:right w:w="20" w:type="dxa"/>
            </w:tcMar>
            <w:vAlign w:val="bottom"/>
          </w:tcPr>
          <w:p w14:paraId="5902B33E"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33F"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340" w14:textId="77777777" w:rsidR="0084406A" w:rsidRDefault="002B18AF">
            <w:pPr>
              <w:jc w:val="right"/>
              <w:textAlignment w:val="bottom"/>
            </w:pPr>
            <w:r>
              <w:rPr>
                <w:rFonts w:ascii="Arial" w:eastAsia="宋体" w:hAnsi="Arial" w:cs="Arial"/>
                <w:color w:val="000000"/>
                <w:sz w:val="20"/>
                <w:szCs w:val="20"/>
              </w:rPr>
              <w:t>(176)</w:t>
            </w:r>
          </w:p>
        </w:tc>
        <w:tc>
          <w:tcPr>
            <w:tcW w:w="0" w:type="auto"/>
            <w:shd w:val="clear" w:color="auto" w:fill="FFFFFF"/>
            <w:tcMar>
              <w:top w:w="40" w:type="dxa"/>
              <w:left w:w="0" w:type="dxa"/>
              <w:bottom w:w="40" w:type="dxa"/>
              <w:right w:w="20" w:type="dxa"/>
            </w:tcMar>
            <w:vAlign w:val="bottom"/>
          </w:tcPr>
          <w:p w14:paraId="5902B341" w14:textId="77777777" w:rsidR="0084406A" w:rsidRDefault="0084406A">
            <w:pPr>
              <w:jc w:val="right"/>
              <w:rPr>
                <w:rFonts w:ascii="宋体"/>
              </w:rPr>
            </w:pPr>
          </w:p>
        </w:tc>
      </w:tr>
      <w:tr w:rsidR="0084406A" w14:paraId="5902B34C" w14:textId="77777777">
        <w:tc>
          <w:tcPr>
            <w:tcW w:w="0" w:type="auto"/>
            <w:gridSpan w:val="3"/>
            <w:shd w:val="clear" w:color="auto" w:fill="CCEEFF"/>
            <w:tcMar>
              <w:top w:w="40" w:type="dxa"/>
              <w:left w:w="20" w:type="dxa"/>
              <w:bottom w:w="40" w:type="dxa"/>
              <w:right w:w="20" w:type="dxa"/>
            </w:tcMar>
            <w:vAlign w:val="bottom"/>
          </w:tcPr>
          <w:p w14:paraId="5902B343" w14:textId="77777777" w:rsidR="0084406A" w:rsidRDefault="002B18AF">
            <w:pPr>
              <w:textAlignment w:val="bottom"/>
            </w:pPr>
            <w:r>
              <w:rPr>
                <w:rFonts w:ascii="Arial" w:eastAsia="宋体" w:hAnsi="Arial" w:cs="Arial"/>
                <w:color w:val="000000"/>
                <w:sz w:val="20"/>
                <w:szCs w:val="20"/>
              </w:rPr>
              <w:t>Gains on equity investments, net</w:t>
            </w:r>
          </w:p>
        </w:tc>
        <w:tc>
          <w:tcPr>
            <w:tcW w:w="0" w:type="auto"/>
            <w:gridSpan w:val="2"/>
            <w:shd w:val="clear" w:color="auto" w:fill="CCEEFF"/>
            <w:tcMar>
              <w:top w:w="40" w:type="dxa"/>
              <w:left w:w="20" w:type="dxa"/>
              <w:bottom w:w="40" w:type="dxa"/>
              <w:right w:w="0" w:type="dxa"/>
            </w:tcMar>
            <w:vAlign w:val="bottom"/>
          </w:tcPr>
          <w:p w14:paraId="5902B344" w14:textId="77777777" w:rsidR="0084406A" w:rsidRDefault="002B18AF">
            <w:pPr>
              <w:jc w:val="right"/>
              <w:textAlignment w:val="bottom"/>
            </w:pPr>
            <w:r>
              <w:rPr>
                <w:rFonts w:ascii="Arial" w:eastAsia="宋体" w:hAnsi="Arial" w:cs="Arial"/>
                <w:color w:val="000000"/>
                <w:sz w:val="20"/>
                <w:szCs w:val="20"/>
              </w:rPr>
              <w:t>56 </w:t>
            </w:r>
          </w:p>
        </w:tc>
        <w:tc>
          <w:tcPr>
            <w:tcW w:w="0" w:type="auto"/>
            <w:shd w:val="clear" w:color="auto" w:fill="CCEEFF"/>
            <w:tcMar>
              <w:top w:w="40" w:type="dxa"/>
              <w:left w:w="0" w:type="dxa"/>
              <w:bottom w:w="40" w:type="dxa"/>
              <w:right w:w="20" w:type="dxa"/>
            </w:tcMar>
            <w:vAlign w:val="bottom"/>
          </w:tcPr>
          <w:p w14:paraId="5902B345"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46"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347" w14:textId="77777777" w:rsidR="0084406A" w:rsidRDefault="002B18AF">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5902B348"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49"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34A" w14:textId="77777777" w:rsidR="0084406A" w:rsidRDefault="002B18AF">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5902B34B" w14:textId="77777777" w:rsidR="0084406A" w:rsidRDefault="0084406A">
            <w:pPr>
              <w:jc w:val="right"/>
              <w:rPr>
                <w:rFonts w:ascii="宋体"/>
              </w:rPr>
            </w:pPr>
          </w:p>
        </w:tc>
      </w:tr>
      <w:tr w:rsidR="0084406A" w14:paraId="5902B356" w14:textId="77777777">
        <w:tc>
          <w:tcPr>
            <w:tcW w:w="0" w:type="auto"/>
            <w:gridSpan w:val="3"/>
            <w:shd w:val="clear" w:color="auto" w:fill="FFFFFF"/>
            <w:tcMar>
              <w:top w:w="40" w:type="dxa"/>
              <w:left w:w="20" w:type="dxa"/>
              <w:bottom w:w="40" w:type="dxa"/>
              <w:right w:w="20" w:type="dxa"/>
            </w:tcMar>
            <w:vAlign w:val="bottom"/>
          </w:tcPr>
          <w:p w14:paraId="5902B34D" w14:textId="77777777" w:rsidR="0084406A" w:rsidRDefault="002B18AF">
            <w:pPr>
              <w:textAlignment w:val="bottom"/>
            </w:pPr>
            <w:r>
              <w:rPr>
                <w:rFonts w:ascii="Arial" w:eastAsia="宋体" w:hAnsi="Arial" w:cs="Arial"/>
                <w:color w:val="000000"/>
                <w:sz w:val="20"/>
                <w:szCs w:val="20"/>
              </w:rPr>
              <w:t>Other expense</w:t>
            </w:r>
          </w:p>
        </w:tc>
        <w:tc>
          <w:tcPr>
            <w:tcW w:w="0" w:type="auto"/>
            <w:gridSpan w:val="2"/>
            <w:shd w:val="clear" w:color="auto" w:fill="FFFFFF"/>
            <w:tcMar>
              <w:top w:w="40" w:type="dxa"/>
              <w:left w:w="20" w:type="dxa"/>
              <w:bottom w:w="40" w:type="dxa"/>
              <w:right w:w="0" w:type="dxa"/>
            </w:tcMar>
            <w:vAlign w:val="bottom"/>
          </w:tcPr>
          <w:p w14:paraId="5902B34E" w14:textId="77777777" w:rsidR="0084406A" w:rsidRDefault="002B18AF">
            <w:pPr>
              <w:jc w:val="right"/>
              <w:textAlignment w:val="bottom"/>
            </w:pPr>
            <w:r>
              <w:rPr>
                <w:rFonts w:ascii="Arial" w:eastAsia="宋体" w:hAnsi="Arial" w:cs="Arial"/>
                <w:color w:val="000000"/>
                <w:sz w:val="20"/>
                <w:szCs w:val="20"/>
              </w:rPr>
              <w:t>(2)</w:t>
            </w:r>
          </w:p>
        </w:tc>
        <w:tc>
          <w:tcPr>
            <w:tcW w:w="0" w:type="auto"/>
            <w:shd w:val="clear" w:color="auto" w:fill="FFFFFF"/>
            <w:tcMar>
              <w:top w:w="40" w:type="dxa"/>
              <w:left w:w="0" w:type="dxa"/>
              <w:bottom w:w="40" w:type="dxa"/>
              <w:right w:w="20" w:type="dxa"/>
            </w:tcMar>
            <w:vAlign w:val="bottom"/>
          </w:tcPr>
          <w:p w14:paraId="5902B34F"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350"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351" w14:textId="77777777" w:rsidR="0084406A" w:rsidRDefault="002B18AF">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5902B352"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353"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354" w14:textId="77777777" w:rsidR="0084406A" w:rsidRDefault="002B18AF">
            <w:pPr>
              <w:jc w:val="right"/>
              <w:textAlignment w:val="bottom"/>
            </w:pPr>
            <w:r>
              <w:rPr>
                <w:rFonts w:ascii="Arial" w:eastAsia="宋体" w:hAnsi="Arial" w:cs="Arial"/>
                <w:color w:val="000000"/>
                <w:sz w:val="20"/>
                <w:szCs w:val="20"/>
              </w:rPr>
              <w:t>(5)</w:t>
            </w:r>
          </w:p>
        </w:tc>
        <w:tc>
          <w:tcPr>
            <w:tcW w:w="0" w:type="auto"/>
            <w:shd w:val="clear" w:color="auto" w:fill="FFFFFF"/>
            <w:tcMar>
              <w:top w:w="40" w:type="dxa"/>
              <w:left w:w="0" w:type="dxa"/>
              <w:bottom w:w="40" w:type="dxa"/>
              <w:right w:w="20" w:type="dxa"/>
            </w:tcMar>
            <w:vAlign w:val="bottom"/>
          </w:tcPr>
          <w:p w14:paraId="5902B355" w14:textId="77777777" w:rsidR="0084406A" w:rsidRDefault="0084406A">
            <w:pPr>
              <w:jc w:val="right"/>
              <w:rPr>
                <w:rFonts w:ascii="宋体"/>
              </w:rPr>
            </w:pPr>
          </w:p>
        </w:tc>
      </w:tr>
      <w:tr w:rsidR="0084406A" w14:paraId="5902B363" w14:textId="77777777">
        <w:tc>
          <w:tcPr>
            <w:tcW w:w="0" w:type="auto"/>
            <w:gridSpan w:val="3"/>
            <w:shd w:val="clear" w:color="auto" w:fill="CCEEFF"/>
            <w:tcMar>
              <w:top w:w="40" w:type="dxa"/>
              <w:left w:w="20" w:type="dxa"/>
              <w:bottom w:w="40" w:type="dxa"/>
              <w:right w:w="20" w:type="dxa"/>
            </w:tcMar>
            <w:vAlign w:val="bottom"/>
          </w:tcPr>
          <w:p w14:paraId="5902B357" w14:textId="77777777" w:rsidR="0084406A" w:rsidRDefault="002B18AF">
            <w:pPr>
              <w:textAlignment w:val="bottom"/>
            </w:pPr>
            <w:r>
              <w:rPr>
                <w:rFonts w:ascii="Arial" w:eastAsia="宋体" w:hAnsi="Arial" w:cs="Arial"/>
                <w:color w:val="000000"/>
                <w:sz w:val="20"/>
                <w:szCs w:val="20"/>
              </w:rPr>
              <w:t>Other income (expense),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358"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359" w14:textId="77777777" w:rsidR="0084406A" w:rsidRDefault="002B18AF">
            <w:pPr>
              <w:jc w:val="right"/>
              <w:textAlignment w:val="bottom"/>
            </w:pPr>
            <w:r>
              <w:rPr>
                <w:rFonts w:ascii="Arial" w:eastAsia="宋体" w:hAnsi="Arial" w:cs="Arial"/>
                <w:color w:val="000000"/>
                <w:sz w:val="20"/>
                <w:szCs w:val="20"/>
              </w:rPr>
              <w:t>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35A"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5B"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35C"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35D" w14:textId="77777777" w:rsidR="0084406A" w:rsidRDefault="002B18AF">
            <w:pPr>
              <w:jc w:val="right"/>
              <w:textAlignment w:val="bottom"/>
            </w:pPr>
            <w:r>
              <w:rPr>
                <w:rFonts w:ascii="Arial" w:eastAsia="宋体" w:hAnsi="Arial" w:cs="Arial"/>
                <w:color w:val="000000"/>
                <w:sz w:val="20"/>
                <w:szCs w:val="20"/>
              </w:rPr>
              <w:t>(47)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35E"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35F" w14:textId="77777777" w:rsidR="0084406A" w:rsidRDefault="0084406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360"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361" w14:textId="77777777" w:rsidR="0084406A" w:rsidRDefault="002B18AF">
            <w:pPr>
              <w:jc w:val="right"/>
              <w:textAlignment w:val="bottom"/>
            </w:pPr>
            <w:r>
              <w:rPr>
                <w:rFonts w:ascii="Arial" w:eastAsia="宋体" w:hAnsi="Arial" w:cs="Arial"/>
                <w:color w:val="000000"/>
                <w:sz w:val="20"/>
                <w:szCs w:val="20"/>
              </w:rPr>
              <w:t>(165)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362" w14:textId="77777777" w:rsidR="0084406A" w:rsidRDefault="0084406A">
            <w:pPr>
              <w:jc w:val="right"/>
              <w:rPr>
                <w:rFonts w:ascii="宋体"/>
              </w:rPr>
            </w:pPr>
          </w:p>
        </w:tc>
      </w:tr>
    </w:tbl>
    <w:p w14:paraId="5902B364" w14:textId="77777777" w:rsidR="0084406A" w:rsidRDefault="002B18AF">
      <w:pPr>
        <w:jc w:val="center"/>
      </w:pPr>
      <w:r>
        <w:rPr>
          <w:rFonts w:ascii="Arial" w:eastAsia="宋体" w:hAnsi="Arial" w:cs="Arial"/>
          <w:color w:val="000000"/>
          <w:sz w:val="20"/>
          <w:szCs w:val="20"/>
        </w:rPr>
        <w:t>74</w:t>
      </w:r>
    </w:p>
    <w:p w14:paraId="5902B365" w14:textId="77777777" w:rsidR="0084406A" w:rsidRDefault="002B18AF">
      <w:r>
        <w:pict w14:anchorId="5902BB40">
          <v:rect id="_x0000_i1101" style="width:415.3pt;height:1.5pt" o:hralign="center" o:hrstd="t" o:hr="t" fillcolor="#a0a0a0" stroked="f"/>
        </w:pict>
      </w:r>
    </w:p>
    <w:p w14:paraId="5902B366" w14:textId="77777777" w:rsidR="0084406A" w:rsidRDefault="0084406A"/>
    <w:p w14:paraId="5902B367" w14:textId="77777777" w:rsidR="0084406A" w:rsidRDefault="002B18AF">
      <w:pPr>
        <w:spacing w:before="280"/>
      </w:pPr>
      <w:r>
        <w:rPr>
          <w:rFonts w:ascii="Arial" w:eastAsia="宋体" w:hAnsi="Arial" w:cs="Arial"/>
          <w:b/>
          <w:bCs/>
          <w:color w:val="000000"/>
          <w:sz w:val="20"/>
          <w:szCs w:val="20"/>
        </w:rPr>
        <w:t xml:space="preserve">NOTE 16 – Commitments and Guarantees </w:t>
      </w:r>
    </w:p>
    <w:p w14:paraId="5902B368" w14:textId="77777777" w:rsidR="0084406A" w:rsidRDefault="002B18AF">
      <w:pPr>
        <w:spacing w:before="180"/>
      </w:pPr>
      <w:r>
        <w:rPr>
          <w:rFonts w:ascii="Arial" w:eastAsia="宋体" w:hAnsi="Arial" w:cs="Arial"/>
          <w:b/>
          <w:bCs/>
          <w:i/>
          <w:iCs/>
          <w:color w:val="000000"/>
          <w:sz w:val="20"/>
          <w:szCs w:val="20"/>
        </w:rPr>
        <w:t>Operating Leases</w:t>
      </w:r>
    </w:p>
    <w:p w14:paraId="5902B369" w14:textId="77777777" w:rsidR="0084406A" w:rsidRDefault="002B18AF">
      <w:pPr>
        <w:spacing w:before="180"/>
        <w:jc w:val="both"/>
      </w:pPr>
      <w:r>
        <w:rPr>
          <w:rFonts w:ascii="Arial" w:eastAsia="宋体" w:hAnsi="Arial" w:cs="Arial"/>
          <w:color w:val="000000"/>
          <w:sz w:val="20"/>
          <w:szCs w:val="20"/>
        </w:rPr>
        <w:t>The Company has entered into operating and finance leases for its corporate offices, data centers, research and development facilities and ce</w:t>
      </w:r>
      <w:r>
        <w:rPr>
          <w:rFonts w:ascii="Arial" w:eastAsia="宋体" w:hAnsi="Arial" w:cs="Arial"/>
          <w:color w:val="000000"/>
          <w:sz w:val="20"/>
          <w:szCs w:val="20"/>
        </w:rPr>
        <w:t>rtain equipment. The leases expire at various dates through 2031, some of which include options to extend the lease for up to ten years.</w:t>
      </w:r>
    </w:p>
    <w:p w14:paraId="5902B36A" w14:textId="77777777" w:rsidR="0084406A" w:rsidRDefault="002B18AF">
      <w:pPr>
        <w:spacing w:before="180"/>
        <w:jc w:val="both"/>
      </w:pPr>
      <w:r>
        <w:rPr>
          <w:rFonts w:ascii="Arial" w:eastAsia="宋体" w:hAnsi="Arial" w:cs="Arial"/>
          <w:color w:val="000000"/>
          <w:sz w:val="20"/>
          <w:szCs w:val="20"/>
        </w:rPr>
        <w:t xml:space="preserve">For 2021, 2020 and 2019, the Company recorded </w:t>
      </w:r>
      <w:r>
        <w:rPr>
          <w:rFonts w:ascii="Arial" w:eastAsia="宋体" w:hAnsi="Arial" w:cs="Arial"/>
          <w:color w:val="000000"/>
          <w:sz w:val="20"/>
          <w:szCs w:val="20"/>
          <w:shd w:val="clear" w:color="auto" w:fill="FFFFFF"/>
        </w:rPr>
        <w:t>$71 million</w:t>
      </w:r>
      <w:r>
        <w:rPr>
          <w:rFonts w:ascii="Arial" w:eastAsia="宋体" w:hAnsi="Arial" w:cs="Arial"/>
          <w:color w:val="000000"/>
          <w:sz w:val="20"/>
          <w:szCs w:val="20"/>
        </w:rPr>
        <w:t>, $59 million and $56 million, respectively, of operating leas</w:t>
      </w:r>
      <w:r>
        <w:rPr>
          <w:rFonts w:ascii="Arial" w:eastAsia="宋体" w:hAnsi="Arial" w:cs="Arial"/>
          <w:color w:val="000000"/>
          <w:sz w:val="20"/>
          <w:szCs w:val="20"/>
        </w:rPr>
        <w:t xml:space="preserve">e expense, including short-term lease expense. For 2021 and 2020, the Company recorded </w:t>
      </w:r>
      <w:r>
        <w:rPr>
          <w:rFonts w:ascii="Arial" w:eastAsia="宋体" w:hAnsi="Arial" w:cs="Arial"/>
          <w:color w:val="000000"/>
          <w:sz w:val="20"/>
          <w:szCs w:val="20"/>
          <w:shd w:val="clear" w:color="auto" w:fill="FFFFFF"/>
        </w:rPr>
        <w:t>$26 million</w:t>
      </w:r>
      <w:r>
        <w:rPr>
          <w:rFonts w:ascii="Arial" w:eastAsia="宋体" w:hAnsi="Arial" w:cs="Arial"/>
          <w:color w:val="000000"/>
          <w:sz w:val="20"/>
          <w:szCs w:val="20"/>
        </w:rPr>
        <w:t xml:space="preserve"> and $27 million, respectively, of variable lease expense, which primarily included operating expenses and property taxes associated with the usage of facilit</w:t>
      </w:r>
      <w:r>
        <w:rPr>
          <w:rFonts w:ascii="Arial" w:eastAsia="宋体" w:hAnsi="Arial" w:cs="Arial"/>
          <w:color w:val="000000"/>
          <w:sz w:val="20"/>
          <w:szCs w:val="20"/>
        </w:rPr>
        <w:t xml:space="preserve">ies under the operating leases. For 2021 and 2020, cash paid for operating leases included in operating cash flows was </w:t>
      </w:r>
      <w:r>
        <w:rPr>
          <w:rFonts w:ascii="Arial" w:eastAsia="宋体" w:hAnsi="Arial" w:cs="Arial"/>
          <w:color w:val="000000"/>
          <w:sz w:val="20"/>
          <w:szCs w:val="20"/>
          <w:shd w:val="clear" w:color="auto" w:fill="FFFFFF"/>
        </w:rPr>
        <w:t>$67 million</w:t>
      </w:r>
      <w:r>
        <w:rPr>
          <w:rFonts w:ascii="Arial" w:eastAsia="宋体" w:hAnsi="Arial" w:cs="Arial"/>
          <w:color w:val="000000"/>
          <w:sz w:val="20"/>
          <w:szCs w:val="20"/>
        </w:rPr>
        <w:t xml:space="preserve"> and $55 million, respectively. The Company’s finance and short-term leases are immaterial to the Company’s consolidated finan</w:t>
      </w:r>
      <w:r>
        <w:rPr>
          <w:rFonts w:ascii="Arial" w:eastAsia="宋体" w:hAnsi="Arial" w:cs="Arial"/>
          <w:color w:val="000000"/>
          <w:sz w:val="20"/>
          <w:szCs w:val="20"/>
        </w:rPr>
        <w:t>cial statements.</w:t>
      </w:r>
    </w:p>
    <w:p w14:paraId="5902B36B" w14:textId="77777777" w:rsidR="0084406A" w:rsidRDefault="002B18AF">
      <w:pPr>
        <w:spacing w:before="180"/>
      </w:pPr>
      <w:r>
        <w:rPr>
          <w:rFonts w:ascii="Arial" w:eastAsia="宋体" w:hAnsi="Arial" w:cs="Arial"/>
          <w:color w:val="000000"/>
          <w:sz w:val="20"/>
          <w:szCs w:val="20"/>
        </w:rPr>
        <w:t>Supplemental information related to leases is as follows:</w:t>
      </w:r>
    </w:p>
    <w:tbl>
      <w:tblPr>
        <w:tblW w:w="4993" w:type="pct"/>
        <w:tblCellMar>
          <w:top w:w="15" w:type="dxa"/>
          <w:left w:w="15" w:type="dxa"/>
          <w:bottom w:w="15" w:type="dxa"/>
          <w:right w:w="15" w:type="dxa"/>
        </w:tblCellMar>
        <w:tblLook w:val="04A0" w:firstRow="1" w:lastRow="0" w:firstColumn="1" w:lastColumn="0" w:noHBand="0" w:noVBand="1"/>
      </w:tblPr>
      <w:tblGrid>
        <w:gridCol w:w="37"/>
        <w:gridCol w:w="6465"/>
        <w:gridCol w:w="36"/>
        <w:gridCol w:w="40"/>
        <w:gridCol w:w="1548"/>
        <w:gridCol w:w="198"/>
      </w:tblGrid>
      <w:tr w:rsidR="0084406A" w14:paraId="5902B372" w14:textId="77777777">
        <w:tc>
          <w:tcPr>
            <w:tcW w:w="50" w:type="pct"/>
            <w:shd w:val="clear" w:color="auto" w:fill="auto"/>
            <w:vAlign w:val="bottom"/>
          </w:tcPr>
          <w:p w14:paraId="5902B36C" w14:textId="77777777" w:rsidR="0084406A" w:rsidRDefault="0084406A">
            <w:pPr>
              <w:rPr>
                <w:rFonts w:ascii="宋体"/>
              </w:rPr>
            </w:pPr>
          </w:p>
        </w:tc>
        <w:tc>
          <w:tcPr>
            <w:tcW w:w="3920" w:type="pct"/>
            <w:shd w:val="clear" w:color="auto" w:fill="auto"/>
            <w:vAlign w:val="bottom"/>
          </w:tcPr>
          <w:p w14:paraId="5902B36D" w14:textId="77777777" w:rsidR="0084406A" w:rsidRDefault="0084406A">
            <w:pPr>
              <w:rPr>
                <w:rFonts w:ascii="宋体"/>
              </w:rPr>
            </w:pPr>
          </w:p>
        </w:tc>
        <w:tc>
          <w:tcPr>
            <w:tcW w:w="5" w:type="pct"/>
            <w:shd w:val="clear" w:color="auto" w:fill="auto"/>
            <w:vAlign w:val="bottom"/>
          </w:tcPr>
          <w:p w14:paraId="5902B36E" w14:textId="77777777" w:rsidR="0084406A" w:rsidRDefault="0084406A">
            <w:pPr>
              <w:rPr>
                <w:rFonts w:ascii="宋体"/>
              </w:rPr>
            </w:pPr>
          </w:p>
        </w:tc>
        <w:tc>
          <w:tcPr>
            <w:tcW w:w="50" w:type="pct"/>
            <w:shd w:val="clear" w:color="auto" w:fill="auto"/>
            <w:vAlign w:val="bottom"/>
          </w:tcPr>
          <w:p w14:paraId="5902B36F" w14:textId="77777777" w:rsidR="0084406A" w:rsidRDefault="0084406A">
            <w:pPr>
              <w:rPr>
                <w:rFonts w:ascii="宋体"/>
              </w:rPr>
            </w:pPr>
          </w:p>
        </w:tc>
        <w:tc>
          <w:tcPr>
            <w:tcW w:w="969" w:type="pct"/>
            <w:shd w:val="clear" w:color="auto" w:fill="auto"/>
            <w:vAlign w:val="bottom"/>
          </w:tcPr>
          <w:p w14:paraId="5902B370" w14:textId="77777777" w:rsidR="0084406A" w:rsidRDefault="0084406A">
            <w:pPr>
              <w:rPr>
                <w:rFonts w:ascii="宋体"/>
              </w:rPr>
            </w:pPr>
          </w:p>
        </w:tc>
        <w:tc>
          <w:tcPr>
            <w:tcW w:w="5" w:type="pct"/>
            <w:shd w:val="clear" w:color="auto" w:fill="auto"/>
            <w:vAlign w:val="bottom"/>
          </w:tcPr>
          <w:p w14:paraId="5902B371" w14:textId="77777777" w:rsidR="0084406A" w:rsidRDefault="0084406A">
            <w:pPr>
              <w:rPr>
                <w:rFonts w:ascii="宋体"/>
              </w:rPr>
            </w:pPr>
          </w:p>
        </w:tc>
      </w:tr>
      <w:tr w:rsidR="0084406A" w14:paraId="5902B375" w14:textId="77777777">
        <w:tc>
          <w:tcPr>
            <w:tcW w:w="0" w:type="auto"/>
            <w:gridSpan w:val="3"/>
            <w:shd w:val="clear" w:color="auto" w:fill="auto"/>
            <w:tcMar>
              <w:top w:w="0" w:type="dxa"/>
              <w:left w:w="20" w:type="dxa"/>
              <w:bottom w:w="0" w:type="dxa"/>
              <w:right w:w="20" w:type="dxa"/>
            </w:tcMar>
            <w:vAlign w:val="bottom"/>
          </w:tcPr>
          <w:p w14:paraId="5902B37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374"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84406A" w14:paraId="5902B378" w14:textId="77777777">
        <w:tc>
          <w:tcPr>
            <w:tcW w:w="0" w:type="auto"/>
            <w:gridSpan w:val="3"/>
            <w:shd w:val="clear" w:color="auto" w:fill="CCEEFF"/>
            <w:tcMar>
              <w:top w:w="40" w:type="dxa"/>
              <w:left w:w="20" w:type="dxa"/>
              <w:bottom w:w="40" w:type="dxa"/>
              <w:right w:w="20" w:type="dxa"/>
            </w:tcMar>
            <w:vAlign w:val="bottom"/>
          </w:tcPr>
          <w:p w14:paraId="5902B376" w14:textId="77777777" w:rsidR="0084406A" w:rsidRDefault="002B18AF">
            <w:pPr>
              <w:textAlignment w:val="bottom"/>
            </w:pPr>
            <w:r>
              <w:rPr>
                <w:rFonts w:ascii="Arial" w:eastAsia="宋体" w:hAnsi="Arial" w:cs="Arial"/>
                <w:color w:val="000000"/>
                <w:sz w:val="20"/>
                <w:szCs w:val="20"/>
              </w:rPr>
              <w:t>Weighted-average remaining lease term in years – operating leases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902B377" w14:textId="77777777" w:rsidR="0084406A" w:rsidRDefault="002B18AF">
            <w:pPr>
              <w:jc w:val="right"/>
              <w:textAlignment w:val="bottom"/>
            </w:pPr>
            <w:r>
              <w:rPr>
                <w:rFonts w:ascii="Arial" w:eastAsia="宋体" w:hAnsi="Arial" w:cs="Arial"/>
                <w:color w:val="000000"/>
                <w:sz w:val="20"/>
                <w:szCs w:val="20"/>
              </w:rPr>
              <w:t>6.10</w:t>
            </w:r>
          </w:p>
        </w:tc>
      </w:tr>
      <w:tr w:rsidR="0084406A" w14:paraId="5902B37C" w14:textId="77777777">
        <w:tc>
          <w:tcPr>
            <w:tcW w:w="0" w:type="auto"/>
            <w:gridSpan w:val="3"/>
            <w:shd w:val="clear" w:color="auto" w:fill="FFFFFF"/>
            <w:tcMar>
              <w:top w:w="40" w:type="dxa"/>
              <w:left w:w="20" w:type="dxa"/>
              <w:bottom w:w="40" w:type="dxa"/>
              <w:right w:w="20" w:type="dxa"/>
            </w:tcMar>
            <w:vAlign w:val="bottom"/>
          </w:tcPr>
          <w:p w14:paraId="5902B379" w14:textId="77777777" w:rsidR="0084406A" w:rsidRDefault="002B18AF">
            <w:pPr>
              <w:textAlignment w:val="bottom"/>
            </w:pPr>
            <w:r>
              <w:rPr>
                <w:rFonts w:ascii="Arial" w:eastAsia="宋体" w:hAnsi="Arial" w:cs="Arial"/>
                <w:color w:val="000000"/>
                <w:sz w:val="20"/>
                <w:szCs w:val="20"/>
              </w:rPr>
              <w:t>Weighted-average discount rate – operating leases</w:t>
            </w:r>
          </w:p>
        </w:tc>
        <w:tc>
          <w:tcPr>
            <w:tcW w:w="0" w:type="auto"/>
            <w:gridSpan w:val="2"/>
            <w:shd w:val="clear" w:color="auto" w:fill="FFFFFF"/>
            <w:tcMar>
              <w:top w:w="40" w:type="dxa"/>
              <w:left w:w="20" w:type="dxa"/>
              <w:bottom w:w="40" w:type="dxa"/>
              <w:right w:w="0" w:type="dxa"/>
            </w:tcMar>
            <w:vAlign w:val="bottom"/>
          </w:tcPr>
          <w:p w14:paraId="5902B37A" w14:textId="77777777" w:rsidR="0084406A" w:rsidRDefault="002B18AF">
            <w:pPr>
              <w:jc w:val="right"/>
              <w:textAlignment w:val="bottom"/>
            </w:pPr>
            <w:r>
              <w:rPr>
                <w:rFonts w:ascii="Arial" w:eastAsia="宋体" w:hAnsi="Arial" w:cs="Arial"/>
                <w:color w:val="000000"/>
                <w:sz w:val="20"/>
                <w:szCs w:val="20"/>
              </w:rPr>
              <w:t>3.70 </w:t>
            </w:r>
          </w:p>
        </w:tc>
        <w:tc>
          <w:tcPr>
            <w:tcW w:w="0" w:type="auto"/>
            <w:shd w:val="clear" w:color="auto" w:fill="FFFFFF"/>
            <w:tcMar>
              <w:top w:w="40" w:type="dxa"/>
              <w:left w:w="0" w:type="dxa"/>
              <w:bottom w:w="40" w:type="dxa"/>
              <w:right w:w="20" w:type="dxa"/>
            </w:tcMar>
            <w:vAlign w:val="bottom"/>
          </w:tcPr>
          <w:p w14:paraId="5902B37B" w14:textId="77777777" w:rsidR="0084406A" w:rsidRDefault="002B18AF">
            <w:pPr>
              <w:jc w:val="right"/>
              <w:textAlignment w:val="bottom"/>
            </w:pPr>
            <w:r>
              <w:rPr>
                <w:rFonts w:ascii="Arial" w:eastAsia="宋体" w:hAnsi="Arial" w:cs="Arial"/>
                <w:color w:val="000000"/>
                <w:sz w:val="20"/>
                <w:szCs w:val="20"/>
              </w:rPr>
              <w:t>%</w:t>
            </w:r>
          </w:p>
        </w:tc>
      </w:tr>
    </w:tbl>
    <w:p w14:paraId="5902B37D" w14:textId="77777777" w:rsidR="0084406A" w:rsidRDefault="002B18AF">
      <w:pPr>
        <w:spacing w:before="180"/>
      </w:pPr>
      <w:r>
        <w:rPr>
          <w:rFonts w:ascii="Arial" w:eastAsia="宋体" w:hAnsi="Arial" w:cs="Arial"/>
          <w:color w:val="000000"/>
          <w:sz w:val="20"/>
          <w:szCs w:val="20"/>
        </w:rPr>
        <w:t xml:space="preserve">Future minimum </w:t>
      </w:r>
      <w:r>
        <w:rPr>
          <w:rFonts w:ascii="Arial" w:eastAsia="宋体" w:hAnsi="Arial" w:cs="Arial"/>
          <w:color w:val="000000"/>
          <w:sz w:val="20"/>
          <w:szCs w:val="20"/>
        </w:rPr>
        <w:t>lease payments under non-cancellable operating lease liabilities as of December 25, 2021 are as follows:</w:t>
      </w:r>
    </w:p>
    <w:tbl>
      <w:tblPr>
        <w:tblW w:w="4985" w:type="pct"/>
        <w:tblCellMar>
          <w:top w:w="15" w:type="dxa"/>
          <w:left w:w="15" w:type="dxa"/>
          <w:bottom w:w="15" w:type="dxa"/>
          <w:right w:w="15" w:type="dxa"/>
        </w:tblCellMar>
        <w:tblLook w:val="04A0" w:firstRow="1" w:lastRow="0" w:firstColumn="1" w:lastColumn="0" w:noHBand="0" w:noVBand="1"/>
      </w:tblPr>
      <w:tblGrid>
        <w:gridCol w:w="47"/>
        <w:gridCol w:w="6418"/>
        <w:gridCol w:w="37"/>
        <w:gridCol w:w="133"/>
        <w:gridCol w:w="1640"/>
        <w:gridCol w:w="36"/>
      </w:tblGrid>
      <w:tr w:rsidR="0084406A" w14:paraId="5902B384" w14:textId="77777777">
        <w:tc>
          <w:tcPr>
            <w:tcW w:w="50" w:type="pct"/>
            <w:shd w:val="clear" w:color="auto" w:fill="auto"/>
            <w:vAlign w:val="bottom"/>
          </w:tcPr>
          <w:p w14:paraId="5902B37E" w14:textId="77777777" w:rsidR="0084406A" w:rsidRDefault="0084406A">
            <w:pPr>
              <w:rPr>
                <w:rFonts w:ascii="宋体"/>
              </w:rPr>
            </w:pPr>
          </w:p>
        </w:tc>
        <w:tc>
          <w:tcPr>
            <w:tcW w:w="3881" w:type="pct"/>
            <w:shd w:val="clear" w:color="auto" w:fill="auto"/>
            <w:vAlign w:val="bottom"/>
          </w:tcPr>
          <w:p w14:paraId="5902B37F" w14:textId="77777777" w:rsidR="0084406A" w:rsidRDefault="0084406A">
            <w:pPr>
              <w:rPr>
                <w:rFonts w:ascii="宋体"/>
              </w:rPr>
            </w:pPr>
          </w:p>
        </w:tc>
        <w:tc>
          <w:tcPr>
            <w:tcW w:w="5" w:type="pct"/>
            <w:shd w:val="clear" w:color="auto" w:fill="auto"/>
            <w:vAlign w:val="bottom"/>
          </w:tcPr>
          <w:p w14:paraId="5902B380" w14:textId="77777777" w:rsidR="0084406A" w:rsidRDefault="0084406A">
            <w:pPr>
              <w:rPr>
                <w:rFonts w:ascii="宋体"/>
              </w:rPr>
            </w:pPr>
          </w:p>
        </w:tc>
        <w:tc>
          <w:tcPr>
            <w:tcW w:w="50" w:type="pct"/>
            <w:shd w:val="clear" w:color="auto" w:fill="auto"/>
            <w:vAlign w:val="bottom"/>
          </w:tcPr>
          <w:p w14:paraId="5902B381" w14:textId="77777777" w:rsidR="0084406A" w:rsidRDefault="0084406A">
            <w:pPr>
              <w:rPr>
                <w:rFonts w:ascii="宋体"/>
              </w:rPr>
            </w:pPr>
          </w:p>
        </w:tc>
        <w:tc>
          <w:tcPr>
            <w:tcW w:w="1008" w:type="pct"/>
            <w:shd w:val="clear" w:color="auto" w:fill="auto"/>
            <w:vAlign w:val="bottom"/>
          </w:tcPr>
          <w:p w14:paraId="5902B382" w14:textId="77777777" w:rsidR="0084406A" w:rsidRDefault="0084406A">
            <w:pPr>
              <w:rPr>
                <w:rFonts w:ascii="宋体"/>
              </w:rPr>
            </w:pPr>
          </w:p>
        </w:tc>
        <w:tc>
          <w:tcPr>
            <w:tcW w:w="5" w:type="pct"/>
            <w:shd w:val="clear" w:color="auto" w:fill="auto"/>
            <w:vAlign w:val="bottom"/>
          </w:tcPr>
          <w:p w14:paraId="5902B383" w14:textId="77777777" w:rsidR="0084406A" w:rsidRDefault="0084406A">
            <w:pPr>
              <w:rPr>
                <w:rFonts w:ascii="宋体"/>
              </w:rPr>
            </w:pPr>
          </w:p>
        </w:tc>
      </w:tr>
      <w:tr w:rsidR="0084406A" w14:paraId="5902B387" w14:textId="77777777">
        <w:tc>
          <w:tcPr>
            <w:tcW w:w="0" w:type="auto"/>
            <w:gridSpan w:val="3"/>
            <w:shd w:val="clear" w:color="auto" w:fill="auto"/>
            <w:tcMar>
              <w:top w:w="40" w:type="dxa"/>
              <w:left w:w="20" w:type="dxa"/>
              <w:bottom w:w="40" w:type="dxa"/>
              <w:right w:w="20" w:type="dxa"/>
            </w:tcMar>
            <w:vAlign w:val="bottom"/>
          </w:tcPr>
          <w:p w14:paraId="5902B385" w14:textId="77777777" w:rsidR="0084406A" w:rsidRDefault="002B18AF">
            <w:pPr>
              <w:textAlignment w:val="bottom"/>
            </w:pPr>
            <w:r>
              <w:rPr>
                <w:rFonts w:ascii="Arial" w:eastAsia="宋体" w:hAnsi="Arial" w:cs="Arial"/>
                <w:color w:val="000000"/>
                <w:sz w:val="20"/>
                <w:szCs w:val="20"/>
              </w:rPr>
              <w:t>Year</w:t>
            </w:r>
          </w:p>
        </w:tc>
        <w:tc>
          <w:tcPr>
            <w:tcW w:w="0" w:type="auto"/>
            <w:gridSpan w:val="3"/>
            <w:shd w:val="clear" w:color="auto" w:fill="auto"/>
            <w:tcMar>
              <w:top w:w="40" w:type="dxa"/>
              <w:left w:w="20" w:type="dxa"/>
              <w:bottom w:w="40" w:type="dxa"/>
              <w:right w:w="20" w:type="dxa"/>
            </w:tcMar>
            <w:vAlign w:val="bottom"/>
          </w:tcPr>
          <w:p w14:paraId="5902B386"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38C" w14:textId="77777777">
        <w:tc>
          <w:tcPr>
            <w:tcW w:w="0" w:type="auto"/>
            <w:gridSpan w:val="3"/>
            <w:shd w:val="clear" w:color="auto" w:fill="CCEEFF"/>
            <w:tcMar>
              <w:top w:w="40" w:type="dxa"/>
              <w:left w:w="20" w:type="dxa"/>
              <w:bottom w:w="40" w:type="dxa"/>
              <w:right w:w="20" w:type="dxa"/>
            </w:tcMar>
            <w:vAlign w:val="bottom"/>
          </w:tcPr>
          <w:p w14:paraId="5902B388" w14:textId="77777777" w:rsidR="0084406A" w:rsidRDefault="002B18AF">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5902B389"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8A" w14:textId="77777777" w:rsidR="0084406A" w:rsidRDefault="002B18AF">
            <w:pPr>
              <w:jc w:val="right"/>
              <w:textAlignment w:val="bottom"/>
            </w:pPr>
            <w:r>
              <w:rPr>
                <w:rFonts w:ascii="Arial" w:eastAsia="宋体" w:hAnsi="Arial" w:cs="Arial"/>
                <w:color w:val="000000"/>
                <w:sz w:val="20"/>
                <w:szCs w:val="20"/>
              </w:rPr>
              <w:t>89 </w:t>
            </w:r>
          </w:p>
        </w:tc>
        <w:tc>
          <w:tcPr>
            <w:tcW w:w="0" w:type="auto"/>
            <w:shd w:val="clear" w:color="auto" w:fill="CCEEFF"/>
            <w:tcMar>
              <w:top w:w="40" w:type="dxa"/>
              <w:left w:w="0" w:type="dxa"/>
              <w:bottom w:w="40" w:type="dxa"/>
              <w:right w:w="20" w:type="dxa"/>
            </w:tcMar>
            <w:vAlign w:val="bottom"/>
          </w:tcPr>
          <w:p w14:paraId="5902B38B" w14:textId="77777777" w:rsidR="0084406A" w:rsidRDefault="0084406A">
            <w:pPr>
              <w:jc w:val="right"/>
              <w:rPr>
                <w:rFonts w:ascii="宋体"/>
              </w:rPr>
            </w:pPr>
          </w:p>
        </w:tc>
      </w:tr>
      <w:tr w:rsidR="0084406A" w14:paraId="5902B390" w14:textId="77777777">
        <w:tc>
          <w:tcPr>
            <w:tcW w:w="0" w:type="auto"/>
            <w:gridSpan w:val="3"/>
            <w:shd w:val="clear" w:color="auto" w:fill="FFFFFF"/>
            <w:tcMar>
              <w:top w:w="40" w:type="dxa"/>
              <w:left w:w="20" w:type="dxa"/>
              <w:bottom w:w="40" w:type="dxa"/>
              <w:right w:w="20" w:type="dxa"/>
            </w:tcMar>
            <w:vAlign w:val="bottom"/>
          </w:tcPr>
          <w:p w14:paraId="5902B38D" w14:textId="77777777" w:rsidR="0084406A" w:rsidRDefault="002B18AF">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5902B38E" w14:textId="77777777" w:rsidR="0084406A" w:rsidRDefault="002B18AF">
            <w:pPr>
              <w:jc w:val="right"/>
              <w:textAlignment w:val="bottom"/>
            </w:pPr>
            <w:r>
              <w:rPr>
                <w:rFonts w:ascii="Arial" w:eastAsia="宋体" w:hAnsi="Arial" w:cs="Arial"/>
                <w:color w:val="000000"/>
                <w:sz w:val="20"/>
                <w:szCs w:val="20"/>
              </w:rPr>
              <w:t>85 </w:t>
            </w:r>
          </w:p>
        </w:tc>
        <w:tc>
          <w:tcPr>
            <w:tcW w:w="0" w:type="auto"/>
            <w:shd w:val="clear" w:color="auto" w:fill="FFFFFF"/>
            <w:tcMar>
              <w:top w:w="40" w:type="dxa"/>
              <w:left w:w="0" w:type="dxa"/>
              <w:bottom w:w="40" w:type="dxa"/>
              <w:right w:w="20" w:type="dxa"/>
            </w:tcMar>
            <w:vAlign w:val="bottom"/>
          </w:tcPr>
          <w:p w14:paraId="5902B38F" w14:textId="77777777" w:rsidR="0084406A" w:rsidRDefault="0084406A">
            <w:pPr>
              <w:jc w:val="right"/>
              <w:rPr>
                <w:rFonts w:ascii="宋体"/>
              </w:rPr>
            </w:pPr>
          </w:p>
        </w:tc>
      </w:tr>
      <w:tr w:rsidR="0084406A" w14:paraId="5902B394" w14:textId="77777777">
        <w:tc>
          <w:tcPr>
            <w:tcW w:w="0" w:type="auto"/>
            <w:gridSpan w:val="3"/>
            <w:shd w:val="clear" w:color="auto" w:fill="CCEEFF"/>
            <w:tcMar>
              <w:top w:w="40" w:type="dxa"/>
              <w:left w:w="20" w:type="dxa"/>
              <w:bottom w:w="40" w:type="dxa"/>
              <w:right w:w="20" w:type="dxa"/>
            </w:tcMar>
            <w:vAlign w:val="bottom"/>
          </w:tcPr>
          <w:p w14:paraId="5902B391" w14:textId="77777777" w:rsidR="0084406A" w:rsidRDefault="002B18AF">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5902B392" w14:textId="77777777" w:rsidR="0084406A" w:rsidRDefault="002B18AF">
            <w:pPr>
              <w:jc w:val="right"/>
              <w:textAlignment w:val="bottom"/>
            </w:pPr>
            <w:r>
              <w:rPr>
                <w:rFonts w:ascii="Arial" w:eastAsia="宋体" w:hAnsi="Arial" w:cs="Arial"/>
                <w:color w:val="000000"/>
                <w:sz w:val="20"/>
                <w:szCs w:val="20"/>
              </w:rPr>
              <w:t>78 </w:t>
            </w:r>
          </w:p>
        </w:tc>
        <w:tc>
          <w:tcPr>
            <w:tcW w:w="0" w:type="auto"/>
            <w:shd w:val="clear" w:color="auto" w:fill="CCEEFF"/>
            <w:tcMar>
              <w:top w:w="40" w:type="dxa"/>
              <w:left w:w="0" w:type="dxa"/>
              <w:bottom w:w="40" w:type="dxa"/>
              <w:right w:w="20" w:type="dxa"/>
            </w:tcMar>
            <w:vAlign w:val="bottom"/>
          </w:tcPr>
          <w:p w14:paraId="5902B393" w14:textId="77777777" w:rsidR="0084406A" w:rsidRDefault="0084406A">
            <w:pPr>
              <w:jc w:val="right"/>
              <w:rPr>
                <w:rFonts w:ascii="宋体"/>
              </w:rPr>
            </w:pPr>
          </w:p>
        </w:tc>
      </w:tr>
      <w:tr w:rsidR="0084406A" w14:paraId="5902B398" w14:textId="77777777">
        <w:tc>
          <w:tcPr>
            <w:tcW w:w="0" w:type="auto"/>
            <w:gridSpan w:val="3"/>
            <w:shd w:val="clear" w:color="auto" w:fill="FFFFFF"/>
            <w:tcMar>
              <w:top w:w="40" w:type="dxa"/>
              <w:left w:w="20" w:type="dxa"/>
              <w:bottom w:w="40" w:type="dxa"/>
              <w:right w:w="20" w:type="dxa"/>
            </w:tcMar>
            <w:vAlign w:val="bottom"/>
          </w:tcPr>
          <w:p w14:paraId="5902B395" w14:textId="77777777" w:rsidR="0084406A" w:rsidRDefault="002B18AF">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5902B396" w14:textId="77777777" w:rsidR="0084406A" w:rsidRDefault="002B18AF">
            <w:pPr>
              <w:jc w:val="right"/>
              <w:textAlignment w:val="bottom"/>
            </w:pPr>
            <w:r>
              <w:rPr>
                <w:rFonts w:ascii="Arial" w:eastAsia="宋体" w:hAnsi="Arial" w:cs="Arial"/>
                <w:color w:val="000000"/>
                <w:sz w:val="20"/>
                <w:szCs w:val="20"/>
              </w:rPr>
              <w:t>68 </w:t>
            </w:r>
          </w:p>
        </w:tc>
        <w:tc>
          <w:tcPr>
            <w:tcW w:w="0" w:type="auto"/>
            <w:shd w:val="clear" w:color="auto" w:fill="FFFFFF"/>
            <w:tcMar>
              <w:top w:w="40" w:type="dxa"/>
              <w:left w:w="0" w:type="dxa"/>
              <w:bottom w:w="40" w:type="dxa"/>
              <w:right w:w="20" w:type="dxa"/>
            </w:tcMar>
            <w:vAlign w:val="bottom"/>
          </w:tcPr>
          <w:p w14:paraId="5902B397" w14:textId="77777777" w:rsidR="0084406A" w:rsidRDefault="0084406A">
            <w:pPr>
              <w:jc w:val="right"/>
              <w:rPr>
                <w:rFonts w:ascii="宋体"/>
              </w:rPr>
            </w:pPr>
          </w:p>
        </w:tc>
      </w:tr>
      <w:tr w:rsidR="0084406A" w14:paraId="5902B39C" w14:textId="77777777">
        <w:tc>
          <w:tcPr>
            <w:tcW w:w="0" w:type="auto"/>
            <w:gridSpan w:val="3"/>
            <w:shd w:val="clear" w:color="auto" w:fill="CCEEFF"/>
            <w:tcMar>
              <w:top w:w="40" w:type="dxa"/>
              <w:left w:w="20" w:type="dxa"/>
              <w:bottom w:w="40" w:type="dxa"/>
              <w:right w:w="20" w:type="dxa"/>
            </w:tcMar>
            <w:vAlign w:val="bottom"/>
          </w:tcPr>
          <w:p w14:paraId="5902B399" w14:textId="77777777" w:rsidR="0084406A" w:rsidRDefault="002B18AF">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5902B39A" w14:textId="77777777" w:rsidR="0084406A" w:rsidRDefault="002B18AF">
            <w:pPr>
              <w:jc w:val="right"/>
              <w:textAlignment w:val="bottom"/>
            </w:pPr>
            <w:r>
              <w:rPr>
                <w:rFonts w:ascii="Arial" w:eastAsia="宋体" w:hAnsi="Arial" w:cs="Arial"/>
                <w:color w:val="000000"/>
                <w:sz w:val="20"/>
                <w:szCs w:val="20"/>
              </w:rPr>
              <w:t>59 </w:t>
            </w:r>
          </w:p>
        </w:tc>
        <w:tc>
          <w:tcPr>
            <w:tcW w:w="0" w:type="auto"/>
            <w:shd w:val="clear" w:color="auto" w:fill="CCEEFF"/>
            <w:tcMar>
              <w:top w:w="40" w:type="dxa"/>
              <w:left w:w="0" w:type="dxa"/>
              <w:bottom w:w="40" w:type="dxa"/>
              <w:right w:w="20" w:type="dxa"/>
            </w:tcMar>
            <w:vAlign w:val="bottom"/>
          </w:tcPr>
          <w:p w14:paraId="5902B39B" w14:textId="77777777" w:rsidR="0084406A" w:rsidRDefault="0084406A">
            <w:pPr>
              <w:jc w:val="right"/>
              <w:rPr>
                <w:rFonts w:ascii="宋体"/>
              </w:rPr>
            </w:pPr>
          </w:p>
        </w:tc>
      </w:tr>
      <w:tr w:rsidR="0084406A" w14:paraId="5902B3A0" w14:textId="77777777">
        <w:tc>
          <w:tcPr>
            <w:tcW w:w="0" w:type="auto"/>
            <w:gridSpan w:val="3"/>
            <w:shd w:val="clear" w:color="auto" w:fill="FFFFFF"/>
            <w:tcMar>
              <w:top w:w="40" w:type="dxa"/>
              <w:left w:w="20" w:type="dxa"/>
              <w:bottom w:w="40" w:type="dxa"/>
              <w:right w:w="20" w:type="dxa"/>
            </w:tcMar>
            <w:vAlign w:val="bottom"/>
          </w:tcPr>
          <w:p w14:paraId="5902B39D" w14:textId="77777777" w:rsidR="0084406A" w:rsidRDefault="002B18AF">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5902B39E" w14:textId="77777777" w:rsidR="0084406A" w:rsidRDefault="002B18AF">
            <w:pPr>
              <w:jc w:val="right"/>
              <w:textAlignment w:val="bottom"/>
            </w:pPr>
            <w:r>
              <w:rPr>
                <w:rFonts w:ascii="Arial" w:eastAsia="宋体" w:hAnsi="Arial" w:cs="Arial"/>
                <w:color w:val="000000"/>
                <w:sz w:val="20"/>
                <w:szCs w:val="20"/>
              </w:rPr>
              <w:t>92 </w:t>
            </w:r>
          </w:p>
        </w:tc>
        <w:tc>
          <w:tcPr>
            <w:tcW w:w="0" w:type="auto"/>
            <w:shd w:val="clear" w:color="auto" w:fill="FFFFFF"/>
            <w:tcMar>
              <w:top w:w="40" w:type="dxa"/>
              <w:left w:w="0" w:type="dxa"/>
              <w:bottom w:w="40" w:type="dxa"/>
              <w:right w:w="20" w:type="dxa"/>
            </w:tcMar>
            <w:vAlign w:val="bottom"/>
          </w:tcPr>
          <w:p w14:paraId="5902B39F" w14:textId="77777777" w:rsidR="0084406A" w:rsidRDefault="0084406A">
            <w:pPr>
              <w:jc w:val="right"/>
              <w:rPr>
                <w:rFonts w:ascii="宋体"/>
              </w:rPr>
            </w:pPr>
          </w:p>
        </w:tc>
      </w:tr>
      <w:tr w:rsidR="0084406A" w14:paraId="5902B3A4" w14:textId="77777777">
        <w:tc>
          <w:tcPr>
            <w:tcW w:w="0" w:type="auto"/>
            <w:gridSpan w:val="3"/>
            <w:shd w:val="clear" w:color="auto" w:fill="CCEEFF"/>
            <w:tcMar>
              <w:top w:w="40" w:type="dxa"/>
              <w:left w:w="20" w:type="dxa"/>
              <w:bottom w:w="40" w:type="dxa"/>
              <w:right w:w="20" w:type="dxa"/>
            </w:tcMar>
            <w:vAlign w:val="bottom"/>
          </w:tcPr>
          <w:p w14:paraId="5902B3A1" w14:textId="77777777" w:rsidR="0084406A" w:rsidRDefault="002B18AF">
            <w:pPr>
              <w:textAlignment w:val="bottom"/>
            </w:pPr>
            <w:r>
              <w:rPr>
                <w:rFonts w:ascii="Arial" w:eastAsia="宋体" w:hAnsi="Arial" w:cs="Arial"/>
                <w:color w:val="000000"/>
                <w:sz w:val="20"/>
                <w:szCs w:val="20"/>
              </w:rPr>
              <w:t xml:space="preserve">        Total minimum lease </w:t>
            </w:r>
            <w:r>
              <w:rPr>
                <w:rFonts w:ascii="Arial" w:eastAsia="宋体" w:hAnsi="Arial" w:cs="Arial"/>
                <w:color w:val="000000"/>
                <w:sz w:val="20"/>
                <w:szCs w:val="20"/>
              </w:rPr>
              <w:t>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B3A2" w14:textId="77777777" w:rsidR="0084406A" w:rsidRDefault="002B18AF">
            <w:pPr>
              <w:jc w:val="right"/>
              <w:textAlignment w:val="bottom"/>
            </w:pPr>
            <w:r>
              <w:rPr>
                <w:rFonts w:ascii="Arial" w:eastAsia="宋体" w:hAnsi="Arial" w:cs="Arial"/>
                <w:color w:val="000000"/>
                <w:sz w:val="20"/>
                <w:szCs w:val="20"/>
              </w:rPr>
              <w:t>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B3A3" w14:textId="77777777" w:rsidR="0084406A" w:rsidRDefault="0084406A">
            <w:pPr>
              <w:jc w:val="right"/>
              <w:rPr>
                <w:rFonts w:ascii="宋体"/>
              </w:rPr>
            </w:pPr>
          </w:p>
        </w:tc>
      </w:tr>
      <w:tr w:rsidR="0084406A" w14:paraId="5902B3A8" w14:textId="77777777">
        <w:tc>
          <w:tcPr>
            <w:tcW w:w="0" w:type="auto"/>
            <w:gridSpan w:val="3"/>
            <w:shd w:val="clear" w:color="auto" w:fill="FFFFFF"/>
            <w:tcMar>
              <w:top w:w="40" w:type="dxa"/>
              <w:left w:w="20" w:type="dxa"/>
              <w:bottom w:w="40" w:type="dxa"/>
              <w:right w:w="20" w:type="dxa"/>
            </w:tcMar>
            <w:vAlign w:val="bottom"/>
          </w:tcPr>
          <w:p w14:paraId="5902B3A5" w14:textId="77777777" w:rsidR="0084406A" w:rsidRDefault="002B18AF">
            <w:pPr>
              <w:textAlignment w:val="bottom"/>
            </w:pPr>
            <w:r>
              <w:rPr>
                <w:rFonts w:ascii="Arial" w:eastAsia="宋体" w:hAnsi="Arial" w:cs="Arial"/>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5902B3A6" w14:textId="77777777" w:rsidR="0084406A" w:rsidRDefault="002B18AF">
            <w:pPr>
              <w:jc w:val="right"/>
              <w:textAlignment w:val="bottom"/>
            </w:pPr>
            <w:r>
              <w:rPr>
                <w:rFonts w:ascii="Arial" w:eastAsia="宋体" w:hAnsi="Arial" w:cs="Arial"/>
                <w:color w:val="000000"/>
                <w:sz w:val="20"/>
                <w:szCs w:val="20"/>
              </w:rPr>
              <w:t>(52)</w:t>
            </w:r>
          </w:p>
        </w:tc>
        <w:tc>
          <w:tcPr>
            <w:tcW w:w="0" w:type="auto"/>
            <w:shd w:val="clear" w:color="auto" w:fill="FFFFFF"/>
            <w:tcMar>
              <w:top w:w="40" w:type="dxa"/>
              <w:left w:w="0" w:type="dxa"/>
              <w:bottom w:w="40" w:type="dxa"/>
              <w:right w:w="20" w:type="dxa"/>
            </w:tcMar>
            <w:vAlign w:val="bottom"/>
          </w:tcPr>
          <w:p w14:paraId="5902B3A7" w14:textId="77777777" w:rsidR="0084406A" w:rsidRDefault="0084406A">
            <w:pPr>
              <w:jc w:val="right"/>
              <w:rPr>
                <w:rFonts w:ascii="宋体"/>
              </w:rPr>
            </w:pPr>
          </w:p>
        </w:tc>
      </w:tr>
      <w:tr w:rsidR="0084406A" w14:paraId="5902B3AC" w14:textId="77777777">
        <w:tc>
          <w:tcPr>
            <w:tcW w:w="0" w:type="auto"/>
            <w:gridSpan w:val="3"/>
            <w:shd w:val="clear" w:color="auto" w:fill="CCEEFF"/>
            <w:tcMar>
              <w:top w:w="40" w:type="dxa"/>
              <w:left w:w="20" w:type="dxa"/>
              <w:bottom w:w="40" w:type="dxa"/>
              <w:right w:w="20" w:type="dxa"/>
            </w:tcMar>
            <w:vAlign w:val="bottom"/>
          </w:tcPr>
          <w:p w14:paraId="5902B3A9" w14:textId="77777777" w:rsidR="0084406A" w:rsidRDefault="002B18AF">
            <w:pPr>
              <w:textAlignment w:val="bottom"/>
            </w:pPr>
            <w:r>
              <w:rPr>
                <w:rFonts w:ascii="Arial" w:eastAsia="宋体" w:hAnsi="Arial" w:cs="Arial"/>
                <w:color w:val="000000"/>
                <w:sz w:val="20"/>
                <w:szCs w:val="20"/>
              </w:rPr>
              <w:t>        Present value of net minimum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902B3AA" w14:textId="77777777" w:rsidR="0084406A" w:rsidRDefault="002B18AF">
            <w:pPr>
              <w:jc w:val="right"/>
              <w:textAlignment w:val="bottom"/>
            </w:pPr>
            <w:r>
              <w:rPr>
                <w:rFonts w:ascii="Arial" w:eastAsia="宋体" w:hAnsi="Arial" w:cs="Arial"/>
                <w:color w:val="000000"/>
                <w:sz w:val="20"/>
                <w:szCs w:val="20"/>
              </w:rPr>
              <w:t>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902B3AB" w14:textId="77777777" w:rsidR="0084406A" w:rsidRDefault="0084406A">
            <w:pPr>
              <w:jc w:val="right"/>
              <w:rPr>
                <w:rFonts w:ascii="宋体"/>
              </w:rPr>
            </w:pPr>
          </w:p>
        </w:tc>
      </w:tr>
      <w:tr w:rsidR="0084406A" w14:paraId="5902B3B0" w14:textId="77777777">
        <w:tc>
          <w:tcPr>
            <w:tcW w:w="0" w:type="auto"/>
            <w:gridSpan w:val="3"/>
            <w:shd w:val="clear" w:color="auto" w:fill="FFFFFF"/>
            <w:tcMar>
              <w:top w:w="40" w:type="dxa"/>
              <w:left w:w="20" w:type="dxa"/>
              <w:bottom w:w="40" w:type="dxa"/>
              <w:right w:w="20" w:type="dxa"/>
            </w:tcMar>
            <w:vAlign w:val="bottom"/>
          </w:tcPr>
          <w:p w14:paraId="5902B3AD" w14:textId="77777777" w:rsidR="0084406A" w:rsidRDefault="002B18AF">
            <w:pPr>
              <w:textAlignment w:val="bottom"/>
            </w:pPr>
            <w:r>
              <w:rPr>
                <w:rFonts w:ascii="Arial" w:eastAsia="宋体" w:hAnsi="Arial" w:cs="Arial"/>
                <w:color w:val="000000"/>
                <w:sz w:val="20"/>
                <w:szCs w:val="20"/>
              </w:rPr>
              <w:t>Less: current portion</w:t>
            </w:r>
          </w:p>
        </w:tc>
        <w:tc>
          <w:tcPr>
            <w:tcW w:w="0" w:type="auto"/>
            <w:gridSpan w:val="2"/>
            <w:shd w:val="clear" w:color="auto" w:fill="FFFFFF"/>
            <w:tcMar>
              <w:top w:w="40" w:type="dxa"/>
              <w:left w:w="20" w:type="dxa"/>
              <w:bottom w:w="40" w:type="dxa"/>
              <w:right w:w="0" w:type="dxa"/>
            </w:tcMar>
            <w:vAlign w:val="bottom"/>
          </w:tcPr>
          <w:p w14:paraId="5902B3AE" w14:textId="77777777" w:rsidR="0084406A" w:rsidRDefault="002B18AF">
            <w:pPr>
              <w:jc w:val="right"/>
              <w:textAlignment w:val="bottom"/>
            </w:pPr>
            <w:r>
              <w:rPr>
                <w:rFonts w:ascii="Arial" w:eastAsia="宋体" w:hAnsi="Arial" w:cs="Arial"/>
                <w:color w:val="000000"/>
                <w:sz w:val="20"/>
                <w:szCs w:val="20"/>
              </w:rPr>
              <w:t>(71)</w:t>
            </w:r>
          </w:p>
        </w:tc>
        <w:tc>
          <w:tcPr>
            <w:tcW w:w="0" w:type="auto"/>
            <w:shd w:val="clear" w:color="auto" w:fill="FFFFFF"/>
            <w:tcMar>
              <w:top w:w="40" w:type="dxa"/>
              <w:left w:w="0" w:type="dxa"/>
              <w:bottom w:w="40" w:type="dxa"/>
              <w:right w:w="20" w:type="dxa"/>
            </w:tcMar>
            <w:vAlign w:val="bottom"/>
          </w:tcPr>
          <w:p w14:paraId="5902B3AF" w14:textId="77777777" w:rsidR="0084406A" w:rsidRDefault="0084406A">
            <w:pPr>
              <w:jc w:val="right"/>
              <w:rPr>
                <w:rFonts w:ascii="宋体"/>
              </w:rPr>
            </w:pPr>
          </w:p>
        </w:tc>
      </w:tr>
      <w:tr w:rsidR="0084406A" w14:paraId="5902B3B5" w14:textId="77777777">
        <w:tc>
          <w:tcPr>
            <w:tcW w:w="0" w:type="auto"/>
            <w:gridSpan w:val="3"/>
            <w:shd w:val="clear" w:color="auto" w:fill="CCEEFF"/>
            <w:tcMar>
              <w:top w:w="40" w:type="dxa"/>
              <w:left w:w="20" w:type="dxa"/>
              <w:bottom w:w="40" w:type="dxa"/>
              <w:right w:w="20" w:type="dxa"/>
            </w:tcMar>
            <w:vAlign w:val="bottom"/>
          </w:tcPr>
          <w:p w14:paraId="5902B3B1" w14:textId="77777777" w:rsidR="0084406A" w:rsidRDefault="002B18AF">
            <w:pPr>
              <w:textAlignment w:val="bottom"/>
            </w:pPr>
            <w:r>
              <w:rPr>
                <w:rFonts w:ascii="Arial" w:eastAsia="宋体" w:hAnsi="Arial" w:cs="Arial"/>
                <w:color w:val="000000"/>
                <w:sz w:val="20"/>
                <w:szCs w:val="20"/>
              </w:rPr>
              <w:t>        Total long-term operating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3B2"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3B3" w14:textId="77777777" w:rsidR="0084406A" w:rsidRDefault="002B18AF">
            <w:pPr>
              <w:jc w:val="right"/>
              <w:textAlignment w:val="bottom"/>
            </w:pPr>
            <w:r>
              <w:rPr>
                <w:rFonts w:ascii="Arial" w:eastAsia="宋体" w:hAnsi="Arial" w:cs="Arial"/>
                <w:color w:val="000000"/>
                <w:sz w:val="20"/>
                <w:szCs w:val="20"/>
              </w:rPr>
              <w:t>348 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3B4" w14:textId="77777777" w:rsidR="0084406A" w:rsidRDefault="0084406A">
            <w:pPr>
              <w:jc w:val="right"/>
              <w:rPr>
                <w:rFonts w:ascii="宋体"/>
              </w:rPr>
            </w:pPr>
          </w:p>
        </w:tc>
      </w:tr>
    </w:tbl>
    <w:p w14:paraId="5902B3B6" w14:textId="77777777" w:rsidR="0084406A" w:rsidRDefault="002B18AF">
      <w:pPr>
        <w:spacing w:before="180"/>
        <w:jc w:val="both"/>
      </w:pPr>
      <w:r>
        <w:rPr>
          <w:rFonts w:ascii="Arial" w:eastAsia="宋体" w:hAnsi="Arial" w:cs="Arial"/>
          <w:color w:val="000000"/>
          <w:sz w:val="20"/>
          <w:szCs w:val="20"/>
        </w:rPr>
        <w:t xml:space="preserve">Certain other operating leases contain provisions for escalating lease payments subject to changes in the consumer price index. </w:t>
      </w:r>
    </w:p>
    <w:p w14:paraId="5902B3B7" w14:textId="77777777" w:rsidR="0084406A" w:rsidRDefault="002B18AF">
      <w:pPr>
        <w:spacing w:before="180"/>
        <w:jc w:val="both"/>
      </w:pPr>
      <w:r>
        <w:rPr>
          <w:rFonts w:ascii="Arial" w:eastAsia="宋体" w:hAnsi="Arial" w:cs="Arial"/>
          <w:b/>
          <w:bCs/>
          <w:i/>
          <w:iCs/>
          <w:color w:val="000000"/>
          <w:sz w:val="20"/>
          <w:szCs w:val="20"/>
        </w:rPr>
        <w:t>Commitments</w:t>
      </w:r>
    </w:p>
    <w:p w14:paraId="5902B3B8" w14:textId="77777777" w:rsidR="0084406A" w:rsidRDefault="002B18AF">
      <w:pPr>
        <w:spacing w:before="180"/>
        <w:jc w:val="both"/>
      </w:pPr>
      <w:r>
        <w:rPr>
          <w:rFonts w:ascii="Arial" w:eastAsia="宋体" w:hAnsi="Arial" w:cs="Arial"/>
          <w:color w:val="000000"/>
          <w:sz w:val="20"/>
          <w:szCs w:val="20"/>
        </w:rPr>
        <w:t>The Company’s purchase commitments primarily include the Company’s obligations to purchase wafers and substrates fr</w:t>
      </w:r>
      <w:r>
        <w:rPr>
          <w:rFonts w:ascii="Arial" w:eastAsia="宋体" w:hAnsi="Arial" w:cs="Arial"/>
          <w:color w:val="000000"/>
          <w:sz w:val="20"/>
          <w:szCs w:val="20"/>
        </w:rPr>
        <w:t xml:space="preserve">om third parties and future payments related to certain software and technology licenses and IP licenses. </w:t>
      </w:r>
    </w:p>
    <w:p w14:paraId="5902B3B9" w14:textId="77777777" w:rsidR="0084406A" w:rsidRDefault="002B18AF">
      <w:pPr>
        <w:jc w:val="center"/>
      </w:pPr>
      <w:r>
        <w:rPr>
          <w:rFonts w:ascii="Arial" w:eastAsia="宋体" w:hAnsi="Arial" w:cs="Arial"/>
          <w:color w:val="000000"/>
          <w:sz w:val="20"/>
          <w:szCs w:val="20"/>
        </w:rPr>
        <w:t>75</w:t>
      </w:r>
    </w:p>
    <w:p w14:paraId="5902B3BA" w14:textId="77777777" w:rsidR="0084406A" w:rsidRDefault="002B18AF">
      <w:r>
        <w:pict w14:anchorId="5902BB41">
          <v:rect id="_x0000_i1102" style="width:415.3pt;height:1.5pt" o:hralign="center" o:hrstd="t" o:hr="t" fillcolor="#a0a0a0" stroked="f"/>
        </w:pict>
      </w:r>
    </w:p>
    <w:p w14:paraId="5902B3BB" w14:textId="77777777" w:rsidR="0084406A" w:rsidRDefault="0084406A"/>
    <w:p w14:paraId="5902B3BC" w14:textId="77777777" w:rsidR="0084406A" w:rsidRDefault="002B18AF">
      <w:pPr>
        <w:spacing w:before="180"/>
        <w:jc w:val="both"/>
      </w:pPr>
      <w:r>
        <w:rPr>
          <w:rFonts w:ascii="Arial" w:eastAsia="宋体" w:hAnsi="Arial" w:cs="Arial"/>
          <w:color w:val="000000"/>
          <w:sz w:val="20"/>
          <w:szCs w:val="20"/>
        </w:rPr>
        <w:t>Total future unconditional purchase commitments as of December 25, 2021 were as follows:</w:t>
      </w:r>
    </w:p>
    <w:tbl>
      <w:tblPr>
        <w:tblW w:w="4993" w:type="pct"/>
        <w:tblCellMar>
          <w:top w:w="15" w:type="dxa"/>
          <w:left w:w="15" w:type="dxa"/>
          <w:bottom w:w="15" w:type="dxa"/>
          <w:right w:w="15" w:type="dxa"/>
        </w:tblCellMar>
        <w:tblLook w:val="04A0" w:firstRow="1" w:lastRow="0" w:firstColumn="1" w:lastColumn="0" w:noHBand="0" w:noVBand="1"/>
      </w:tblPr>
      <w:tblGrid>
        <w:gridCol w:w="47"/>
        <w:gridCol w:w="6553"/>
        <w:gridCol w:w="37"/>
        <w:gridCol w:w="133"/>
        <w:gridCol w:w="1518"/>
        <w:gridCol w:w="36"/>
      </w:tblGrid>
      <w:tr w:rsidR="0084406A" w14:paraId="5902B3C3" w14:textId="77777777">
        <w:tc>
          <w:tcPr>
            <w:tcW w:w="50" w:type="pct"/>
            <w:shd w:val="clear" w:color="auto" w:fill="auto"/>
            <w:vAlign w:val="bottom"/>
          </w:tcPr>
          <w:p w14:paraId="5902B3BD" w14:textId="77777777" w:rsidR="0084406A" w:rsidRDefault="0084406A">
            <w:pPr>
              <w:rPr>
                <w:rFonts w:ascii="宋体"/>
              </w:rPr>
            </w:pPr>
          </w:p>
        </w:tc>
        <w:tc>
          <w:tcPr>
            <w:tcW w:w="3956" w:type="pct"/>
            <w:shd w:val="clear" w:color="auto" w:fill="auto"/>
            <w:vAlign w:val="bottom"/>
          </w:tcPr>
          <w:p w14:paraId="5902B3BE" w14:textId="77777777" w:rsidR="0084406A" w:rsidRDefault="0084406A">
            <w:pPr>
              <w:rPr>
                <w:rFonts w:ascii="宋体"/>
              </w:rPr>
            </w:pPr>
          </w:p>
        </w:tc>
        <w:tc>
          <w:tcPr>
            <w:tcW w:w="5" w:type="pct"/>
            <w:shd w:val="clear" w:color="auto" w:fill="auto"/>
            <w:vAlign w:val="bottom"/>
          </w:tcPr>
          <w:p w14:paraId="5902B3BF" w14:textId="77777777" w:rsidR="0084406A" w:rsidRDefault="0084406A">
            <w:pPr>
              <w:rPr>
                <w:rFonts w:ascii="宋体"/>
              </w:rPr>
            </w:pPr>
          </w:p>
        </w:tc>
        <w:tc>
          <w:tcPr>
            <w:tcW w:w="50" w:type="pct"/>
            <w:shd w:val="clear" w:color="auto" w:fill="auto"/>
            <w:vAlign w:val="bottom"/>
          </w:tcPr>
          <w:p w14:paraId="5902B3C0" w14:textId="77777777" w:rsidR="0084406A" w:rsidRDefault="0084406A">
            <w:pPr>
              <w:rPr>
                <w:rFonts w:ascii="宋体"/>
              </w:rPr>
            </w:pPr>
          </w:p>
        </w:tc>
        <w:tc>
          <w:tcPr>
            <w:tcW w:w="933" w:type="pct"/>
            <w:shd w:val="clear" w:color="auto" w:fill="auto"/>
            <w:vAlign w:val="bottom"/>
          </w:tcPr>
          <w:p w14:paraId="5902B3C1" w14:textId="77777777" w:rsidR="0084406A" w:rsidRDefault="0084406A">
            <w:pPr>
              <w:rPr>
                <w:rFonts w:ascii="宋体"/>
              </w:rPr>
            </w:pPr>
          </w:p>
        </w:tc>
        <w:tc>
          <w:tcPr>
            <w:tcW w:w="5" w:type="pct"/>
            <w:shd w:val="clear" w:color="auto" w:fill="auto"/>
            <w:vAlign w:val="bottom"/>
          </w:tcPr>
          <w:p w14:paraId="5902B3C2" w14:textId="77777777" w:rsidR="0084406A" w:rsidRDefault="0084406A">
            <w:pPr>
              <w:rPr>
                <w:rFonts w:ascii="宋体"/>
              </w:rPr>
            </w:pPr>
          </w:p>
        </w:tc>
      </w:tr>
      <w:tr w:rsidR="0084406A" w14:paraId="5902B3C6" w14:textId="77777777">
        <w:tc>
          <w:tcPr>
            <w:tcW w:w="0" w:type="auto"/>
            <w:gridSpan w:val="3"/>
            <w:shd w:val="clear" w:color="auto" w:fill="auto"/>
            <w:tcMar>
              <w:top w:w="40" w:type="dxa"/>
              <w:left w:w="20" w:type="dxa"/>
              <w:bottom w:w="40" w:type="dxa"/>
              <w:right w:w="20" w:type="dxa"/>
            </w:tcMar>
            <w:vAlign w:val="bottom"/>
          </w:tcPr>
          <w:p w14:paraId="5902B3C4" w14:textId="77777777" w:rsidR="0084406A" w:rsidRDefault="002B18AF">
            <w:pPr>
              <w:textAlignment w:val="bottom"/>
            </w:pPr>
            <w:r>
              <w:rPr>
                <w:rFonts w:ascii="Arial" w:eastAsia="宋体" w:hAnsi="Arial" w:cs="Arial"/>
                <w:color w:val="000000"/>
                <w:sz w:val="20"/>
                <w:szCs w:val="20"/>
              </w:rPr>
              <w:t> Year</w:t>
            </w:r>
          </w:p>
        </w:tc>
        <w:tc>
          <w:tcPr>
            <w:tcW w:w="0" w:type="auto"/>
            <w:gridSpan w:val="3"/>
            <w:shd w:val="clear" w:color="auto" w:fill="auto"/>
            <w:tcMar>
              <w:top w:w="40" w:type="dxa"/>
              <w:left w:w="20" w:type="dxa"/>
              <w:bottom w:w="40" w:type="dxa"/>
              <w:right w:w="20" w:type="dxa"/>
            </w:tcMar>
            <w:vAlign w:val="bottom"/>
          </w:tcPr>
          <w:p w14:paraId="5902B3C5"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3CB" w14:textId="77777777">
        <w:tc>
          <w:tcPr>
            <w:tcW w:w="0" w:type="auto"/>
            <w:gridSpan w:val="3"/>
            <w:shd w:val="clear" w:color="auto" w:fill="CCEEFF"/>
            <w:tcMar>
              <w:top w:w="40" w:type="dxa"/>
              <w:left w:w="20" w:type="dxa"/>
              <w:bottom w:w="40" w:type="dxa"/>
              <w:right w:w="20" w:type="dxa"/>
            </w:tcMar>
            <w:vAlign w:val="bottom"/>
          </w:tcPr>
          <w:p w14:paraId="5902B3C7" w14:textId="77777777" w:rsidR="0084406A" w:rsidRDefault="002B18AF">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5902B3C8"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C9" w14:textId="77777777" w:rsidR="0084406A" w:rsidRDefault="002B18AF">
            <w:pPr>
              <w:jc w:val="right"/>
              <w:textAlignment w:val="bottom"/>
            </w:pPr>
            <w:r>
              <w:rPr>
                <w:rFonts w:ascii="Arial" w:eastAsia="宋体" w:hAnsi="Arial" w:cs="Arial"/>
                <w:color w:val="000000"/>
                <w:sz w:val="20"/>
                <w:szCs w:val="20"/>
              </w:rPr>
              <w:t>5,765 </w:t>
            </w:r>
          </w:p>
        </w:tc>
        <w:tc>
          <w:tcPr>
            <w:tcW w:w="0" w:type="auto"/>
            <w:shd w:val="clear" w:color="auto" w:fill="CCEEFF"/>
            <w:tcMar>
              <w:top w:w="40" w:type="dxa"/>
              <w:left w:w="0" w:type="dxa"/>
              <w:bottom w:w="40" w:type="dxa"/>
              <w:right w:w="20" w:type="dxa"/>
            </w:tcMar>
            <w:vAlign w:val="bottom"/>
          </w:tcPr>
          <w:p w14:paraId="5902B3CA" w14:textId="77777777" w:rsidR="0084406A" w:rsidRDefault="0084406A">
            <w:pPr>
              <w:jc w:val="right"/>
              <w:rPr>
                <w:rFonts w:ascii="宋体"/>
              </w:rPr>
            </w:pPr>
          </w:p>
        </w:tc>
      </w:tr>
      <w:tr w:rsidR="0084406A" w14:paraId="5902B3CF" w14:textId="77777777">
        <w:tc>
          <w:tcPr>
            <w:tcW w:w="0" w:type="auto"/>
            <w:gridSpan w:val="3"/>
            <w:shd w:val="clear" w:color="auto" w:fill="FFFFFF"/>
            <w:tcMar>
              <w:top w:w="40" w:type="dxa"/>
              <w:left w:w="20" w:type="dxa"/>
              <w:bottom w:w="40" w:type="dxa"/>
              <w:right w:w="20" w:type="dxa"/>
            </w:tcMar>
            <w:vAlign w:val="bottom"/>
          </w:tcPr>
          <w:p w14:paraId="5902B3CC" w14:textId="77777777" w:rsidR="0084406A" w:rsidRDefault="002B18AF">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5902B3CD" w14:textId="77777777" w:rsidR="0084406A" w:rsidRDefault="002B18AF">
            <w:pPr>
              <w:jc w:val="right"/>
              <w:textAlignment w:val="bottom"/>
            </w:pPr>
            <w:r>
              <w:rPr>
                <w:rFonts w:ascii="Arial" w:eastAsia="宋体" w:hAnsi="Arial" w:cs="Arial"/>
                <w:color w:val="000000"/>
                <w:sz w:val="20"/>
                <w:szCs w:val="20"/>
              </w:rPr>
              <w:t>1,658 </w:t>
            </w:r>
          </w:p>
        </w:tc>
        <w:tc>
          <w:tcPr>
            <w:tcW w:w="0" w:type="auto"/>
            <w:shd w:val="clear" w:color="auto" w:fill="FFFFFF"/>
            <w:tcMar>
              <w:top w:w="40" w:type="dxa"/>
              <w:left w:w="0" w:type="dxa"/>
              <w:bottom w:w="40" w:type="dxa"/>
              <w:right w:w="20" w:type="dxa"/>
            </w:tcMar>
            <w:vAlign w:val="bottom"/>
          </w:tcPr>
          <w:p w14:paraId="5902B3CE" w14:textId="77777777" w:rsidR="0084406A" w:rsidRDefault="0084406A">
            <w:pPr>
              <w:jc w:val="right"/>
              <w:rPr>
                <w:rFonts w:ascii="宋体"/>
              </w:rPr>
            </w:pPr>
          </w:p>
        </w:tc>
      </w:tr>
      <w:tr w:rsidR="0084406A" w14:paraId="5902B3D3" w14:textId="77777777">
        <w:tc>
          <w:tcPr>
            <w:tcW w:w="0" w:type="auto"/>
            <w:gridSpan w:val="3"/>
            <w:shd w:val="clear" w:color="auto" w:fill="CCEEFF"/>
            <w:tcMar>
              <w:top w:w="40" w:type="dxa"/>
              <w:left w:w="20" w:type="dxa"/>
              <w:bottom w:w="40" w:type="dxa"/>
              <w:right w:w="20" w:type="dxa"/>
            </w:tcMar>
            <w:vAlign w:val="bottom"/>
          </w:tcPr>
          <w:p w14:paraId="5902B3D0" w14:textId="77777777" w:rsidR="0084406A" w:rsidRDefault="002B18AF">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5902B3D1" w14:textId="77777777" w:rsidR="0084406A" w:rsidRDefault="002B18AF">
            <w:pPr>
              <w:jc w:val="right"/>
              <w:textAlignment w:val="bottom"/>
            </w:pPr>
            <w:r>
              <w:rPr>
                <w:rFonts w:ascii="Arial" w:eastAsia="宋体" w:hAnsi="Arial" w:cs="Arial"/>
                <w:color w:val="000000"/>
                <w:sz w:val="20"/>
                <w:szCs w:val="20"/>
              </w:rPr>
              <w:t>755 </w:t>
            </w:r>
          </w:p>
        </w:tc>
        <w:tc>
          <w:tcPr>
            <w:tcW w:w="0" w:type="auto"/>
            <w:shd w:val="clear" w:color="auto" w:fill="CCEEFF"/>
            <w:tcMar>
              <w:top w:w="40" w:type="dxa"/>
              <w:left w:w="0" w:type="dxa"/>
              <w:bottom w:w="40" w:type="dxa"/>
              <w:right w:w="20" w:type="dxa"/>
            </w:tcMar>
            <w:vAlign w:val="bottom"/>
          </w:tcPr>
          <w:p w14:paraId="5902B3D2" w14:textId="77777777" w:rsidR="0084406A" w:rsidRDefault="0084406A">
            <w:pPr>
              <w:jc w:val="right"/>
              <w:rPr>
                <w:rFonts w:ascii="宋体"/>
              </w:rPr>
            </w:pPr>
          </w:p>
        </w:tc>
      </w:tr>
      <w:tr w:rsidR="0084406A" w14:paraId="5902B3D7" w14:textId="77777777">
        <w:tc>
          <w:tcPr>
            <w:tcW w:w="0" w:type="auto"/>
            <w:gridSpan w:val="3"/>
            <w:shd w:val="clear" w:color="auto" w:fill="FFFFFF"/>
            <w:tcMar>
              <w:top w:w="40" w:type="dxa"/>
              <w:left w:w="20" w:type="dxa"/>
              <w:bottom w:w="40" w:type="dxa"/>
              <w:right w:w="20" w:type="dxa"/>
            </w:tcMar>
            <w:vAlign w:val="bottom"/>
          </w:tcPr>
          <w:p w14:paraId="5902B3D4" w14:textId="77777777" w:rsidR="0084406A" w:rsidRDefault="002B18AF">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5902B3D5" w14:textId="77777777" w:rsidR="0084406A" w:rsidRDefault="002B18AF">
            <w:pPr>
              <w:jc w:val="right"/>
              <w:textAlignment w:val="bottom"/>
            </w:pPr>
            <w:r>
              <w:rPr>
                <w:rFonts w:ascii="Arial" w:eastAsia="宋体" w:hAnsi="Arial" w:cs="Arial"/>
                <w:color w:val="000000"/>
                <w:sz w:val="20"/>
                <w:szCs w:val="20"/>
              </w:rPr>
              <w:t>329 </w:t>
            </w:r>
          </w:p>
        </w:tc>
        <w:tc>
          <w:tcPr>
            <w:tcW w:w="0" w:type="auto"/>
            <w:shd w:val="clear" w:color="auto" w:fill="FFFFFF"/>
            <w:tcMar>
              <w:top w:w="40" w:type="dxa"/>
              <w:left w:w="0" w:type="dxa"/>
              <w:bottom w:w="40" w:type="dxa"/>
              <w:right w:w="20" w:type="dxa"/>
            </w:tcMar>
            <w:vAlign w:val="bottom"/>
          </w:tcPr>
          <w:p w14:paraId="5902B3D6" w14:textId="77777777" w:rsidR="0084406A" w:rsidRDefault="0084406A">
            <w:pPr>
              <w:jc w:val="right"/>
              <w:rPr>
                <w:rFonts w:ascii="宋体"/>
              </w:rPr>
            </w:pPr>
          </w:p>
        </w:tc>
      </w:tr>
      <w:tr w:rsidR="0084406A" w14:paraId="5902B3DB" w14:textId="77777777">
        <w:tc>
          <w:tcPr>
            <w:tcW w:w="0" w:type="auto"/>
            <w:gridSpan w:val="3"/>
            <w:shd w:val="clear" w:color="auto" w:fill="CCEEFF"/>
            <w:tcMar>
              <w:top w:w="40" w:type="dxa"/>
              <w:left w:w="20" w:type="dxa"/>
              <w:bottom w:w="40" w:type="dxa"/>
              <w:right w:w="20" w:type="dxa"/>
            </w:tcMar>
            <w:vAlign w:val="bottom"/>
          </w:tcPr>
          <w:p w14:paraId="5902B3D8" w14:textId="77777777" w:rsidR="0084406A" w:rsidRDefault="002B18AF">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5902B3D9" w14:textId="77777777" w:rsidR="0084406A" w:rsidRDefault="002B18AF">
            <w:pPr>
              <w:jc w:val="right"/>
              <w:textAlignment w:val="bottom"/>
            </w:pPr>
            <w:r>
              <w:rPr>
                <w:rFonts w:ascii="Arial" w:eastAsia="宋体" w:hAnsi="Arial" w:cs="Arial"/>
                <w:color w:val="000000"/>
                <w:sz w:val="20"/>
                <w:szCs w:val="20"/>
              </w:rPr>
              <w:t>176 </w:t>
            </w:r>
          </w:p>
        </w:tc>
        <w:tc>
          <w:tcPr>
            <w:tcW w:w="0" w:type="auto"/>
            <w:shd w:val="clear" w:color="auto" w:fill="CCEEFF"/>
            <w:tcMar>
              <w:top w:w="40" w:type="dxa"/>
              <w:left w:w="0" w:type="dxa"/>
              <w:bottom w:w="40" w:type="dxa"/>
              <w:right w:w="20" w:type="dxa"/>
            </w:tcMar>
            <w:vAlign w:val="bottom"/>
          </w:tcPr>
          <w:p w14:paraId="5902B3DA" w14:textId="77777777" w:rsidR="0084406A" w:rsidRDefault="0084406A">
            <w:pPr>
              <w:jc w:val="right"/>
              <w:rPr>
                <w:rFonts w:ascii="宋体"/>
              </w:rPr>
            </w:pPr>
          </w:p>
        </w:tc>
      </w:tr>
      <w:tr w:rsidR="0084406A" w14:paraId="5902B3DF" w14:textId="77777777">
        <w:tc>
          <w:tcPr>
            <w:tcW w:w="0" w:type="auto"/>
            <w:gridSpan w:val="3"/>
            <w:shd w:val="clear" w:color="auto" w:fill="FFFFFF"/>
            <w:tcMar>
              <w:top w:w="40" w:type="dxa"/>
              <w:left w:w="20" w:type="dxa"/>
              <w:bottom w:w="40" w:type="dxa"/>
              <w:right w:w="20" w:type="dxa"/>
            </w:tcMar>
            <w:vAlign w:val="bottom"/>
          </w:tcPr>
          <w:p w14:paraId="5902B3DC" w14:textId="77777777" w:rsidR="0084406A" w:rsidRDefault="002B18AF">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5902B3DD" w14:textId="77777777" w:rsidR="0084406A" w:rsidRDefault="002B18AF">
            <w:pPr>
              <w:jc w:val="right"/>
              <w:textAlignment w:val="bottom"/>
            </w:pPr>
            <w:r>
              <w:rPr>
                <w:rFonts w:ascii="Arial" w:eastAsia="宋体" w:hAnsi="Arial" w:cs="Arial"/>
                <w:color w:val="000000"/>
                <w:sz w:val="20"/>
                <w:szCs w:val="20"/>
              </w:rPr>
              <w:t>383 </w:t>
            </w:r>
          </w:p>
        </w:tc>
        <w:tc>
          <w:tcPr>
            <w:tcW w:w="0" w:type="auto"/>
            <w:shd w:val="clear" w:color="auto" w:fill="FFFFFF"/>
            <w:tcMar>
              <w:top w:w="40" w:type="dxa"/>
              <w:left w:w="0" w:type="dxa"/>
              <w:bottom w:w="40" w:type="dxa"/>
              <w:right w:w="20" w:type="dxa"/>
            </w:tcMar>
            <w:vAlign w:val="bottom"/>
          </w:tcPr>
          <w:p w14:paraId="5902B3DE" w14:textId="77777777" w:rsidR="0084406A" w:rsidRDefault="0084406A">
            <w:pPr>
              <w:jc w:val="right"/>
              <w:rPr>
                <w:rFonts w:ascii="宋体"/>
              </w:rPr>
            </w:pPr>
          </w:p>
        </w:tc>
      </w:tr>
      <w:tr w:rsidR="0084406A" w14:paraId="5902B3E4" w14:textId="77777777">
        <w:tc>
          <w:tcPr>
            <w:tcW w:w="0" w:type="auto"/>
            <w:gridSpan w:val="3"/>
            <w:shd w:val="clear" w:color="auto" w:fill="CCEEFF"/>
            <w:tcMar>
              <w:top w:w="40" w:type="dxa"/>
              <w:left w:w="20" w:type="dxa"/>
              <w:bottom w:w="40" w:type="dxa"/>
              <w:right w:w="20" w:type="dxa"/>
            </w:tcMar>
            <w:vAlign w:val="bottom"/>
          </w:tcPr>
          <w:p w14:paraId="5902B3E0" w14:textId="77777777" w:rsidR="0084406A" w:rsidRDefault="002B18AF">
            <w:pPr>
              <w:textAlignment w:val="bottom"/>
            </w:pPr>
            <w:r>
              <w:rPr>
                <w:rFonts w:ascii="Arial" w:eastAsia="宋体" w:hAnsi="Arial" w:cs="Arial"/>
                <w:color w:val="000000"/>
                <w:sz w:val="20"/>
                <w:szCs w:val="20"/>
              </w:rPr>
              <w:t> 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902B3E1"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902B3E2" w14:textId="77777777" w:rsidR="0084406A" w:rsidRDefault="002B18AF">
            <w:pPr>
              <w:jc w:val="right"/>
              <w:textAlignment w:val="bottom"/>
            </w:pPr>
            <w:r>
              <w:rPr>
                <w:rFonts w:ascii="Arial" w:eastAsia="宋体" w:hAnsi="Arial" w:cs="Arial"/>
                <w:color w:val="000000"/>
                <w:sz w:val="20"/>
                <w:szCs w:val="20"/>
              </w:rPr>
              <w:t>9,066 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902B3E3" w14:textId="77777777" w:rsidR="0084406A" w:rsidRDefault="0084406A">
            <w:pPr>
              <w:jc w:val="right"/>
              <w:rPr>
                <w:rFonts w:ascii="宋体"/>
              </w:rPr>
            </w:pPr>
          </w:p>
        </w:tc>
      </w:tr>
    </w:tbl>
    <w:p w14:paraId="5902B3E5" w14:textId="77777777" w:rsidR="0084406A" w:rsidRDefault="002B18AF">
      <w:pPr>
        <w:spacing w:before="180"/>
        <w:jc w:val="both"/>
      </w:pPr>
      <w:r>
        <w:rPr>
          <w:rFonts w:ascii="Arial" w:eastAsia="宋体" w:hAnsi="Arial" w:cs="Arial"/>
          <w:b/>
          <w:bCs/>
          <w:i/>
          <w:iCs/>
          <w:color w:val="000000"/>
          <w:sz w:val="20"/>
          <w:szCs w:val="20"/>
        </w:rPr>
        <w:t>Warranties and Indemnities</w:t>
      </w:r>
    </w:p>
    <w:p w14:paraId="5902B3E6" w14:textId="77777777" w:rsidR="0084406A" w:rsidRDefault="002B18AF">
      <w:pPr>
        <w:spacing w:before="180"/>
        <w:jc w:val="both"/>
      </w:pPr>
      <w:r>
        <w:rPr>
          <w:rFonts w:ascii="Arial" w:eastAsia="宋体" w:hAnsi="Arial" w:cs="Arial"/>
          <w:color w:val="000000"/>
          <w:sz w:val="20"/>
          <w:szCs w:val="20"/>
        </w:rPr>
        <w:t>The Company generally warrants that its products sold to its customers will conform to its approved specifications and be free from defects in material and workmanship under normal use and conditions for one year. The Company may also offer one to three-ye</w:t>
      </w:r>
      <w:r>
        <w:rPr>
          <w:rFonts w:ascii="Arial" w:eastAsia="宋体" w:hAnsi="Arial" w:cs="Arial"/>
          <w:color w:val="000000"/>
          <w:sz w:val="20"/>
          <w:szCs w:val="20"/>
        </w:rPr>
        <w:t xml:space="preserve">ar limited warranties based on product type and negotiated warranty terms with certain customers. The Company accrues warranty costs to Cost of sales at the time of sale of warranted products. </w:t>
      </w:r>
    </w:p>
    <w:p w14:paraId="5902B3E7" w14:textId="77777777" w:rsidR="0084406A" w:rsidRDefault="002B18AF">
      <w:pPr>
        <w:spacing w:before="180"/>
        <w:jc w:val="both"/>
      </w:pPr>
      <w:r>
        <w:rPr>
          <w:rFonts w:ascii="Arial" w:eastAsia="宋体" w:hAnsi="Arial" w:cs="Arial"/>
          <w:color w:val="000000"/>
          <w:sz w:val="20"/>
          <w:szCs w:val="20"/>
        </w:rPr>
        <w:t>Changes in the Company’s estimated liability for product warra</w:t>
      </w:r>
      <w:r>
        <w:rPr>
          <w:rFonts w:ascii="Arial" w:eastAsia="宋体" w:hAnsi="Arial" w:cs="Arial"/>
          <w:color w:val="000000"/>
          <w:sz w:val="20"/>
          <w:szCs w:val="20"/>
        </w:rPr>
        <w:t>nty during the years ended December 25, 2021 and December 26,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268"/>
        <w:gridCol w:w="37"/>
        <w:gridCol w:w="133"/>
        <w:gridCol w:w="1273"/>
        <w:gridCol w:w="36"/>
        <w:gridCol w:w="36"/>
        <w:gridCol w:w="36"/>
        <w:gridCol w:w="36"/>
        <w:gridCol w:w="133"/>
        <w:gridCol w:w="1274"/>
        <w:gridCol w:w="36"/>
      </w:tblGrid>
      <w:tr w:rsidR="0084406A" w14:paraId="5902B3F4" w14:textId="77777777">
        <w:tc>
          <w:tcPr>
            <w:tcW w:w="50" w:type="pct"/>
            <w:shd w:val="clear" w:color="auto" w:fill="auto"/>
            <w:vAlign w:val="bottom"/>
          </w:tcPr>
          <w:p w14:paraId="5902B3E8" w14:textId="77777777" w:rsidR="0084406A" w:rsidRDefault="0084406A">
            <w:pPr>
              <w:rPr>
                <w:rFonts w:ascii="宋体"/>
              </w:rPr>
            </w:pPr>
          </w:p>
        </w:tc>
        <w:tc>
          <w:tcPr>
            <w:tcW w:w="3205" w:type="pct"/>
            <w:shd w:val="clear" w:color="auto" w:fill="auto"/>
            <w:vAlign w:val="bottom"/>
          </w:tcPr>
          <w:p w14:paraId="5902B3E9" w14:textId="77777777" w:rsidR="0084406A" w:rsidRDefault="0084406A">
            <w:pPr>
              <w:rPr>
                <w:rFonts w:ascii="宋体"/>
              </w:rPr>
            </w:pPr>
          </w:p>
        </w:tc>
        <w:tc>
          <w:tcPr>
            <w:tcW w:w="5" w:type="pct"/>
            <w:shd w:val="clear" w:color="auto" w:fill="auto"/>
            <w:vAlign w:val="bottom"/>
          </w:tcPr>
          <w:p w14:paraId="5902B3EA" w14:textId="77777777" w:rsidR="0084406A" w:rsidRDefault="0084406A">
            <w:pPr>
              <w:rPr>
                <w:rFonts w:ascii="宋体"/>
              </w:rPr>
            </w:pPr>
          </w:p>
        </w:tc>
        <w:tc>
          <w:tcPr>
            <w:tcW w:w="50" w:type="pct"/>
            <w:shd w:val="clear" w:color="auto" w:fill="auto"/>
            <w:vAlign w:val="bottom"/>
          </w:tcPr>
          <w:p w14:paraId="5902B3EB" w14:textId="77777777" w:rsidR="0084406A" w:rsidRDefault="0084406A">
            <w:pPr>
              <w:rPr>
                <w:rFonts w:ascii="宋体"/>
              </w:rPr>
            </w:pPr>
          </w:p>
        </w:tc>
        <w:tc>
          <w:tcPr>
            <w:tcW w:w="800" w:type="pct"/>
            <w:shd w:val="clear" w:color="auto" w:fill="auto"/>
            <w:vAlign w:val="bottom"/>
          </w:tcPr>
          <w:p w14:paraId="5902B3EC" w14:textId="77777777" w:rsidR="0084406A" w:rsidRDefault="0084406A">
            <w:pPr>
              <w:rPr>
                <w:rFonts w:ascii="宋体"/>
              </w:rPr>
            </w:pPr>
          </w:p>
        </w:tc>
        <w:tc>
          <w:tcPr>
            <w:tcW w:w="5" w:type="pct"/>
            <w:shd w:val="clear" w:color="auto" w:fill="auto"/>
            <w:vAlign w:val="bottom"/>
          </w:tcPr>
          <w:p w14:paraId="5902B3ED" w14:textId="77777777" w:rsidR="0084406A" w:rsidRDefault="0084406A">
            <w:pPr>
              <w:rPr>
                <w:rFonts w:ascii="宋体"/>
              </w:rPr>
            </w:pPr>
          </w:p>
        </w:tc>
        <w:tc>
          <w:tcPr>
            <w:tcW w:w="5" w:type="pct"/>
            <w:shd w:val="clear" w:color="auto" w:fill="auto"/>
            <w:vAlign w:val="bottom"/>
          </w:tcPr>
          <w:p w14:paraId="5902B3EE" w14:textId="77777777" w:rsidR="0084406A" w:rsidRDefault="0084406A">
            <w:pPr>
              <w:rPr>
                <w:rFonts w:ascii="宋体"/>
              </w:rPr>
            </w:pPr>
          </w:p>
        </w:tc>
        <w:tc>
          <w:tcPr>
            <w:tcW w:w="19" w:type="pct"/>
            <w:shd w:val="clear" w:color="auto" w:fill="auto"/>
            <w:vAlign w:val="bottom"/>
          </w:tcPr>
          <w:p w14:paraId="5902B3EF" w14:textId="77777777" w:rsidR="0084406A" w:rsidRDefault="0084406A">
            <w:pPr>
              <w:rPr>
                <w:rFonts w:ascii="宋体"/>
              </w:rPr>
            </w:pPr>
          </w:p>
        </w:tc>
        <w:tc>
          <w:tcPr>
            <w:tcW w:w="5" w:type="pct"/>
            <w:shd w:val="clear" w:color="auto" w:fill="auto"/>
            <w:vAlign w:val="bottom"/>
          </w:tcPr>
          <w:p w14:paraId="5902B3F0" w14:textId="77777777" w:rsidR="0084406A" w:rsidRDefault="0084406A">
            <w:pPr>
              <w:rPr>
                <w:rFonts w:ascii="宋体"/>
              </w:rPr>
            </w:pPr>
          </w:p>
        </w:tc>
        <w:tc>
          <w:tcPr>
            <w:tcW w:w="50" w:type="pct"/>
            <w:shd w:val="clear" w:color="auto" w:fill="auto"/>
            <w:vAlign w:val="bottom"/>
          </w:tcPr>
          <w:p w14:paraId="5902B3F1" w14:textId="77777777" w:rsidR="0084406A" w:rsidRDefault="0084406A">
            <w:pPr>
              <w:rPr>
                <w:rFonts w:ascii="宋体"/>
              </w:rPr>
            </w:pPr>
          </w:p>
        </w:tc>
        <w:tc>
          <w:tcPr>
            <w:tcW w:w="800" w:type="pct"/>
            <w:shd w:val="clear" w:color="auto" w:fill="auto"/>
            <w:vAlign w:val="bottom"/>
          </w:tcPr>
          <w:p w14:paraId="5902B3F2" w14:textId="77777777" w:rsidR="0084406A" w:rsidRDefault="0084406A">
            <w:pPr>
              <w:rPr>
                <w:rFonts w:ascii="宋体"/>
              </w:rPr>
            </w:pPr>
          </w:p>
        </w:tc>
        <w:tc>
          <w:tcPr>
            <w:tcW w:w="5" w:type="pct"/>
            <w:shd w:val="clear" w:color="auto" w:fill="auto"/>
            <w:vAlign w:val="bottom"/>
          </w:tcPr>
          <w:p w14:paraId="5902B3F3" w14:textId="77777777" w:rsidR="0084406A" w:rsidRDefault="0084406A">
            <w:pPr>
              <w:rPr>
                <w:rFonts w:ascii="宋体"/>
              </w:rPr>
            </w:pPr>
          </w:p>
        </w:tc>
      </w:tr>
      <w:tr w:rsidR="0084406A" w14:paraId="5902B3F9" w14:textId="77777777">
        <w:tc>
          <w:tcPr>
            <w:tcW w:w="0" w:type="auto"/>
            <w:gridSpan w:val="3"/>
            <w:shd w:val="clear" w:color="auto" w:fill="auto"/>
            <w:tcMar>
              <w:top w:w="0" w:type="dxa"/>
              <w:left w:w="20" w:type="dxa"/>
              <w:bottom w:w="0" w:type="dxa"/>
              <w:right w:w="20" w:type="dxa"/>
            </w:tcMar>
            <w:vAlign w:val="bottom"/>
          </w:tcPr>
          <w:p w14:paraId="5902B3F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3F6" w14:textId="77777777" w:rsidR="0084406A" w:rsidRDefault="002B18AF">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5902B3F7" w14:textId="77777777" w:rsidR="0084406A" w:rsidRDefault="0084406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5902B3F8" w14:textId="77777777" w:rsidR="0084406A" w:rsidRDefault="002B18AF">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4406A" w14:paraId="5902B3FC" w14:textId="77777777">
        <w:tc>
          <w:tcPr>
            <w:tcW w:w="0" w:type="auto"/>
            <w:gridSpan w:val="3"/>
            <w:shd w:val="clear" w:color="auto" w:fill="auto"/>
            <w:tcMar>
              <w:top w:w="40" w:type="dxa"/>
              <w:left w:w="20" w:type="dxa"/>
              <w:bottom w:w="40" w:type="dxa"/>
              <w:right w:w="20" w:type="dxa"/>
            </w:tcMar>
            <w:vAlign w:val="bottom"/>
          </w:tcPr>
          <w:p w14:paraId="5902B3FA" w14:textId="77777777" w:rsidR="0084406A" w:rsidRDefault="002B18AF">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902B3FB" w14:textId="77777777" w:rsidR="0084406A" w:rsidRDefault="002B18AF">
            <w:pPr>
              <w:jc w:val="center"/>
              <w:textAlignment w:val="bottom"/>
            </w:pPr>
            <w:r>
              <w:rPr>
                <w:rFonts w:ascii="Arial" w:eastAsia="宋体" w:hAnsi="Arial" w:cs="Arial"/>
                <w:b/>
                <w:bCs/>
                <w:color w:val="000000"/>
                <w:sz w:val="16"/>
                <w:szCs w:val="16"/>
              </w:rPr>
              <w:t>(In millions)</w:t>
            </w:r>
          </w:p>
        </w:tc>
      </w:tr>
      <w:tr w:rsidR="0084406A" w14:paraId="5902B405" w14:textId="77777777">
        <w:tc>
          <w:tcPr>
            <w:tcW w:w="0" w:type="auto"/>
            <w:gridSpan w:val="3"/>
            <w:shd w:val="clear" w:color="auto" w:fill="CCEEFF"/>
            <w:tcMar>
              <w:top w:w="40" w:type="dxa"/>
              <w:left w:w="20" w:type="dxa"/>
              <w:bottom w:w="40" w:type="dxa"/>
              <w:right w:w="20" w:type="dxa"/>
            </w:tcMar>
            <w:vAlign w:val="bottom"/>
          </w:tcPr>
          <w:p w14:paraId="5902B3FD" w14:textId="77777777" w:rsidR="0084406A" w:rsidRDefault="002B18AF">
            <w:pPr>
              <w:textAlignment w:val="bottom"/>
            </w:pPr>
            <w:r>
              <w:rPr>
                <w:rFonts w:ascii="Arial" w:eastAsia="宋体" w:hAnsi="Arial" w:cs="Arial"/>
                <w:color w:val="000000"/>
                <w:sz w:val="20"/>
                <w:szCs w:val="20"/>
              </w:rPr>
              <w:t>Beginning balance</w:t>
            </w:r>
          </w:p>
        </w:tc>
        <w:tc>
          <w:tcPr>
            <w:tcW w:w="0" w:type="auto"/>
            <w:shd w:val="clear" w:color="auto" w:fill="CCEEFF"/>
            <w:tcMar>
              <w:top w:w="40" w:type="dxa"/>
              <w:left w:w="20" w:type="dxa"/>
              <w:bottom w:w="40" w:type="dxa"/>
              <w:right w:w="0" w:type="dxa"/>
            </w:tcMar>
            <w:vAlign w:val="bottom"/>
          </w:tcPr>
          <w:p w14:paraId="5902B3FE"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3FF" w14:textId="77777777" w:rsidR="0084406A" w:rsidRDefault="002B18AF">
            <w:pPr>
              <w:jc w:val="right"/>
              <w:textAlignment w:val="bottom"/>
            </w:pPr>
            <w:r>
              <w:rPr>
                <w:rFonts w:ascii="Arial" w:eastAsia="宋体" w:hAnsi="Arial" w:cs="Arial"/>
                <w:color w:val="000000"/>
                <w:sz w:val="20"/>
                <w:szCs w:val="20"/>
              </w:rPr>
              <w:t>37 </w:t>
            </w:r>
          </w:p>
        </w:tc>
        <w:tc>
          <w:tcPr>
            <w:tcW w:w="0" w:type="auto"/>
            <w:shd w:val="clear" w:color="auto" w:fill="CCEEFF"/>
            <w:tcMar>
              <w:top w:w="40" w:type="dxa"/>
              <w:left w:w="0" w:type="dxa"/>
              <w:bottom w:w="40" w:type="dxa"/>
              <w:right w:w="20" w:type="dxa"/>
            </w:tcMar>
            <w:vAlign w:val="bottom"/>
          </w:tcPr>
          <w:p w14:paraId="5902B400"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401" w14:textId="77777777" w:rsidR="0084406A" w:rsidRDefault="0084406A">
            <w:pPr>
              <w:rPr>
                <w:rFonts w:ascii="宋体"/>
              </w:rPr>
            </w:pPr>
          </w:p>
        </w:tc>
        <w:tc>
          <w:tcPr>
            <w:tcW w:w="0" w:type="auto"/>
            <w:shd w:val="clear" w:color="auto" w:fill="CCEEFF"/>
            <w:tcMar>
              <w:top w:w="40" w:type="dxa"/>
              <w:left w:w="20" w:type="dxa"/>
              <w:bottom w:w="40" w:type="dxa"/>
              <w:right w:w="0" w:type="dxa"/>
            </w:tcMar>
            <w:vAlign w:val="bottom"/>
          </w:tcPr>
          <w:p w14:paraId="5902B402" w14:textId="77777777" w:rsidR="0084406A" w:rsidRDefault="002B18AF">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5902B403" w14:textId="77777777" w:rsidR="0084406A" w:rsidRDefault="002B18AF">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5902B404" w14:textId="77777777" w:rsidR="0084406A" w:rsidRDefault="0084406A">
            <w:pPr>
              <w:jc w:val="right"/>
              <w:rPr>
                <w:rFonts w:ascii="宋体"/>
              </w:rPr>
            </w:pPr>
          </w:p>
        </w:tc>
      </w:tr>
      <w:tr w:rsidR="0084406A" w14:paraId="5902B40C" w14:textId="77777777">
        <w:tc>
          <w:tcPr>
            <w:tcW w:w="0" w:type="auto"/>
            <w:gridSpan w:val="3"/>
            <w:shd w:val="clear" w:color="auto" w:fill="FFFFFF"/>
            <w:tcMar>
              <w:top w:w="40" w:type="dxa"/>
              <w:left w:w="20" w:type="dxa"/>
              <w:bottom w:w="40" w:type="dxa"/>
              <w:right w:w="20" w:type="dxa"/>
            </w:tcMar>
            <w:vAlign w:val="bottom"/>
          </w:tcPr>
          <w:p w14:paraId="5902B406" w14:textId="77777777" w:rsidR="0084406A" w:rsidRDefault="002B18AF">
            <w:pPr>
              <w:textAlignment w:val="bottom"/>
            </w:pPr>
            <w:r>
              <w:rPr>
                <w:rFonts w:ascii="Arial" w:eastAsia="宋体" w:hAnsi="Arial" w:cs="Arial"/>
                <w:color w:val="000000"/>
                <w:sz w:val="20"/>
                <w:szCs w:val="20"/>
              </w:rPr>
              <w:t>Provisions during the period</w:t>
            </w:r>
          </w:p>
        </w:tc>
        <w:tc>
          <w:tcPr>
            <w:tcW w:w="0" w:type="auto"/>
            <w:gridSpan w:val="2"/>
            <w:shd w:val="clear" w:color="auto" w:fill="FFFFFF"/>
            <w:tcMar>
              <w:top w:w="40" w:type="dxa"/>
              <w:left w:w="20" w:type="dxa"/>
              <w:bottom w:w="40" w:type="dxa"/>
              <w:right w:w="0" w:type="dxa"/>
            </w:tcMar>
            <w:vAlign w:val="bottom"/>
          </w:tcPr>
          <w:p w14:paraId="5902B407" w14:textId="77777777" w:rsidR="0084406A" w:rsidRDefault="002B18AF">
            <w:pPr>
              <w:jc w:val="right"/>
              <w:textAlignment w:val="bottom"/>
            </w:pPr>
            <w:r>
              <w:rPr>
                <w:rFonts w:ascii="Arial" w:eastAsia="宋体" w:hAnsi="Arial" w:cs="Arial"/>
                <w:color w:val="000000"/>
                <w:sz w:val="20"/>
                <w:szCs w:val="20"/>
              </w:rPr>
              <w:t>106 </w:t>
            </w:r>
          </w:p>
        </w:tc>
        <w:tc>
          <w:tcPr>
            <w:tcW w:w="0" w:type="auto"/>
            <w:shd w:val="clear" w:color="auto" w:fill="FFFFFF"/>
            <w:tcMar>
              <w:top w:w="40" w:type="dxa"/>
              <w:left w:w="0" w:type="dxa"/>
              <w:bottom w:w="40" w:type="dxa"/>
              <w:right w:w="20" w:type="dxa"/>
            </w:tcMar>
            <w:vAlign w:val="bottom"/>
          </w:tcPr>
          <w:p w14:paraId="5902B408"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409" w14:textId="77777777" w:rsidR="0084406A" w:rsidRDefault="0084406A">
            <w:pPr>
              <w:rPr>
                <w:rFonts w:ascii="宋体"/>
              </w:rPr>
            </w:pPr>
          </w:p>
        </w:tc>
        <w:tc>
          <w:tcPr>
            <w:tcW w:w="0" w:type="auto"/>
            <w:gridSpan w:val="2"/>
            <w:shd w:val="clear" w:color="auto" w:fill="FFFFFF"/>
            <w:tcMar>
              <w:top w:w="40" w:type="dxa"/>
              <w:left w:w="20" w:type="dxa"/>
              <w:bottom w:w="40" w:type="dxa"/>
              <w:right w:w="0" w:type="dxa"/>
            </w:tcMar>
            <w:vAlign w:val="bottom"/>
          </w:tcPr>
          <w:p w14:paraId="5902B40A" w14:textId="77777777" w:rsidR="0084406A" w:rsidRDefault="002B18AF">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5902B40B" w14:textId="77777777" w:rsidR="0084406A" w:rsidRDefault="0084406A">
            <w:pPr>
              <w:jc w:val="right"/>
              <w:rPr>
                <w:rFonts w:ascii="宋体"/>
              </w:rPr>
            </w:pPr>
          </w:p>
        </w:tc>
      </w:tr>
      <w:tr w:rsidR="0084406A" w14:paraId="5902B413" w14:textId="77777777">
        <w:tc>
          <w:tcPr>
            <w:tcW w:w="0" w:type="auto"/>
            <w:gridSpan w:val="3"/>
            <w:shd w:val="clear" w:color="auto" w:fill="CCEEFF"/>
            <w:tcMar>
              <w:top w:w="40" w:type="dxa"/>
              <w:left w:w="20" w:type="dxa"/>
              <w:bottom w:w="40" w:type="dxa"/>
              <w:right w:w="20" w:type="dxa"/>
            </w:tcMar>
            <w:vAlign w:val="bottom"/>
          </w:tcPr>
          <w:p w14:paraId="5902B40D" w14:textId="77777777" w:rsidR="0084406A" w:rsidRDefault="002B18AF">
            <w:pPr>
              <w:textAlignment w:val="bottom"/>
            </w:pPr>
            <w:r>
              <w:rPr>
                <w:rFonts w:ascii="Arial" w:eastAsia="宋体" w:hAnsi="Arial" w:cs="Arial"/>
                <w:color w:val="000000"/>
                <w:sz w:val="20"/>
                <w:szCs w:val="20"/>
              </w:rPr>
              <w:t xml:space="preserve">Settlements during the </w:t>
            </w:r>
            <w:r>
              <w:rPr>
                <w:rFonts w:ascii="Arial" w:eastAsia="宋体" w:hAnsi="Arial" w:cs="Arial"/>
                <w:color w:val="000000"/>
                <w:sz w:val="20"/>
                <w:szCs w:val="20"/>
              </w:rPr>
              <w:t>period</w:t>
            </w:r>
          </w:p>
        </w:tc>
        <w:tc>
          <w:tcPr>
            <w:tcW w:w="0" w:type="auto"/>
            <w:gridSpan w:val="2"/>
            <w:shd w:val="clear" w:color="auto" w:fill="CCEEFF"/>
            <w:tcMar>
              <w:top w:w="40" w:type="dxa"/>
              <w:left w:w="20" w:type="dxa"/>
              <w:bottom w:w="40" w:type="dxa"/>
              <w:right w:w="0" w:type="dxa"/>
            </w:tcMar>
            <w:vAlign w:val="bottom"/>
          </w:tcPr>
          <w:p w14:paraId="5902B40E" w14:textId="77777777" w:rsidR="0084406A" w:rsidRDefault="002B18AF">
            <w:pPr>
              <w:jc w:val="right"/>
              <w:textAlignment w:val="bottom"/>
            </w:pPr>
            <w:r>
              <w:rPr>
                <w:rFonts w:ascii="Arial" w:eastAsia="宋体" w:hAnsi="Arial" w:cs="Arial"/>
                <w:color w:val="000000"/>
                <w:sz w:val="20"/>
                <w:szCs w:val="20"/>
              </w:rPr>
              <w:t>(92)</w:t>
            </w:r>
          </w:p>
        </w:tc>
        <w:tc>
          <w:tcPr>
            <w:tcW w:w="0" w:type="auto"/>
            <w:shd w:val="clear" w:color="auto" w:fill="CCEEFF"/>
            <w:tcMar>
              <w:top w:w="40" w:type="dxa"/>
              <w:left w:w="0" w:type="dxa"/>
              <w:bottom w:w="40" w:type="dxa"/>
              <w:right w:w="20" w:type="dxa"/>
            </w:tcMar>
            <w:vAlign w:val="bottom"/>
          </w:tcPr>
          <w:p w14:paraId="5902B40F" w14:textId="77777777" w:rsidR="0084406A" w:rsidRDefault="0084406A">
            <w:pPr>
              <w:jc w:val="right"/>
              <w:rPr>
                <w:rFonts w:ascii="宋体"/>
              </w:rPr>
            </w:pPr>
          </w:p>
        </w:tc>
        <w:tc>
          <w:tcPr>
            <w:tcW w:w="0" w:type="auto"/>
            <w:gridSpan w:val="3"/>
            <w:shd w:val="clear" w:color="auto" w:fill="CCEEFF"/>
            <w:tcMar>
              <w:top w:w="0" w:type="dxa"/>
              <w:left w:w="20" w:type="dxa"/>
              <w:bottom w:w="0" w:type="dxa"/>
              <w:right w:w="20" w:type="dxa"/>
            </w:tcMar>
            <w:vAlign w:val="bottom"/>
          </w:tcPr>
          <w:p w14:paraId="5902B410" w14:textId="77777777" w:rsidR="0084406A" w:rsidRDefault="0084406A">
            <w:pPr>
              <w:rPr>
                <w:rFonts w:ascii="宋体"/>
              </w:rPr>
            </w:pPr>
          </w:p>
        </w:tc>
        <w:tc>
          <w:tcPr>
            <w:tcW w:w="0" w:type="auto"/>
            <w:gridSpan w:val="2"/>
            <w:shd w:val="clear" w:color="auto" w:fill="CCEEFF"/>
            <w:tcMar>
              <w:top w:w="40" w:type="dxa"/>
              <w:left w:w="20" w:type="dxa"/>
              <w:bottom w:w="40" w:type="dxa"/>
              <w:right w:w="0" w:type="dxa"/>
            </w:tcMar>
            <w:vAlign w:val="bottom"/>
          </w:tcPr>
          <w:p w14:paraId="5902B411" w14:textId="77777777" w:rsidR="0084406A" w:rsidRDefault="002B18AF">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5902B412" w14:textId="77777777" w:rsidR="0084406A" w:rsidRDefault="0084406A">
            <w:pPr>
              <w:jc w:val="right"/>
              <w:rPr>
                <w:rFonts w:ascii="宋体"/>
              </w:rPr>
            </w:pPr>
          </w:p>
        </w:tc>
      </w:tr>
      <w:tr w:rsidR="0084406A" w14:paraId="5902B418" w14:textId="77777777">
        <w:trPr>
          <w:hidden/>
        </w:trPr>
        <w:tc>
          <w:tcPr>
            <w:tcW w:w="0" w:type="auto"/>
            <w:gridSpan w:val="3"/>
            <w:shd w:val="clear" w:color="auto" w:fill="auto"/>
            <w:vAlign w:val="bottom"/>
          </w:tcPr>
          <w:p w14:paraId="5902B414" w14:textId="77777777" w:rsidR="0084406A" w:rsidRDefault="0084406A">
            <w:pPr>
              <w:rPr>
                <w:rFonts w:ascii="宋体"/>
                <w:vanish/>
              </w:rPr>
            </w:pPr>
          </w:p>
        </w:tc>
        <w:tc>
          <w:tcPr>
            <w:tcW w:w="0" w:type="auto"/>
            <w:gridSpan w:val="3"/>
            <w:shd w:val="clear" w:color="auto" w:fill="auto"/>
            <w:vAlign w:val="bottom"/>
          </w:tcPr>
          <w:p w14:paraId="5902B415" w14:textId="77777777" w:rsidR="0084406A" w:rsidRDefault="0084406A">
            <w:pPr>
              <w:rPr>
                <w:rFonts w:ascii="宋体"/>
                <w:vanish/>
              </w:rPr>
            </w:pPr>
          </w:p>
        </w:tc>
        <w:tc>
          <w:tcPr>
            <w:tcW w:w="0" w:type="auto"/>
            <w:gridSpan w:val="3"/>
            <w:shd w:val="clear" w:color="auto" w:fill="auto"/>
            <w:vAlign w:val="bottom"/>
          </w:tcPr>
          <w:p w14:paraId="5902B416" w14:textId="77777777" w:rsidR="0084406A" w:rsidRDefault="0084406A">
            <w:pPr>
              <w:rPr>
                <w:rFonts w:ascii="宋体"/>
                <w:vanish/>
              </w:rPr>
            </w:pPr>
          </w:p>
        </w:tc>
        <w:tc>
          <w:tcPr>
            <w:tcW w:w="0" w:type="auto"/>
            <w:gridSpan w:val="3"/>
            <w:shd w:val="clear" w:color="auto" w:fill="auto"/>
            <w:vAlign w:val="bottom"/>
          </w:tcPr>
          <w:p w14:paraId="5902B417" w14:textId="77777777" w:rsidR="0084406A" w:rsidRDefault="0084406A">
            <w:pPr>
              <w:rPr>
                <w:rFonts w:ascii="宋体"/>
                <w:vanish/>
              </w:rPr>
            </w:pPr>
          </w:p>
        </w:tc>
      </w:tr>
      <w:tr w:rsidR="0084406A" w14:paraId="5902B421" w14:textId="77777777">
        <w:tc>
          <w:tcPr>
            <w:tcW w:w="0" w:type="auto"/>
            <w:gridSpan w:val="3"/>
            <w:shd w:val="clear" w:color="auto" w:fill="FFFFFF"/>
            <w:tcMar>
              <w:top w:w="40" w:type="dxa"/>
              <w:left w:w="20" w:type="dxa"/>
              <w:bottom w:w="40" w:type="dxa"/>
              <w:right w:w="20" w:type="dxa"/>
            </w:tcMar>
            <w:vAlign w:val="bottom"/>
          </w:tcPr>
          <w:p w14:paraId="5902B419" w14:textId="77777777" w:rsidR="0084406A" w:rsidRDefault="002B18AF">
            <w:pPr>
              <w:textAlignment w:val="bottom"/>
            </w:pPr>
            <w:r>
              <w:rPr>
                <w:rFonts w:ascii="Arial" w:eastAsia="宋体" w:hAnsi="Arial" w:cs="Arial"/>
                <w:color w:val="000000"/>
                <w:sz w:val="20"/>
                <w:szCs w:val="20"/>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41A"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41B" w14:textId="77777777" w:rsidR="0084406A" w:rsidRDefault="002B18AF">
            <w:pPr>
              <w:jc w:val="right"/>
              <w:textAlignment w:val="bottom"/>
            </w:pPr>
            <w:r>
              <w:rPr>
                <w:rFonts w:ascii="Arial" w:eastAsia="宋体" w:hAnsi="Arial" w:cs="Arial"/>
                <w:color w:val="000000"/>
                <w:sz w:val="20"/>
                <w:szCs w:val="20"/>
              </w:rPr>
              <w:t>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41C" w14:textId="77777777" w:rsidR="0084406A" w:rsidRDefault="0084406A">
            <w:pPr>
              <w:jc w:val="right"/>
              <w:rPr>
                <w:rFonts w:ascii="宋体"/>
              </w:rPr>
            </w:pPr>
          </w:p>
        </w:tc>
        <w:tc>
          <w:tcPr>
            <w:tcW w:w="0" w:type="auto"/>
            <w:gridSpan w:val="3"/>
            <w:shd w:val="clear" w:color="auto" w:fill="FFFFFF"/>
            <w:tcMar>
              <w:top w:w="0" w:type="dxa"/>
              <w:left w:w="20" w:type="dxa"/>
              <w:bottom w:w="0" w:type="dxa"/>
              <w:right w:w="20" w:type="dxa"/>
            </w:tcMar>
            <w:vAlign w:val="bottom"/>
          </w:tcPr>
          <w:p w14:paraId="5902B41D" w14:textId="77777777" w:rsidR="0084406A" w:rsidRDefault="0084406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902B41E" w14:textId="77777777" w:rsidR="0084406A" w:rsidRDefault="002B18AF">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902B41F" w14:textId="77777777" w:rsidR="0084406A" w:rsidRDefault="002B18AF">
            <w:pPr>
              <w:jc w:val="right"/>
              <w:textAlignment w:val="bottom"/>
            </w:pPr>
            <w:r>
              <w:rPr>
                <w:rFonts w:ascii="Arial" w:eastAsia="宋体" w:hAnsi="Arial" w:cs="Arial"/>
                <w:color w:val="000000"/>
                <w:sz w:val="20"/>
                <w:szCs w:val="20"/>
              </w:rPr>
              <w:t>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902B420" w14:textId="77777777" w:rsidR="0084406A" w:rsidRDefault="0084406A">
            <w:pPr>
              <w:jc w:val="right"/>
              <w:rPr>
                <w:rFonts w:ascii="宋体"/>
              </w:rPr>
            </w:pPr>
          </w:p>
        </w:tc>
      </w:tr>
    </w:tbl>
    <w:p w14:paraId="5902B422" w14:textId="77777777" w:rsidR="0084406A" w:rsidRDefault="002B18AF">
      <w:pPr>
        <w:spacing w:before="180"/>
        <w:jc w:val="both"/>
      </w:pPr>
      <w:r>
        <w:rPr>
          <w:rFonts w:ascii="Arial" w:eastAsia="宋体" w:hAnsi="Arial" w:cs="Arial"/>
          <w:color w:val="000000"/>
          <w:sz w:val="20"/>
          <w:szCs w:val="20"/>
        </w:rPr>
        <w:t xml:space="preserve">In addition to product warranties, the Company from time to time in its normal course of business indemnifies other parties with whom it enters into contractual relationships, including </w:t>
      </w:r>
      <w:r>
        <w:rPr>
          <w:rFonts w:ascii="Arial" w:eastAsia="宋体" w:hAnsi="Arial" w:cs="Arial"/>
          <w:color w:val="000000"/>
          <w:sz w:val="20"/>
          <w:szCs w:val="20"/>
        </w:rPr>
        <w:t>customers, lessors and parties to other transactions with the Company, with respect to certain matters. In these limited matters, the Company has agreed to hold certain third parties harmless against specific types of claims or losses such as those arising</w:t>
      </w:r>
      <w:r>
        <w:rPr>
          <w:rFonts w:ascii="Arial" w:eastAsia="宋体" w:hAnsi="Arial" w:cs="Arial"/>
          <w:color w:val="000000"/>
          <w:sz w:val="20"/>
          <w:szCs w:val="20"/>
        </w:rPr>
        <w:t xml:space="preserve"> from a breach of representations or covenants, third-party claims that the Company’s products when used for their intended purpose(s) and under specific conditions infringe the intellectual property rights of a third party, or other specified claims made </w:t>
      </w:r>
      <w:r>
        <w:rPr>
          <w:rFonts w:ascii="Arial" w:eastAsia="宋体" w:hAnsi="Arial" w:cs="Arial"/>
          <w:color w:val="000000"/>
          <w:sz w:val="20"/>
          <w:szCs w:val="20"/>
        </w:rPr>
        <w:t>against the indemnified party. It is not possible to determine the maximum potential amount of liability under these indemnification obligations due to the unique facts and circumstances that are likely to be involved in each particular claim and indemnifi</w:t>
      </w:r>
      <w:r>
        <w:rPr>
          <w:rFonts w:ascii="Arial" w:eastAsia="宋体" w:hAnsi="Arial" w:cs="Arial"/>
          <w:color w:val="000000"/>
          <w:sz w:val="20"/>
          <w:szCs w:val="20"/>
        </w:rPr>
        <w:t>cation provision. Historically, payments made by the Company under these obligations have not been material. In addition, the impact from changes in estimates for pre-existing warranties has been immaterial.</w:t>
      </w:r>
    </w:p>
    <w:p w14:paraId="5902B423" w14:textId="77777777" w:rsidR="0084406A" w:rsidRDefault="002B18AF">
      <w:pPr>
        <w:spacing w:before="280"/>
        <w:jc w:val="both"/>
      </w:pPr>
      <w:r>
        <w:rPr>
          <w:rFonts w:ascii="Arial" w:eastAsia="宋体" w:hAnsi="Arial" w:cs="Arial"/>
          <w:b/>
          <w:bCs/>
          <w:color w:val="000000"/>
          <w:sz w:val="20"/>
          <w:szCs w:val="20"/>
        </w:rPr>
        <w:t xml:space="preserve">NOTE 17 – Contingencies </w:t>
      </w:r>
    </w:p>
    <w:p w14:paraId="5902B424" w14:textId="77777777" w:rsidR="0084406A" w:rsidRDefault="002B18AF">
      <w:pPr>
        <w:spacing w:before="180"/>
        <w:jc w:val="both"/>
      </w:pPr>
      <w:r>
        <w:rPr>
          <w:rFonts w:ascii="Arial" w:eastAsia="宋体" w:hAnsi="Arial" w:cs="Arial"/>
          <w:i/>
          <w:iCs/>
          <w:color w:val="000000"/>
          <w:sz w:val="20"/>
          <w:szCs w:val="20"/>
        </w:rPr>
        <w:t xml:space="preserve">Shareholder </w:t>
      </w:r>
      <w:r>
        <w:rPr>
          <w:rFonts w:ascii="Arial" w:eastAsia="宋体" w:hAnsi="Arial" w:cs="Arial"/>
          <w:i/>
          <w:iCs/>
          <w:color w:val="000000"/>
          <w:sz w:val="20"/>
          <w:szCs w:val="20"/>
        </w:rPr>
        <w:t>Derivative Lawsuits (Wessels, Hamilton and Ha)</w:t>
      </w:r>
    </w:p>
    <w:p w14:paraId="5902B425" w14:textId="77777777" w:rsidR="0084406A" w:rsidRDefault="002B18AF">
      <w:pPr>
        <w:spacing w:before="180"/>
        <w:jc w:val="both"/>
      </w:pPr>
      <w:r>
        <w:rPr>
          <w:rFonts w:ascii="Arial" w:eastAsia="宋体" w:hAnsi="Arial" w:cs="Arial"/>
          <w:color w:val="000000"/>
          <w:sz w:val="20"/>
          <w:szCs w:val="20"/>
        </w:rPr>
        <w:t xml:space="preserve">On March 20, 2014, a purported shareholder derivative lawsuit captioned Wessels v. Read, et al., Case No. 1:14 cv-262486 (Wessels) was filed against the Company (as a nominal defendant only) and certain of </w:t>
      </w:r>
      <w:r>
        <w:rPr>
          <w:rFonts w:ascii="Arial" w:eastAsia="宋体" w:hAnsi="Arial" w:cs="Arial"/>
          <w:color w:val="000000"/>
          <w:sz w:val="20"/>
          <w:szCs w:val="20"/>
        </w:rPr>
        <w:t>its directors and officers in the Santa Clara County Superior Court of the State of California. The complaint purports to assert claims against the Company and certain individual directors and officers for breach of fiduciary duty, waste of corporate asset</w:t>
      </w:r>
      <w:r>
        <w:rPr>
          <w:rFonts w:ascii="Arial" w:eastAsia="宋体" w:hAnsi="Arial" w:cs="Arial"/>
          <w:color w:val="000000"/>
          <w:sz w:val="20"/>
          <w:szCs w:val="20"/>
        </w:rPr>
        <w:t>s and unjust enrichment. The complaint seeks damages allegedly caused by alleged materially misleading statements and/or material omissions by the Company and the individual directors and officers regarding its 32 nm technology and “Llano” product, which s</w:t>
      </w:r>
      <w:r>
        <w:rPr>
          <w:rFonts w:ascii="Arial" w:eastAsia="宋体" w:hAnsi="Arial" w:cs="Arial"/>
          <w:color w:val="000000"/>
          <w:sz w:val="20"/>
          <w:szCs w:val="20"/>
        </w:rPr>
        <w:t xml:space="preserve">tatements and omissions, the plaintiffs claim, allegedly operated to artificially inflate the price paid for the Company’s common stock during the period. On April 27, 2015, a similar purported shareholder derivative lawsuit captioned Christopher Hamilton </w:t>
      </w:r>
      <w:r>
        <w:rPr>
          <w:rFonts w:ascii="Arial" w:eastAsia="宋体" w:hAnsi="Arial" w:cs="Arial"/>
          <w:color w:val="000000"/>
          <w:sz w:val="20"/>
          <w:szCs w:val="20"/>
        </w:rPr>
        <w:t>and David Hamilton v. Barnes, et al., Case No. 5:15-cv-01890 (Hamilton) was filed against the Company (as a nominal defendant only) and certain of its directors and officers in the United States District Court for the Northern District of California.</w:t>
      </w:r>
    </w:p>
    <w:p w14:paraId="5902B426" w14:textId="77777777" w:rsidR="0084406A" w:rsidRDefault="002B18AF">
      <w:pPr>
        <w:jc w:val="center"/>
      </w:pPr>
      <w:r>
        <w:rPr>
          <w:rFonts w:ascii="Arial" w:eastAsia="宋体" w:hAnsi="Arial" w:cs="Arial"/>
          <w:color w:val="000000"/>
          <w:sz w:val="20"/>
          <w:szCs w:val="20"/>
        </w:rPr>
        <w:t>76</w:t>
      </w:r>
    </w:p>
    <w:p w14:paraId="5902B427" w14:textId="77777777" w:rsidR="0084406A" w:rsidRDefault="002B18AF">
      <w:r>
        <w:pict w14:anchorId="5902BB42">
          <v:rect id="_x0000_i1103" style="width:415.3pt;height:1.5pt" o:hralign="center" o:hrstd="t" o:hr="t" fillcolor="#a0a0a0" stroked="f"/>
        </w:pict>
      </w:r>
    </w:p>
    <w:p w14:paraId="5902B428" w14:textId="77777777" w:rsidR="0084406A" w:rsidRDefault="0084406A"/>
    <w:p w14:paraId="5902B429" w14:textId="77777777" w:rsidR="0084406A" w:rsidRDefault="002B18AF">
      <w:pPr>
        <w:spacing w:before="180"/>
        <w:jc w:val="both"/>
      </w:pPr>
      <w:r>
        <w:rPr>
          <w:rFonts w:ascii="Arial" w:eastAsia="宋体" w:hAnsi="Arial" w:cs="Arial"/>
          <w:color w:val="000000"/>
          <w:sz w:val="20"/>
          <w:szCs w:val="20"/>
        </w:rPr>
        <w:t>On September 29, 2015, a similar purported shareholder derivative lawsuit captioned Jake Ha v Caldwell, et al., Case No. 3:15-cv-04485 (Ha) was filed against the Company (as a nominal defendant only) and certain of its directors and officers in the United</w:t>
      </w:r>
      <w:r>
        <w:rPr>
          <w:rFonts w:ascii="Arial" w:eastAsia="宋体" w:hAnsi="Arial" w:cs="Arial"/>
          <w:color w:val="000000"/>
          <w:sz w:val="20"/>
          <w:szCs w:val="20"/>
        </w:rPr>
        <w:t xml:space="preserve"> States District Court for the Northern District of California. The lawsuit also seeks a court order voiding the stockholder vote on the Company’s 2015 proxy. The case was transferred to the judge handling the Hamilton Lawsuit and is now Case No. 4:15-cv-0</w:t>
      </w:r>
      <w:r>
        <w:rPr>
          <w:rFonts w:ascii="Arial" w:eastAsia="宋体" w:hAnsi="Arial" w:cs="Arial"/>
          <w:color w:val="000000"/>
          <w:sz w:val="20"/>
          <w:szCs w:val="20"/>
        </w:rPr>
        <w:t xml:space="preserve">4485. </w:t>
      </w:r>
    </w:p>
    <w:p w14:paraId="5902B42A" w14:textId="77777777" w:rsidR="0084406A" w:rsidRDefault="002B18AF">
      <w:pPr>
        <w:spacing w:before="180"/>
        <w:jc w:val="both"/>
      </w:pPr>
      <w:r>
        <w:rPr>
          <w:rFonts w:ascii="Arial" w:eastAsia="宋体" w:hAnsi="Arial" w:cs="Arial"/>
          <w:color w:val="000000"/>
          <w:sz w:val="20"/>
          <w:szCs w:val="20"/>
        </w:rPr>
        <w:t>The Wessels, Hamilton and Ha shareholder derivative lawsuits were stayed pending resolution of a class action lawsuit captioned Hatamian v. AMD, et al., C.A. No. 3:14-cv-00226 filed against the Company in the United States District Court for the Nor</w:t>
      </w:r>
      <w:r>
        <w:rPr>
          <w:rFonts w:ascii="Arial" w:eastAsia="宋体" w:hAnsi="Arial" w:cs="Arial"/>
          <w:color w:val="000000"/>
          <w:sz w:val="20"/>
          <w:szCs w:val="20"/>
        </w:rPr>
        <w:t>thern District of California (the Hatamian Lawsuit). The Hatamian Lawsuit asserted claims against the Company and certain of its officers for alleged violations of Section 10(b) of the Exchange Act of 1934, as amended (the Exchange Act), and SEC Rule 10b-5</w:t>
      </w:r>
      <w:r>
        <w:rPr>
          <w:rFonts w:ascii="Arial" w:eastAsia="宋体" w:hAnsi="Arial" w:cs="Arial"/>
          <w:color w:val="000000"/>
          <w:sz w:val="20"/>
          <w:szCs w:val="20"/>
        </w:rPr>
        <w:t xml:space="preserve"> concerning certain statements regarding its 32 nm technology and “Llano” products. On October 9, 2017, the parties signed a definitive settlement agreement resolving the Hatamian Lawsuit and submitted it to the Court for approval. Under the terms of this </w:t>
      </w:r>
      <w:r>
        <w:rPr>
          <w:rFonts w:ascii="Arial" w:eastAsia="宋体" w:hAnsi="Arial" w:cs="Arial"/>
          <w:color w:val="000000"/>
          <w:sz w:val="20"/>
          <w:szCs w:val="20"/>
        </w:rPr>
        <w:t xml:space="preserve">agreement, the settlement was funded entirely by certain of the Company’s insurance carriers and the defendants continued to deny any liability or wrongdoing. On March 2, 2018, the court approved the settlement and entered a final judgment in the Hatamian </w:t>
      </w:r>
      <w:r>
        <w:rPr>
          <w:rFonts w:ascii="Arial" w:eastAsia="宋体" w:hAnsi="Arial" w:cs="Arial"/>
          <w:color w:val="000000"/>
          <w:sz w:val="20"/>
          <w:szCs w:val="20"/>
        </w:rPr>
        <w:t>Lawsuit.</w:t>
      </w:r>
    </w:p>
    <w:p w14:paraId="5902B42B" w14:textId="77777777" w:rsidR="0084406A" w:rsidRDefault="002B18AF">
      <w:pPr>
        <w:spacing w:before="180"/>
        <w:jc w:val="both"/>
      </w:pPr>
      <w:r>
        <w:rPr>
          <w:rFonts w:ascii="Arial" w:eastAsia="宋体" w:hAnsi="Arial" w:cs="Arial"/>
          <w:color w:val="000000"/>
          <w:sz w:val="20"/>
          <w:szCs w:val="20"/>
        </w:rPr>
        <w:t>On July 23, 2018, the Santa Clara Superior Court sustained the Company’s demurrer in the Wessels case, dismissing all claims in that matter with prejudice. The California Court of Appeal affirmed this decision on August 27, 2020 and issued its rem</w:t>
      </w:r>
      <w:r>
        <w:rPr>
          <w:rFonts w:ascii="Arial" w:eastAsia="宋体" w:hAnsi="Arial" w:cs="Arial"/>
          <w:color w:val="000000"/>
          <w:sz w:val="20"/>
          <w:szCs w:val="20"/>
        </w:rPr>
        <w:t>ittitur on September 9, 2020, which foreclosed further appeals in the state court litigation. On October 4, 2018, the district court issued an order dismissing the Hamilton and Ha amended complaints and both plaintiffs appealed. On March 16, 2020, the Nint</w:t>
      </w:r>
      <w:r>
        <w:rPr>
          <w:rFonts w:ascii="Arial" w:eastAsia="宋体" w:hAnsi="Arial" w:cs="Arial"/>
          <w:color w:val="000000"/>
          <w:sz w:val="20"/>
          <w:szCs w:val="20"/>
        </w:rPr>
        <w:t>h Circuit affirmed the district court’s dismissal of the Ha complaint and the time to seek further appeals has since expired. On the same day, the Ninth Circuit also reversed and remanded the district court’s dismissal of the Hamilton complaint for further</w:t>
      </w:r>
      <w:r>
        <w:rPr>
          <w:rFonts w:ascii="Arial" w:eastAsia="宋体" w:hAnsi="Arial" w:cs="Arial"/>
          <w:color w:val="000000"/>
          <w:sz w:val="20"/>
          <w:szCs w:val="20"/>
        </w:rPr>
        <w:t xml:space="preserve"> consideration of defendants’ motion to dismiss. Following supplemental briefing, the district court entered an order on April 5, 2021 dismissing with prejudice all claims in the Hamilton action as precluded by the decision in the Wessels case.</w:t>
      </w:r>
    </w:p>
    <w:p w14:paraId="5902B42C" w14:textId="77777777" w:rsidR="0084406A" w:rsidRDefault="002B18AF">
      <w:pPr>
        <w:spacing w:before="180"/>
        <w:jc w:val="both"/>
      </w:pPr>
      <w:r>
        <w:rPr>
          <w:rFonts w:ascii="Arial" w:eastAsia="宋体" w:hAnsi="Arial" w:cs="Arial"/>
          <w:i/>
          <w:iCs/>
          <w:color w:val="000000"/>
          <w:sz w:val="20"/>
          <w:szCs w:val="20"/>
        </w:rPr>
        <w:t>Quarterhill</w:t>
      </w:r>
      <w:r>
        <w:rPr>
          <w:rFonts w:ascii="Arial" w:eastAsia="宋体" w:hAnsi="Arial" w:cs="Arial"/>
          <w:i/>
          <w:iCs/>
          <w:color w:val="000000"/>
          <w:sz w:val="20"/>
          <w:szCs w:val="20"/>
        </w:rPr>
        <w:t xml:space="preserve"> Inc. Litigation </w:t>
      </w:r>
    </w:p>
    <w:p w14:paraId="5902B42D" w14:textId="77777777" w:rsidR="0084406A" w:rsidRDefault="002B18AF">
      <w:pPr>
        <w:spacing w:before="180"/>
        <w:jc w:val="both"/>
      </w:pPr>
      <w:r>
        <w:rPr>
          <w:rFonts w:ascii="Arial" w:eastAsia="宋体" w:hAnsi="Arial" w:cs="Arial"/>
          <w:color w:val="000000"/>
          <w:sz w:val="20"/>
          <w:szCs w:val="20"/>
        </w:rPr>
        <w:t xml:space="preserve">On July 2, 2018, three entities named Aquila Innovations, Inc. (Aquila), Collabo Innovations, Inc. (Collabo), and Polaris Innovations, Ltd. (Polaris), filed separate patent infringement complaints against the Company in the United States </w:t>
      </w:r>
      <w:r>
        <w:rPr>
          <w:rFonts w:ascii="Arial" w:eastAsia="宋体" w:hAnsi="Arial" w:cs="Arial"/>
          <w:color w:val="000000"/>
          <w:sz w:val="20"/>
          <w:szCs w:val="20"/>
        </w:rPr>
        <w:t>District Court for the Western District of Texas. Aquila alleges that the Company infringes two patents (6,239,614 and 6,895,519) relating to power management; Collabo alleges that the Company infringes one patent (7,930,575) related to power management; a</w:t>
      </w:r>
      <w:r>
        <w:rPr>
          <w:rFonts w:ascii="Arial" w:eastAsia="宋体" w:hAnsi="Arial" w:cs="Arial"/>
          <w:color w:val="000000"/>
          <w:sz w:val="20"/>
          <w:szCs w:val="20"/>
        </w:rPr>
        <w:t>nd Polaris alleges that the Company infringes two patents (6,728,144 and 8,117,526) relating to control or use of dynamic random-access memory, or DRAM. Each of the three complaints seeks unspecified monetary damages, interest, fees, expenses, and costs ag</w:t>
      </w:r>
      <w:r>
        <w:rPr>
          <w:rFonts w:ascii="Arial" w:eastAsia="宋体" w:hAnsi="Arial" w:cs="Arial"/>
          <w:color w:val="000000"/>
          <w:sz w:val="20"/>
          <w:szCs w:val="20"/>
        </w:rPr>
        <w:t>ainst the Company; Aquila and Collabo also seek enhanced damages. Aquila, Collabo, and Polaris each appear to be related to a patent assertion entity named Quarterhill Inc. (formerly WiLAN Inc.). On May 14, 2020, at the request of Polaris, the Court dismis</w:t>
      </w:r>
      <w:r>
        <w:rPr>
          <w:rFonts w:ascii="Arial" w:eastAsia="宋体" w:hAnsi="Arial" w:cs="Arial"/>
          <w:color w:val="000000"/>
          <w:sz w:val="20"/>
          <w:szCs w:val="20"/>
        </w:rPr>
        <w:t>sed all claims related to one of the two patents in suite in the Polaris case. On June 10, 2020, the Court granted AMD’s motions to stay the Polaris and Aquila cases pending the completion of inter partes review of each of the patents-in-suit in those case</w:t>
      </w:r>
      <w:r>
        <w:rPr>
          <w:rFonts w:ascii="Arial" w:eastAsia="宋体" w:hAnsi="Arial" w:cs="Arial"/>
          <w:color w:val="000000"/>
          <w:sz w:val="20"/>
          <w:szCs w:val="20"/>
        </w:rPr>
        <w:t>s by the Patent Trial and Appeal Board. On February 22, 2021, February 26, 2021, and March 10, 2021, the Patent Trial and Appeal Board issued final written decisions in inter partes reviews invalidating all asserted claims of the remaining Polaris and Aqui</w:t>
      </w:r>
      <w:r>
        <w:rPr>
          <w:rFonts w:ascii="Arial" w:eastAsia="宋体" w:hAnsi="Arial" w:cs="Arial"/>
          <w:color w:val="000000"/>
          <w:sz w:val="20"/>
          <w:szCs w:val="20"/>
        </w:rPr>
        <w:t>la patents. On May 10, 2021, Aquila filed a notice of appeal to the Court of Appeals for the Federal Circuit for the IPR decision regarding U.S. Patent No. 6,895,519. On April 30, 2021, Polaris filed a notice of appeal to the Court of Appeals for the Feder</w:t>
      </w:r>
      <w:r>
        <w:rPr>
          <w:rFonts w:ascii="Arial" w:eastAsia="宋体" w:hAnsi="Arial" w:cs="Arial"/>
          <w:color w:val="000000"/>
          <w:sz w:val="20"/>
          <w:szCs w:val="20"/>
        </w:rPr>
        <w:t>al Circuit for the IPR decision regarding U.S. Patent No. 8,117,526. On May 14, 2021, AMD filed a notice of cross-appeal to the Court of Appeals for the Federal Circuit for the IPR decision regarding U.S. Patent No. 8,117,526. Appellate briefing is underwa</w:t>
      </w:r>
      <w:r>
        <w:rPr>
          <w:rFonts w:ascii="Arial" w:eastAsia="宋体" w:hAnsi="Arial" w:cs="Arial"/>
          <w:color w:val="000000"/>
          <w:sz w:val="20"/>
          <w:szCs w:val="20"/>
        </w:rPr>
        <w:t xml:space="preserve">y. </w:t>
      </w:r>
    </w:p>
    <w:p w14:paraId="5902B42E" w14:textId="77777777" w:rsidR="0084406A" w:rsidRDefault="002B18AF">
      <w:pPr>
        <w:jc w:val="center"/>
      </w:pPr>
      <w:r>
        <w:rPr>
          <w:rFonts w:ascii="Arial" w:eastAsia="宋体" w:hAnsi="Arial" w:cs="Arial"/>
          <w:color w:val="000000"/>
          <w:sz w:val="20"/>
          <w:szCs w:val="20"/>
        </w:rPr>
        <w:t>77</w:t>
      </w:r>
    </w:p>
    <w:p w14:paraId="5902B42F" w14:textId="77777777" w:rsidR="0084406A" w:rsidRDefault="002B18AF">
      <w:r>
        <w:pict w14:anchorId="5902BB43">
          <v:rect id="_x0000_i1104" style="width:415.3pt;height:1.5pt" o:hralign="center" o:hrstd="t" o:hr="t" fillcolor="#a0a0a0" stroked="f"/>
        </w:pict>
      </w:r>
    </w:p>
    <w:p w14:paraId="5902B430" w14:textId="77777777" w:rsidR="0084406A" w:rsidRDefault="0084406A"/>
    <w:p w14:paraId="5902B431" w14:textId="77777777" w:rsidR="0084406A" w:rsidRDefault="002B18AF">
      <w:pPr>
        <w:spacing w:before="180"/>
        <w:jc w:val="both"/>
      </w:pPr>
      <w:r>
        <w:rPr>
          <w:rFonts w:ascii="Arial" w:eastAsia="宋体" w:hAnsi="Arial" w:cs="Arial"/>
          <w:i/>
          <w:iCs/>
          <w:color w:val="000000"/>
          <w:sz w:val="20"/>
          <w:szCs w:val="20"/>
        </w:rPr>
        <w:t>Monterey Research Litigation</w:t>
      </w:r>
    </w:p>
    <w:p w14:paraId="5902B432" w14:textId="77777777" w:rsidR="0084406A" w:rsidRDefault="002B18AF">
      <w:pPr>
        <w:spacing w:before="180"/>
        <w:jc w:val="both"/>
      </w:pPr>
      <w:r>
        <w:rPr>
          <w:rFonts w:ascii="Arial" w:eastAsia="宋体" w:hAnsi="Arial" w:cs="Arial"/>
          <w:color w:val="000000"/>
          <w:sz w:val="20"/>
          <w:szCs w:val="20"/>
        </w:rPr>
        <w:t>On November 15, 2019, Monterey Research, LLC filed a patent infringement complaint against the Company in the United States District Court for the District of Delaware (Case. No. 1:19-cv-02149). Monterey Research alle</w:t>
      </w:r>
      <w:r>
        <w:rPr>
          <w:rFonts w:ascii="Arial" w:eastAsia="宋体" w:hAnsi="Arial" w:cs="Arial"/>
          <w:color w:val="000000"/>
          <w:sz w:val="20"/>
          <w:szCs w:val="20"/>
        </w:rPr>
        <w:t>ges that the Company infringes six U.S. patents: 6,534,805 (related to SRAM cell design); 6,629,226 (related to read interface protocols); 6,651,134 (related to memory devices); 6,765,407 (related to programmable digital circuits); 6,961,807 (related to in</w:t>
      </w:r>
      <w:r>
        <w:rPr>
          <w:rFonts w:ascii="Arial" w:eastAsia="宋体" w:hAnsi="Arial" w:cs="Arial"/>
          <w:color w:val="000000"/>
          <w:sz w:val="20"/>
          <w:szCs w:val="20"/>
        </w:rPr>
        <w:t>tegrated circuits and associated memory systems); and 8,373,455 (related to output buffer circuits). Monterey Research seeks unspecified monetary damages, enhanced damages, interest, fees, expenses, costs, and injunctive relief against the Company. On Janu</w:t>
      </w:r>
      <w:r>
        <w:rPr>
          <w:rFonts w:ascii="Arial" w:eastAsia="宋体" w:hAnsi="Arial" w:cs="Arial"/>
          <w:color w:val="000000"/>
          <w:sz w:val="20"/>
          <w:szCs w:val="20"/>
        </w:rPr>
        <w:t>ary 22, 2020, the Company filed a motion to dismiss part of Monterey Research’s complaint. On February 5, 2020, Monterey Research filed an amended complaint. On February 19, 2020, the Company filed a renewed motion to dismiss part of Monterey Research’s co</w:t>
      </w:r>
      <w:r>
        <w:rPr>
          <w:rFonts w:ascii="Arial" w:eastAsia="宋体" w:hAnsi="Arial" w:cs="Arial"/>
          <w:color w:val="000000"/>
          <w:sz w:val="20"/>
          <w:szCs w:val="20"/>
        </w:rPr>
        <w:t>mplaint. On October 13, 2020, the Court granted in part, and denied in part, the Company’s renewed motion to dismiss. On October 27, 2020, the Company filed its answer to Monterey’s complaint and also filed counterclaims based on Monterey’s breach of the p</w:t>
      </w:r>
      <w:r>
        <w:rPr>
          <w:rFonts w:ascii="Arial" w:eastAsia="宋体" w:hAnsi="Arial" w:cs="Arial"/>
          <w:color w:val="000000"/>
          <w:sz w:val="20"/>
          <w:szCs w:val="20"/>
        </w:rPr>
        <w:t>arties’ pre-suit non-disclosure agreement. On December 1, 2020, Monterey filed a motion to dismiss the Company’s counterclaims. On January 5, 2021, the Court granted the Company’s motion to stay the litigation pending inter partes review of the patents-in-</w:t>
      </w:r>
      <w:r>
        <w:rPr>
          <w:rFonts w:ascii="Arial" w:eastAsia="宋体" w:hAnsi="Arial" w:cs="Arial"/>
          <w:color w:val="000000"/>
          <w:sz w:val="20"/>
          <w:szCs w:val="20"/>
        </w:rPr>
        <w:t>suit by the Patent Trial and Appeals Board. In November and December 2021 and January 2022, the USPTO issued five final written decisions in the inter partes reviews cancelling all challenged claims of five patents in suit.</w:t>
      </w:r>
    </w:p>
    <w:p w14:paraId="5902B433" w14:textId="77777777" w:rsidR="0084406A" w:rsidRDefault="002B18AF">
      <w:pPr>
        <w:spacing w:before="180"/>
        <w:jc w:val="both"/>
      </w:pPr>
      <w:r>
        <w:rPr>
          <w:rFonts w:ascii="Arial" w:eastAsia="宋体" w:hAnsi="Arial" w:cs="Arial"/>
          <w:color w:val="000000"/>
          <w:sz w:val="20"/>
          <w:szCs w:val="20"/>
        </w:rPr>
        <w:t>On August 12, 2021, Monterey fil</w:t>
      </w:r>
      <w:r>
        <w:rPr>
          <w:rFonts w:ascii="Arial" w:eastAsia="宋体" w:hAnsi="Arial" w:cs="Arial"/>
          <w:color w:val="000000"/>
          <w:sz w:val="20"/>
          <w:szCs w:val="20"/>
        </w:rPr>
        <w:t>ed two patent infringement complaints in the United States District Court for the Western District of Texas (Case. No. 6:21-cv-00839 and Case. No. 6:21-cv-00840). In the first complaint, Monterey alleges that the Company infringes two patents (8,694,776 an</w:t>
      </w:r>
      <w:r>
        <w:rPr>
          <w:rFonts w:ascii="Arial" w:eastAsia="宋体" w:hAnsi="Arial" w:cs="Arial"/>
          <w:color w:val="000000"/>
          <w:sz w:val="20"/>
          <w:szCs w:val="20"/>
        </w:rPr>
        <w:t>d 9,767,303) related to memory controllers, three patents (8,572,297, 7,609,799, and 7,899,145) related to circuit designs, and one patent (6,979,640) related to semiconductor processing. In the second complaint, Monterey alleges that the Company infringes</w:t>
      </w:r>
      <w:r>
        <w:rPr>
          <w:rFonts w:ascii="Arial" w:eastAsia="宋体" w:hAnsi="Arial" w:cs="Arial"/>
          <w:color w:val="000000"/>
          <w:sz w:val="20"/>
          <w:szCs w:val="20"/>
        </w:rPr>
        <w:t xml:space="preserve"> one patent (6,680,516) related to semiconductor processing. In both complaints, Monterey Research seeks unspecified monetary damages, enhanced damages, interest, fees, expenses, costs, and injunctive relief against the Company. On October 22, 2021, Monter</w:t>
      </w:r>
      <w:r>
        <w:rPr>
          <w:rFonts w:ascii="Arial" w:eastAsia="宋体" w:hAnsi="Arial" w:cs="Arial"/>
          <w:color w:val="000000"/>
          <w:sz w:val="20"/>
          <w:szCs w:val="20"/>
        </w:rPr>
        <w:t>ey Research filed an amended complaint in Case. No. 6:21-cv-00840 withdrawing its infringement claims for the ’776 and ’303 patents, and asserting an additional infringement claim for a patent related to circuit design (8,103,497).On November 15, 2021, the</w:t>
      </w:r>
      <w:r>
        <w:rPr>
          <w:rFonts w:ascii="Arial" w:eastAsia="宋体" w:hAnsi="Arial" w:cs="Arial"/>
          <w:color w:val="000000"/>
          <w:sz w:val="20"/>
          <w:szCs w:val="20"/>
        </w:rPr>
        <w:t xml:space="preserve"> Company filed a motion to dismiss the complaint. On December 8, 2021, Monterey filed its response. On December 20, 2021, the Company filed a motion to transfer the case to Austin division. </w:t>
      </w:r>
    </w:p>
    <w:p w14:paraId="5902B434" w14:textId="77777777" w:rsidR="0084406A" w:rsidRDefault="002B18AF">
      <w:pPr>
        <w:spacing w:before="180"/>
        <w:jc w:val="both"/>
      </w:pPr>
      <w:r>
        <w:rPr>
          <w:rFonts w:ascii="Arial" w:eastAsia="宋体" w:hAnsi="Arial" w:cs="Arial"/>
          <w:i/>
          <w:iCs/>
          <w:color w:val="000000"/>
          <w:sz w:val="20"/>
          <w:szCs w:val="20"/>
        </w:rPr>
        <w:t>City of Pontiac Police and Fire Retirement System Litigation</w:t>
      </w:r>
    </w:p>
    <w:p w14:paraId="5902B435" w14:textId="77777777" w:rsidR="0084406A" w:rsidRDefault="002B18AF">
      <w:pPr>
        <w:spacing w:before="180"/>
        <w:jc w:val="both"/>
      </w:pPr>
      <w:r>
        <w:rPr>
          <w:rFonts w:ascii="Arial" w:eastAsia="宋体" w:hAnsi="Arial" w:cs="Arial"/>
          <w:color w:val="000000"/>
          <w:sz w:val="20"/>
          <w:szCs w:val="20"/>
        </w:rPr>
        <w:t>On S</w:t>
      </w:r>
      <w:r>
        <w:rPr>
          <w:rFonts w:ascii="Arial" w:eastAsia="宋体" w:hAnsi="Arial" w:cs="Arial"/>
          <w:color w:val="000000"/>
          <w:sz w:val="20"/>
          <w:szCs w:val="20"/>
        </w:rPr>
        <w:t>eptember 29, 2020, the City of Pontiac Police and Fire Retirement System, an AMD shareholder, filed a shareholder derivative complaint (the “Complaint”) against AMD and the members of its Board of Directors (collectively, “Defendants”) in the United States</w:t>
      </w:r>
      <w:r>
        <w:rPr>
          <w:rFonts w:ascii="Arial" w:eastAsia="宋体" w:hAnsi="Arial" w:cs="Arial"/>
          <w:color w:val="000000"/>
          <w:sz w:val="20"/>
          <w:szCs w:val="20"/>
        </w:rPr>
        <w:t xml:space="preserve"> District Court for the Northern District of California. See City of Pontiac Police and Fire Retirement System v. Caldwell, et al., No. 5:20-cv-6794 (N.D. Cal.). The Complaint alleges that Defendants breached their fiduciary duties, violated Section 14(a) </w:t>
      </w:r>
      <w:r>
        <w:rPr>
          <w:rFonts w:ascii="Arial" w:eastAsia="宋体" w:hAnsi="Arial" w:cs="Arial"/>
          <w:color w:val="000000"/>
          <w:sz w:val="20"/>
          <w:szCs w:val="20"/>
        </w:rPr>
        <w:t>of the Exchange Act of 1934, and were unjustly enriched by misrepresenting the Company’s commitment to diversity, particularly with respect to the composition of the membership of AMD’s Board of Directors and senior leadership team. On December 18, 2020, D</w:t>
      </w:r>
      <w:r>
        <w:rPr>
          <w:rFonts w:ascii="Arial" w:eastAsia="宋体" w:hAnsi="Arial" w:cs="Arial"/>
          <w:color w:val="000000"/>
          <w:sz w:val="20"/>
          <w:szCs w:val="20"/>
        </w:rPr>
        <w:t>efendants filed a motion to dismiss the Complaint. On February 12, 2021, Plaintiff filed an opposition to Defendants’ motion to dismiss, and on March 12, 2021, Defendants filed a reply brief in support of the motion to dismiss. On July 1, 2021, the Court g</w:t>
      </w:r>
      <w:r>
        <w:rPr>
          <w:rFonts w:ascii="Arial" w:eastAsia="宋体" w:hAnsi="Arial" w:cs="Arial"/>
          <w:color w:val="000000"/>
          <w:sz w:val="20"/>
          <w:szCs w:val="20"/>
        </w:rPr>
        <w:t>ranted Defendants’ motion to dismiss, without prejudice. On August 2, 2021, the parties filed a joint stipulation to dismiss the case with prejudice, and the court approved the joint stipulation on August 3, 2021.</w:t>
      </w:r>
    </w:p>
    <w:p w14:paraId="5902B436" w14:textId="77777777" w:rsidR="0084406A" w:rsidRDefault="002B18AF">
      <w:pPr>
        <w:jc w:val="center"/>
      </w:pPr>
      <w:r>
        <w:rPr>
          <w:rFonts w:ascii="Arial" w:eastAsia="宋体" w:hAnsi="Arial" w:cs="Arial"/>
          <w:color w:val="000000"/>
          <w:sz w:val="20"/>
          <w:szCs w:val="20"/>
        </w:rPr>
        <w:t>78</w:t>
      </w:r>
    </w:p>
    <w:p w14:paraId="5902B437" w14:textId="77777777" w:rsidR="0084406A" w:rsidRDefault="002B18AF">
      <w:r>
        <w:pict w14:anchorId="5902BB44">
          <v:rect id="_x0000_i1105" style="width:415.3pt;height:1.5pt" o:hralign="center" o:hrstd="t" o:hr="t" fillcolor="#a0a0a0" stroked="f"/>
        </w:pict>
      </w:r>
    </w:p>
    <w:p w14:paraId="5902B438" w14:textId="77777777" w:rsidR="0084406A" w:rsidRDefault="0084406A"/>
    <w:p w14:paraId="5902B439" w14:textId="77777777" w:rsidR="0084406A" w:rsidRDefault="002B18AF">
      <w:pPr>
        <w:spacing w:before="180"/>
        <w:jc w:val="both"/>
      </w:pPr>
      <w:r>
        <w:rPr>
          <w:rFonts w:ascii="Arial" w:eastAsia="宋体" w:hAnsi="Arial" w:cs="Arial"/>
          <w:i/>
          <w:iCs/>
          <w:color w:val="000000"/>
          <w:sz w:val="20"/>
          <w:szCs w:val="20"/>
        </w:rPr>
        <w:t>Xilinx Acquisition Litigation</w:t>
      </w:r>
    </w:p>
    <w:p w14:paraId="5902B43A" w14:textId="77777777" w:rsidR="0084406A" w:rsidRDefault="002B18AF">
      <w:pPr>
        <w:spacing w:before="180"/>
        <w:jc w:val="both"/>
      </w:pPr>
      <w:r>
        <w:rPr>
          <w:rFonts w:ascii="Arial" w:eastAsia="宋体" w:hAnsi="Arial" w:cs="Arial"/>
          <w:color w:val="000000"/>
          <w:sz w:val="20"/>
          <w:szCs w:val="20"/>
        </w:rPr>
        <w:t>On Oct</w:t>
      </w:r>
      <w:r>
        <w:rPr>
          <w:rFonts w:ascii="Arial" w:eastAsia="宋体" w:hAnsi="Arial" w:cs="Arial"/>
          <w:color w:val="000000"/>
          <w:sz w:val="20"/>
          <w:szCs w:val="20"/>
        </w:rPr>
        <w:t>ober 26, 2020, the Company, its wholly-owned subsidiary, Thrones Merger Sub, Inc., and Xilinx, Inc. (“Xilinx”) entered a definitive agreement (the “Merger Agreement”) in which the Company will acquire Xilinx by merging Thrones Merger Sub, Inc. with and int</w:t>
      </w:r>
      <w:r>
        <w:rPr>
          <w:rFonts w:ascii="Arial" w:eastAsia="宋体" w:hAnsi="Arial" w:cs="Arial"/>
          <w:color w:val="000000"/>
          <w:sz w:val="20"/>
          <w:szCs w:val="20"/>
        </w:rPr>
        <w:t>o Xilinx, with Xilinx continuing as the surviving corporation and becoming a wholly-owned subsidiary of the Company (the “Proposed Transaction”). See Note 13 of Notes to Consolidated Financial Statements for additional information. On December 3, 2020, the</w:t>
      </w:r>
      <w:r>
        <w:rPr>
          <w:rFonts w:ascii="Arial" w:eastAsia="宋体" w:hAnsi="Arial" w:cs="Arial"/>
          <w:color w:val="000000"/>
          <w:sz w:val="20"/>
          <w:szCs w:val="20"/>
        </w:rPr>
        <w:t xml:space="preserve"> Company and Xilinx filed a Registration Statement on Form S-4 (together with the joint proxy statement and prospectus contained therein, the “Registration Statement”) describing the Proposed Transaction and other related matters. On December 11, 2020, a X</w:t>
      </w:r>
      <w:r>
        <w:rPr>
          <w:rFonts w:ascii="Arial" w:eastAsia="宋体" w:hAnsi="Arial" w:cs="Arial"/>
          <w:color w:val="000000"/>
          <w:sz w:val="20"/>
          <w:szCs w:val="20"/>
        </w:rPr>
        <w:t>ilinx shareholder filed a putative class action in the New York State Supreme Court, New York County, regarding the Proposed Transaction. Nunez v. Xilinx, Case No. 656971/2020 (N.Y. Sup. Ct.) (“Nunez”). The lawsuit alleges that the Board of Directors of Xi</w:t>
      </w:r>
      <w:r>
        <w:rPr>
          <w:rFonts w:ascii="Arial" w:eastAsia="宋体" w:hAnsi="Arial" w:cs="Arial"/>
          <w:color w:val="000000"/>
          <w:sz w:val="20"/>
          <w:szCs w:val="20"/>
        </w:rPr>
        <w:t>linx breached their fiduciary duties to Xilinx shareholders in connection with the Proposed Transaction by allegedly failing to obtain fair, adequate and maximum consideration for Xilinx shareholders in connection with the Proposed Transaction and by not d</w:t>
      </w:r>
      <w:r>
        <w:rPr>
          <w:rFonts w:ascii="Arial" w:eastAsia="宋体" w:hAnsi="Arial" w:cs="Arial"/>
          <w:color w:val="000000"/>
          <w:sz w:val="20"/>
          <w:szCs w:val="20"/>
        </w:rPr>
        <w:t>isclosing certain material information about the Proposed Transaction in the Registration Statement. The lawsuit asserts a single claim against the Company, alleging that it aided and abetted the Xilinx directors’ breach of their fiduciary duties. The laws</w:t>
      </w:r>
      <w:r>
        <w:rPr>
          <w:rFonts w:ascii="Arial" w:eastAsia="宋体" w:hAnsi="Arial" w:cs="Arial"/>
          <w:color w:val="000000"/>
          <w:sz w:val="20"/>
          <w:szCs w:val="20"/>
        </w:rPr>
        <w:t>uit seeks to enjoin or rescind any transaction with Xilinx as well as certain other equitable relief, unspecified damages and attorneys’ fees and costs.</w:t>
      </w:r>
    </w:p>
    <w:p w14:paraId="5902B43B" w14:textId="77777777" w:rsidR="0084406A" w:rsidRDefault="002B18AF">
      <w:pPr>
        <w:spacing w:before="180"/>
        <w:jc w:val="both"/>
      </w:pPr>
      <w:r>
        <w:rPr>
          <w:rFonts w:ascii="Arial" w:eastAsia="宋体" w:hAnsi="Arial" w:cs="Arial"/>
          <w:color w:val="000000"/>
          <w:sz w:val="20"/>
          <w:szCs w:val="20"/>
        </w:rPr>
        <w:t xml:space="preserve">On December 15, 2020, a Xilinx shareholder filed a lawsuit in the United States District Court for the </w:t>
      </w:r>
      <w:r>
        <w:rPr>
          <w:rFonts w:ascii="Arial" w:eastAsia="宋体" w:hAnsi="Arial" w:cs="Arial"/>
          <w:color w:val="000000"/>
          <w:sz w:val="20"/>
          <w:szCs w:val="20"/>
        </w:rPr>
        <w:t>Southern District of New York, regarding the Proposed Transaction. Shumacher v. Xilinx, Case No. 1:20-cv-10595 (S.D.N.Y.) (“Shumacher”). The lawsuit alleges that Xilinx and its Board of Directors disseminated a false and misleading Registration Statement t</w:t>
      </w:r>
      <w:r>
        <w:rPr>
          <w:rFonts w:ascii="Arial" w:eastAsia="宋体" w:hAnsi="Arial" w:cs="Arial"/>
          <w:color w:val="000000"/>
          <w:sz w:val="20"/>
          <w:szCs w:val="20"/>
        </w:rPr>
        <w:t>hat omitted material information regarding the Proposed Transaction, thereby violating Section 14(a) of the Securities Exchange Act of 1934, as amended (the “Exchange Act”). The lawsuit also asserts a single claim against the Company, alleging that it acte</w:t>
      </w:r>
      <w:r>
        <w:rPr>
          <w:rFonts w:ascii="Arial" w:eastAsia="宋体" w:hAnsi="Arial" w:cs="Arial"/>
          <w:color w:val="000000"/>
          <w:sz w:val="20"/>
          <w:szCs w:val="20"/>
        </w:rPr>
        <w:t xml:space="preserve">d as a controlling person of Xilinx within the meaning of Section 20(a) of the Exchange Act by virtue of its supervisory control over the composition of the Registration Statement. The lawsuit seeks to enjoin or rescind any transaction with Xilinx as well </w:t>
      </w:r>
      <w:r>
        <w:rPr>
          <w:rFonts w:ascii="Arial" w:eastAsia="宋体" w:hAnsi="Arial" w:cs="Arial"/>
          <w:color w:val="000000"/>
          <w:sz w:val="20"/>
          <w:szCs w:val="20"/>
        </w:rPr>
        <w:t>as certain other equitable relief, unspecified damages and attorneys’ fees and costs.</w:t>
      </w:r>
    </w:p>
    <w:p w14:paraId="5902B43C" w14:textId="77777777" w:rsidR="0084406A" w:rsidRDefault="002B18AF">
      <w:pPr>
        <w:spacing w:before="180"/>
        <w:jc w:val="both"/>
      </w:pPr>
      <w:r>
        <w:rPr>
          <w:rFonts w:ascii="Arial" w:eastAsia="宋体" w:hAnsi="Arial" w:cs="Arial"/>
          <w:color w:val="000000"/>
          <w:sz w:val="20"/>
          <w:szCs w:val="20"/>
        </w:rPr>
        <w:t>On December 23, 2020, a shareholder of the Company filed a lawsuit in the United States District Court of the Southern District of New York regarding the Proposed Transac</w:t>
      </w:r>
      <w:r>
        <w:rPr>
          <w:rFonts w:ascii="Arial" w:eastAsia="宋体" w:hAnsi="Arial" w:cs="Arial"/>
          <w:color w:val="000000"/>
          <w:sz w:val="20"/>
          <w:szCs w:val="20"/>
        </w:rPr>
        <w:t xml:space="preserve">tion. Vazirani v. Advanced Micro Devices, Case No. 1:20-cv-10894 (S.D.N.Y) (“Vazirani”). The lawsuit alleges that the Company and its Board of Directors disseminated a false and misleading Registration Statement that omitted material information regarding </w:t>
      </w:r>
      <w:r>
        <w:rPr>
          <w:rFonts w:ascii="Arial" w:eastAsia="宋体" w:hAnsi="Arial" w:cs="Arial"/>
          <w:color w:val="000000"/>
          <w:sz w:val="20"/>
          <w:szCs w:val="20"/>
        </w:rPr>
        <w:t>the Proposed Transaction, thereby violating Sections 14(a) and 20(a) of the Exchange Act. The lawsuit seeks to enjoin or rescind any transaction with Xilinx as well as certain other equitable relief, unspecified damages and attorneys’ fees and costs.</w:t>
      </w:r>
    </w:p>
    <w:p w14:paraId="5902B43D" w14:textId="77777777" w:rsidR="0084406A" w:rsidRDefault="002B18AF">
      <w:pPr>
        <w:spacing w:before="180"/>
        <w:jc w:val="both"/>
      </w:pPr>
      <w:r>
        <w:rPr>
          <w:rFonts w:ascii="Arial" w:eastAsia="宋体" w:hAnsi="Arial" w:cs="Arial"/>
          <w:color w:val="000000"/>
          <w:sz w:val="20"/>
          <w:szCs w:val="20"/>
        </w:rPr>
        <w:t>On Ma</w:t>
      </w:r>
      <w:r>
        <w:rPr>
          <w:rFonts w:ascii="Arial" w:eastAsia="宋体" w:hAnsi="Arial" w:cs="Arial"/>
          <w:color w:val="000000"/>
          <w:sz w:val="20"/>
          <w:szCs w:val="20"/>
        </w:rPr>
        <w:t>rch 22, 2021, the Nunez complaint was voluntarily dismissed, and on March 25, 2021, the Vazirani complaint was voluntarily dismissed. The Shumacher complaint was voluntarily dismissed on April 9, 2021.</w:t>
      </w:r>
    </w:p>
    <w:p w14:paraId="5902B43E" w14:textId="77777777" w:rsidR="0084406A" w:rsidRDefault="002B18AF">
      <w:pPr>
        <w:spacing w:before="180"/>
        <w:jc w:val="both"/>
      </w:pPr>
      <w:r>
        <w:rPr>
          <w:rFonts w:ascii="Arial" w:eastAsia="宋体" w:hAnsi="Arial" w:cs="Arial"/>
          <w:i/>
          <w:iCs/>
          <w:color w:val="000000"/>
          <w:sz w:val="20"/>
          <w:szCs w:val="20"/>
        </w:rPr>
        <w:t>Future Link Systems Litigation</w:t>
      </w:r>
    </w:p>
    <w:p w14:paraId="5902B43F" w14:textId="77777777" w:rsidR="0084406A" w:rsidRDefault="002B18AF">
      <w:pPr>
        <w:spacing w:before="180"/>
        <w:jc w:val="both"/>
      </w:pPr>
      <w:r>
        <w:rPr>
          <w:rFonts w:ascii="Arial" w:eastAsia="宋体" w:hAnsi="Arial" w:cs="Arial"/>
          <w:color w:val="000000"/>
          <w:sz w:val="20"/>
          <w:szCs w:val="20"/>
        </w:rPr>
        <w:t>On December 21, 2020, Future Link Systems, LLC filed a patent infringement complaint against the Company in the United States District Court for the Western District of Texas. Future Link Systems alleges that the Company infringes three U.S. patents: 7,983</w:t>
      </w:r>
      <w:r>
        <w:rPr>
          <w:rFonts w:ascii="Arial" w:eastAsia="宋体" w:hAnsi="Arial" w:cs="Arial"/>
          <w:color w:val="000000"/>
          <w:sz w:val="20"/>
          <w:szCs w:val="20"/>
        </w:rPr>
        <w:t>,888 (related to simulated PCI express circuitry); 6,363,466 (related to out of order data transactions); and 6,622,108 (related to interconnect testing). Future Link Systems seeks unspecified monetary damages, enhanced damages, interest, fees, expenses, c</w:t>
      </w:r>
      <w:r>
        <w:rPr>
          <w:rFonts w:ascii="Arial" w:eastAsia="宋体" w:hAnsi="Arial" w:cs="Arial"/>
          <w:color w:val="000000"/>
          <w:sz w:val="20"/>
          <w:szCs w:val="20"/>
        </w:rPr>
        <w:t>osts, and injunctive relief against the Company. On March 22, 2021, the Company filed its answer to Future Link Systems’ complaint and also filed counterclaims based on Future Link Systems’ breach of the parties’ pre-suit non-disclosure agreement. On April</w:t>
      </w:r>
      <w:r>
        <w:rPr>
          <w:rFonts w:ascii="Arial" w:eastAsia="宋体" w:hAnsi="Arial" w:cs="Arial"/>
          <w:color w:val="000000"/>
          <w:sz w:val="20"/>
          <w:szCs w:val="20"/>
        </w:rPr>
        <w:t xml:space="preserve"> 12, 2021, Future Link Systems filed its answer to the Company’s counterclaims. On June 3, 2021, the Company filed a motion to transfer the case to Austin, Texas. On October 14, 2021, the Court issued an order construing certain terms in the asserted paten</w:t>
      </w:r>
      <w:r>
        <w:rPr>
          <w:rFonts w:ascii="Arial" w:eastAsia="宋体" w:hAnsi="Arial" w:cs="Arial"/>
          <w:color w:val="000000"/>
          <w:sz w:val="20"/>
          <w:szCs w:val="20"/>
        </w:rPr>
        <w:t>ts. On November 22, 2021, the case was reassigned to the Austin division. On January 5, 2022, the Company filed a motion to strike Future Link System’s infringement contentions, and Future Link Systems filed a response on January 19, 2022. On January 14, 2</w:t>
      </w:r>
      <w:r>
        <w:rPr>
          <w:rFonts w:ascii="Arial" w:eastAsia="宋体" w:hAnsi="Arial" w:cs="Arial"/>
          <w:color w:val="000000"/>
          <w:sz w:val="20"/>
          <w:szCs w:val="20"/>
        </w:rPr>
        <w:t xml:space="preserve">022, the USPTO instituted an IPR trial for one of the three patents in suit. </w:t>
      </w:r>
    </w:p>
    <w:p w14:paraId="5902B440" w14:textId="77777777" w:rsidR="0084406A" w:rsidRDefault="002B18AF">
      <w:pPr>
        <w:spacing w:before="180"/>
        <w:jc w:val="both"/>
      </w:pPr>
      <w:r>
        <w:rPr>
          <w:rFonts w:ascii="Arial" w:eastAsia="宋体" w:hAnsi="Arial" w:cs="Arial"/>
          <w:color w:val="000000"/>
          <w:sz w:val="20"/>
          <w:szCs w:val="20"/>
        </w:rPr>
        <w:t>On December 21, 2021, Future Link Systems LLC filed a lawsuit alleging infringement of two patents related to power management. The Company was served with the complaint on Decem</w:t>
      </w:r>
      <w:r>
        <w:rPr>
          <w:rFonts w:ascii="Arial" w:eastAsia="宋体" w:hAnsi="Arial" w:cs="Arial"/>
          <w:color w:val="000000"/>
          <w:sz w:val="20"/>
          <w:szCs w:val="20"/>
        </w:rPr>
        <w:t>ber 28, 2021. On December 28, 2021, Future Link Systems LLC filed a complaint at the United States International Trade Commission alleging infringement of the same two power management patents. Several of the Company’s customers were also named as responde</w:t>
      </w:r>
      <w:r>
        <w:rPr>
          <w:rFonts w:ascii="Arial" w:eastAsia="宋体" w:hAnsi="Arial" w:cs="Arial"/>
          <w:color w:val="000000"/>
          <w:sz w:val="20"/>
          <w:szCs w:val="20"/>
        </w:rPr>
        <w:t>nts. On January 26, 2022, the USITC announced that it would institute the investigation.</w:t>
      </w:r>
    </w:p>
    <w:p w14:paraId="5902B441" w14:textId="77777777" w:rsidR="0084406A" w:rsidRDefault="002B18AF">
      <w:pPr>
        <w:jc w:val="center"/>
      </w:pPr>
      <w:r>
        <w:rPr>
          <w:rFonts w:ascii="Arial" w:eastAsia="宋体" w:hAnsi="Arial" w:cs="Arial"/>
          <w:color w:val="000000"/>
          <w:sz w:val="20"/>
          <w:szCs w:val="20"/>
        </w:rPr>
        <w:t>79</w:t>
      </w:r>
    </w:p>
    <w:p w14:paraId="5902B442" w14:textId="77777777" w:rsidR="0084406A" w:rsidRDefault="002B18AF">
      <w:r>
        <w:pict w14:anchorId="5902BB45">
          <v:rect id="_x0000_i1106" style="width:415.3pt;height:1.5pt" o:hralign="center" o:hrstd="t" o:hr="t" fillcolor="#a0a0a0" stroked="f"/>
        </w:pict>
      </w:r>
    </w:p>
    <w:p w14:paraId="5902B443" w14:textId="77777777" w:rsidR="0084406A" w:rsidRDefault="0084406A"/>
    <w:p w14:paraId="5902B444" w14:textId="77777777" w:rsidR="0084406A" w:rsidRDefault="002B18AF">
      <w:pPr>
        <w:spacing w:before="180"/>
        <w:jc w:val="both"/>
      </w:pPr>
      <w:r>
        <w:rPr>
          <w:rFonts w:ascii="Arial" w:eastAsia="宋体" w:hAnsi="Arial" w:cs="Arial"/>
          <w:color w:val="000000"/>
          <w:sz w:val="20"/>
          <w:szCs w:val="20"/>
        </w:rPr>
        <w:t>Based upon information presently known to management, the Company believes that the potential liability of the above listed legal proceedings, if any, will not h</w:t>
      </w:r>
      <w:r>
        <w:rPr>
          <w:rFonts w:ascii="Arial" w:eastAsia="宋体" w:hAnsi="Arial" w:cs="Arial"/>
          <w:color w:val="000000"/>
          <w:sz w:val="20"/>
          <w:szCs w:val="20"/>
        </w:rPr>
        <w:t>ave a material adverse effect on its financial condition, cash flows or results of operations.</w:t>
      </w:r>
    </w:p>
    <w:p w14:paraId="5902B445" w14:textId="77777777" w:rsidR="0084406A" w:rsidRDefault="002B18AF">
      <w:pPr>
        <w:spacing w:before="180"/>
        <w:jc w:val="both"/>
      </w:pPr>
      <w:r>
        <w:rPr>
          <w:rFonts w:ascii="Arial" w:eastAsia="宋体" w:hAnsi="Arial" w:cs="Arial"/>
          <w:i/>
          <w:iCs/>
          <w:color w:val="000000"/>
          <w:sz w:val="20"/>
          <w:szCs w:val="20"/>
        </w:rPr>
        <w:t>Environmental Matters</w:t>
      </w:r>
    </w:p>
    <w:p w14:paraId="5902B446" w14:textId="77777777" w:rsidR="0084406A" w:rsidRDefault="002B18AF">
      <w:pPr>
        <w:spacing w:before="180"/>
        <w:jc w:val="both"/>
      </w:pPr>
      <w:r>
        <w:rPr>
          <w:rFonts w:ascii="Arial" w:eastAsia="宋体" w:hAnsi="Arial" w:cs="Arial"/>
          <w:color w:val="000000"/>
          <w:sz w:val="20"/>
          <w:szCs w:val="20"/>
        </w:rPr>
        <w:t xml:space="preserve">The Company is named as a responsible party on Superfund clean-up orders for three sites in Sunnyvale, California that are on the National </w:t>
      </w:r>
      <w:r>
        <w:rPr>
          <w:rFonts w:ascii="Arial" w:eastAsia="宋体" w:hAnsi="Arial" w:cs="Arial"/>
          <w:color w:val="000000"/>
          <w:sz w:val="20"/>
          <w:szCs w:val="20"/>
        </w:rPr>
        <w:t>Priorities List. Since 1981, the Company has discovered hazardous material releases to the groundwater from former underground tanks and proceeded to investigate and conduct remediation at these three sites. The chemicals released into the groundwater were</w:t>
      </w:r>
      <w:r>
        <w:rPr>
          <w:rFonts w:ascii="Arial" w:eastAsia="宋体" w:hAnsi="Arial" w:cs="Arial"/>
          <w:color w:val="000000"/>
          <w:sz w:val="20"/>
          <w:szCs w:val="20"/>
        </w:rPr>
        <w:t xml:space="preserve"> commonly used in the semiconductor industry in the United States in the wafer fabrication process prior to 1979.</w:t>
      </w:r>
    </w:p>
    <w:p w14:paraId="5902B447" w14:textId="77777777" w:rsidR="0084406A" w:rsidRDefault="002B18AF">
      <w:pPr>
        <w:spacing w:before="180"/>
        <w:jc w:val="both"/>
      </w:pPr>
      <w:r>
        <w:rPr>
          <w:rFonts w:ascii="Arial" w:eastAsia="宋体" w:hAnsi="Arial" w:cs="Arial"/>
          <w:color w:val="000000"/>
          <w:sz w:val="20"/>
          <w:szCs w:val="20"/>
        </w:rPr>
        <w:t>In 1991, the Company received Final Site Clean-up Requirements Orders from the California Regional Water Quality Control Board relating to the</w:t>
      </w:r>
      <w:r>
        <w:rPr>
          <w:rFonts w:ascii="Arial" w:eastAsia="宋体" w:hAnsi="Arial" w:cs="Arial"/>
          <w:color w:val="000000"/>
          <w:sz w:val="20"/>
          <w:szCs w:val="20"/>
        </w:rPr>
        <w:t xml:space="preserve"> three sites. The Company has entered into settlement agreements with other responsible parties on two of the orders. During the term of such agreements, other parties have agreed to assume most of the foreseeable costs as well as the primary role in condu</w:t>
      </w:r>
      <w:r>
        <w:rPr>
          <w:rFonts w:ascii="Arial" w:eastAsia="宋体" w:hAnsi="Arial" w:cs="Arial"/>
          <w:color w:val="000000"/>
          <w:sz w:val="20"/>
          <w:szCs w:val="20"/>
        </w:rPr>
        <w:t xml:space="preserve">cting remediation activities under the orders. The Company remains responsible for additional costs beyond the scope of the agreements as well as all remaining costs in the event that the other parties do not fulfill their obligations under the settlement </w:t>
      </w:r>
      <w:r>
        <w:rPr>
          <w:rFonts w:ascii="Arial" w:eastAsia="宋体" w:hAnsi="Arial" w:cs="Arial"/>
          <w:color w:val="000000"/>
          <w:sz w:val="20"/>
          <w:szCs w:val="20"/>
        </w:rPr>
        <w:t>agreements.</w:t>
      </w:r>
    </w:p>
    <w:p w14:paraId="5902B448" w14:textId="77777777" w:rsidR="0084406A" w:rsidRDefault="002B18AF">
      <w:pPr>
        <w:spacing w:before="180"/>
        <w:jc w:val="both"/>
      </w:pPr>
      <w:r>
        <w:rPr>
          <w:rFonts w:ascii="Arial" w:eastAsia="宋体" w:hAnsi="Arial" w:cs="Arial"/>
          <w:color w:val="000000"/>
          <w:sz w:val="20"/>
          <w:szCs w:val="20"/>
        </w:rPr>
        <w:t>To address anticipated future remediation costs under the orders, the Company has computed and recorded an estimated environmental liability of approximately $3.8 million and has not recorded any potential insurance recoveries in determining th</w:t>
      </w:r>
      <w:r>
        <w:rPr>
          <w:rFonts w:ascii="Arial" w:eastAsia="宋体" w:hAnsi="Arial" w:cs="Arial"/>
          <w:color w:val="000000"/>
          <w:sz w:val="20"/>
          <w:szCs w:val="20"/>
        </w:rPr>
        <w:t>e estimated costs of the cleanup. The progress of future remediation efforts cannot be predicted with certainty and these costs may change. The Company believes that any amount in addition to what has already been accrued would not be material.</w:t>
      </w:r>
    </w:p>
    <w:p w14:paraId="5902B449" w14:textId="77777777" w:rsidR="0084406A" w:rsidRDefault="002B18AF">
      <w:pPr>
        <w:spacing w:before="180"/>
        <w:jc w:val="both"/>
      </w:pPr>
      <w:r>
        <w:rPr>
          <w:rFonts w:ascii="Arial" w:eastAsia="宋体" w:hAnsi="Arial" w:cs="Arial"/>
          <w:i/>
          <w:iCs/>
          <w:color w:val="000000"/>
          <w:sz w:val="20"/>
          <w:szCs w:val="20"/>
        </w:rPr>
        <w:t>Other Legal</w:t>
      </w:r>
      <w:r>
        <w:rPr>
          <w:rFonts w:ascii="Arial" w:eastAsia="宋体" w:hAnsi="Arial" w:cs="Arial"/>
          <w:i/>
          <w:iCs/>
          <w:color w:val="000000"/>
          <w:sz w:val="20"/>
          <w:szCs w:val="20"/>
        </w:rPr>
        <w:t xml:space="preserve"> Matters</w:t>
      </w:r>
    </w:p>
    <w:p w14:paraId="5902B44A" w14:textId="77777777" w:rsidR="0084406A" w:rsidRDefault="002B18AF">
      <w:pPr>
        <w:spacing w:before="180"/>
        <w:jc w:val="both"/>
      </w:pPr>
      <w:r>
        <w:rPr>
          <w:rFonts w:ascii="Arial" w:eastAsia="宋体" w:hAnsi="Arial" w:cs="Arial"/>
          <w:color w:val="000000"/>
          <w:sz w:val="20"/>
          <w:szCs w:val="20"/>
        </w:rPr>
        <w:t>The Company is a defendant or plaintiff in various actions that arose in the normal course of business. With respect to these matters, based on the management’s current knowledge, the Company believes that the amount or range of reasonably possibl</w:t>
      </w:r>
      <w:r>
        <w:rPr>
          <w:rFonts w:ascii="Arial" w:eastAsia="宋体" w:hAnsi="Arial" w:cs="Arial"/>
          <w:color w:val="000000"/>
          <w:sz w:val="20"/>
          <w:szCs w:val="20"/>
        </w:rPr>
        <w:t xml:space="preserve">e loss, if any, will not, either individually or in the aggregate, have a material adverse effect on the Company’s financial position, results of operations, or cash flows. </w:t>
      </w:r>
    </w:p>
    <w:p w14:paraId="5902B44B" w14:textId="77777777" w:rsidR="0084406A" w:rsidRDefault="002B18AF">
      <w:pPr>
        <w:spacing w:before="280"/>
        <w:jc w:val="both"/>
      </w:pPr>
      <w:r>
        <w:rPr>
          <w:rFonts w:ascii="Arial" w:eastAsia="宋体" w:hAnsi="Arial" w:cs="Arial"/>
          <w:b/>
          <w:bCs/>
          <w:color w:val="000000"/>
          <w:sz w:val="20"/>
          <w:szCs w:val="20"/>
        </w:rPr>
        <w:t>NOTE 18 - Pending Acquisition</w:t>
      </w:r>
    </w:p>
    <w:p w14:paraId="5902B44C" w14:textId="77777777" w:rsidR="0084406A" w:rsidRDefault="002B18AF">
      <w:pPr>
        <w:spacing w:before="180"/>
        <w:jc w:val="both"/>
      </w:pPr>
      <w:r>
        <w:rPr>
          <w:rFonts w:ascii="Arial" w:eastAsia="宋体" w:hAnsi="Arial" w:cs="Arial"/>
          <w:color w:val="000000"/>
          <w:sz w:val="20"/>
          <w:szCs w:val="20"/>
        </w:rPr>
        <w:t xml:space="preserve">On October 26, 2020, the Company entered into an </w:t>
      </w:r>
      <w:r>
        <w:rPr>
          <w:rFonts w:ascii="Arial" w:eastAsia="宋体" w:hAnsi="Arial" w:cs="Arial"/>
          <w:color w:val="000000"/>
          <w:sz w:val="20"/>
          <w:szCs w:val="20"/>
        </w:rPr>
        <w:t>Agreement and Plan of Merger (the Merger Agreement) with Thrones Merger Sub, Inc., the Company’s wholly owned subsidiary (Merger Sub), and Xilinx, Inc. (Xilinx), whereby Merger Sub will merge with and into Xilinx (the Merger), with Xilinx surviving such Me</w:t>
      </w:r>
      <w:r>
        <w:rPr>
          <w:rFonts w:ascii="Arial" w:eastAsia="宋体" w:hAnsi="Arial" w:cs="Arial"/>
          <w:color w:val="000000"/>
          <w:sz w:val="20"/>
          <w:szCs w:val="20"/>
        </w:rPr>
        <w:t>rger as a wholly owned subsidiary of the Company. Under the Merger Agreement, at the effective time of the Merger (the Effective Time), each share of common stock of Xilinx (Xilinx Common Stock) issued and outstanding immediately prior to the Effective Tim</w:t>
      </w:r>
      <w:r>
        <w:rPr>
          <w:rFonts w:ascii="Arial" w:eastAsia="宋体" w:hAnsi="Arial" w:cs="Arial"/>
          <w:color w:val="000000"/>
          <w:sz w:val="20"/>
          <w:szCs w:val="20"/>
        </w:rPr>
        <w:t>e (other than treasury shares and any shares of Xilinx Common Stock held directly by the Company or Merger Sub) will be converted into the right to receive 1.7234 fully paid and non-assessable shares of the Company’s common stock and, if applicable, cash i</w:t>
      </w:r>
      <w:r>
        <w:rPr>
          <w:rFonts w:ascii="Arial" w:eastAsia="宋体" w:hAnsi="Arial" w:cs="Arial"/>
          <w:color w:val="000000"/>
          <w:sz w:val="20"/>
          <w:szCs w:val="20"/>
        </w:rPr>
        <w:t>n lieu of fractional shares, subject to any applicable withholding. As of the signing of the Merger Agreement, the transaction was valued at $35 billion. The actual valuation of the transaction could differ significantly from the estimated amount due to mo</w:t>
      </w:r>
      <w:r>
        <w:rPr>
          <w:rFonts w:ascii="Arial" w:eastAsia="宋体" w:hAnsi="Arial" w:cs="Arial"/>
          <w:color w:val="000000"/>
          <w:sz w:val="20"/>
          <w:szCs w:val="20"/>
        </w:rPr>
        <w:t>vements in the price of the Company’s common stock, the number of shares of Xilinx common stock outstanding on the closing date of the Merger and other factors.</w:t>
      </w:r>
    </w:p>
    <w:p w14:paraId="5902B44D" w14:textId="77777777" w:rsidR="0084406A" w:rsidRDefault="002B18AF">
      <w:pPr>
        <w:spacing w:before="180"/>
        <w:jc w:val="both"/>
      </w:pPr>
      <w:r>
        <w:rPr>
          <w:rFonts w:ascii="Arial" w:eastAsia="宋体" w:hAnsi="Arial" w:cs="Arial"/>
          <w:color w:val="000000"/>
          <w:sz w:val="20"/>
          <w:szCs w:val="20"/>
        </w:rPr>
        <w:t>Under the Merger Agreement, the Company will be required to pay a termination fee to Xilinx equ</w:t>
      </w:r>
      <w:r>
        <w:rPr>
          <w:rFonts w:ascii="Arial" w:eastAsia="宋体" w:hAnsi="Arial" w:cs="Arial"/>
          <w:color w:val="000000"/>
          <w:sz w:val="20"/>
          <w:szCs w:val="20"/>
        </w:rPr>
        <w:t>al to $1.5 billion if the Merger Agreement is terminated in certain circumstances, including if the Merger Agreement is terminated because the Company’s board of directors has changed its recommendation. The Company will be required to pay a termination fe</w:t>
      </w:r>
      <w:r>
        <w:rPr>
          <w:rFonts w:ascii="Arial" w:eastAsia="宋体" w:hAnsi="Arial" w:cs="Arial"/>
          <w:color w:val="000000"/>
          <w:sz w:val="20"/>
          <w:szCs w:val="20"/>
        </w:rPr>
        <w:t xml:space="preserve">e equal to $1.0 billion if the Merger Agreement is terminated in certain circumstances related to the failure to obtain required regulatory approvals prior to October 26, 2021 (subject to automatic extension first to January 26, 2022 and then to April 26, </w:t>
      </w:r>
      <w:r>
        <w:rPr>
          <w:rFonts w:ascii="Arial" w:eastAsia="宋体" w:hAnsi="Arial" w:cs="Arial"/>
          <w:color w:val="000000"/>
          <w:sz w:val="20"/>
          <w:szCs w:val="20"/>
        </w:rPr>
        <w:t>2022, in each case, to the extent the regulatory closing conditions remain outstanding).</w:t>
      </w:r>
    </w:p>
    <w:p w14:paraId="5902B44E" w14:textId="77777777" w:rsidR="0084406A" w:rsidRDefault="002B18AF">
      <w:pPr>
        <w:spacing w:before="180"/>
        <w:jc w:val="both"/>
      </w:pPr>
      <w:r>
        <w:rPr>
          <w:rFonts w:ascii="Arial" w:eastAsia="宋体" w:hAnsi="Arial" w:cs="Arial"/>
          <w:color w:val="000000"/>
          <w:sz w:val="20"/>
          <w:szCs w:val="20"/>
        </w:rPr>
        <w:t>On April 7, 2021, the Company’s stockholders voted to approve all the proposals relating to the Merger at a special meeting of stockholders. Xilinx stockholders also v</w:t>
      </w:r>
      <w:r>
        <w:rPr>
          <w:rFonts w:ascii="Arial" w:eastAsia="宋体" w:hAnsi="Arial" w:cs="Arial"/>
          <w:color w:val="000000"/>
          <w:sz w:val="20"/>
          <w:szCs w:val="20"/>
        </w:rPr>
        <w:t>oted to approve their respective proposals relating to the Merger at a Xilinx special meeting held on the same day. The closing of the Merger is subject to customary conditions, including regulatory approval. The Merger is currently expected to close in th</w:t>
      </w:r>
      <w:r>
        <w:rPr>
          <w:rFonts w:ascii="Arial" w:eastAsia="宋体" w:hAnsi="Arial" w:cs="Arial"/>
          <w:color w:val="000000"/>
          <w:sz w:val="20"/>
          <w:szCs w:val="20"/>
        </w:rPr>
        <w:t>e first quarter of 2022.</w:t>
      </w:r>
    </w:p>
    <w:p w14:paraId="5902B44F" w14:textId="77777777" w:rsidR="0084406A" w:rsidRDefault="0084406A"/>
    <w:p w14:paraId="5902B450" w14:textId="77777777" w:rsidR="0084406A" w:rsidRDefault="002B18AF">
      <w:pPr>
        <w:jc w:val="center"/>
      </w:pPr>
      <w:r>
        <w:rPr>
          <w:rFonts w:ascii="Arial" w:eastAsia="宋体" w:hAnsi="Arial" w:cs="Arial"/>
          <w:color w:val="000000"/>
          <w:sz w:val="20"/>
          <w:szCs w:val="20"/>
        </w:rPr>
        <w:t>80</w:t>
      </w:r>
    </w:p>
    <w:p w14:paraId="5902B451" w14:textId="77777777" w:rsidR="0084406A" w:rsidRDefault="002B18AF">
      <w:r>
        <w:pict w14:anchorId="5902BB46">
          <v:rect id="_x0000_i1107" style="width:415.3pt;height:1.5pt" o:hralign="center" o:hrstd="t" o:hr="t" fillcolor="#a0a0a0" stroked="f"/>
        </w:pict>
      </w:r>
    </w:p>
    <w:p w14:paraId="5902B452" w14:textId="77777777" w:rsidR="0084406A" w:rsidRDefault="0084406A"/>
    <w:p w14:paraId="5902B453" w14:textId="77777777" w:rsidR="0084406A" w:rsidRDefault="002B18AF">
      <w:pPr>
        <w:spacing w:before="280"/>
        <w:jc w:val="both"/>
      </w:pPr>
      <w:r>
        <w:rPr>
          <w:rFonts w:ascii="Arial" w:eastAsia="宋体" w:hAnsi="Arial" w:cs="Arial"/>
          <w:b/>
          <w:bCs/>
          <w:color w:val="000000"/>
          <w:sz w:val="20"/>
          <w:szCs w:val="20"/>
        </w:rPr>
        <w:t>NOTE 19 - Subsequent Events</w:t>
      </w:r>
    </w:p>
    <w:p w14:paraId="5902B454" w14:textId="77777777" w:rsidR="0084406A" w:rsidRDefault="002B18AF">
      <w:pPr>
        <w:spacing w:before="180"/>
        <w:jc w:val="both"/>
      </w:pPr>
      <w:r>
        <w:rPr>
          <w:rFonts w:ascii="Arial" w:eastAsia="宋体" w:hAnsi="Arial" w:cs="Arial"/>
          <w:color w:val="000000"/>
          <w:sz w:val="20"/>
          <w:szCs w:val="20"/>
        </w:rPr>
        <w:t>Subsequent to December 25, 2021, through the date of issuance of these consolidated financial statements (the “issuance date”), the Company repurchased $1.0 billion of its common stock under the R</w:t>
      </w:r>
      <w:r>
        <w:rPr>
          <w:rFonts w:ascii="Arial" w:eastAsia="宋体" w:hAnsi="Arial" w:cs="Arial"/>
          <w:color w:val="000000"/>
          <w:sz w:val="20"/>
          <w:szCs w:val="20"/>
        </w:rPr>
        <w:t>epurchase Program. As of the issuance date, $1.2 billion remained available for future stock repurchases under the Repurchase Program.</w:t>
      </w:r>
    </w:p>
    <w:p w14:paraId="5902B455" w14:textId="77777777" w:rsidR="0084406A" w:rsidRDefault="002B18AF">
      <w:pPr>
        <w:jc w:val="center"/>
      </w:pPr>
      <w:r>
        <w:rPr>
          <w:rFonts w:ascii="Arial" w:eastAsia="宋体" w:hAnsi="Arial" w:cs="Arial"/>
          <w:color w:val="000000"/>
          <w:sz w:val="20"/>
          <w:szCs w:val="20"/>
        </w:rPr>
        <w:t>81</w:t>
      </w:r>
    </w:p>
    <w:p w14:paraId="5902B456" w14:textId="77777777" w:rsidR="0084406A" w:rsidRDefault="002B18AF">
      <w:r>
        <w:pict w14:anchorId="5902BB47">
          <v:rect id="_x0000_i1108" style="width:415.3pt;height:1.5pt" o:hralign="center" o:hrstd="t" o:hr="t" fillcolor="#a0a0a0" stroked="f"/>
        </w:pict>
      </w:r>
    </w:p>
    <w:p w14:paraId="5902B457" w14:textId="77777777" w:rsidR="0084406A" w:rsidRDefault="0084406A"/>
    <w:p w14:paraId="5902B458" w14:textId="77777777" w:rsidR="0084406A" w:rsidRDefault="002B18AF">
      <w:pPr>
        <w:jc w:val="center"/>
      </w:pPr>
      <w:r>
        <w:rPr>
          <w:rFonts w:ascii="Arial" w:eastAsia="宋体" w:hAnsi="Arial" w:cs="Arial"/>
          <w:b/>
          <w:bCs/>
          <w:color w:val="000000"/>
          <w:sz w:val="20"/>
          <w:szCs w:val="20"/>
        </w:rPr>
        <w:t>Report of Independent Registered Public Accounting Firm</w:t>
      </w:r>
    </w:p>
    <w:p w14:paraId="5902B459" w14:textId="77777777" w:rsidR="0084406A" w:rsidRDefault="002B18AF">
      <w:pPr>
        <w:spacing w:before="180"/>
        <w:jc w:val="both"/>
      </w:pPr>
      <w:r>
        <w:rPr>
          <w:rFonts w:ascii="Arial" w:eastAsia="宋体" w:hAnsi="Arial" w:cs="Arial"/>
          <w:color w:val="000000"/>
          <w:sz w:val="20"/>
          <w:szCs w:val="20"/>
        </w:rPr>
        <w:t xml:space="preserve">To the Stockholders and the Board of Directors of </w:t>
      </w:r>
      <w:r>
        <w:rPr>
          <w:rFonts w:ascii="Arial" w:eastAsia="宋体" w:hAnsi="Arial" w:cs="Arial"/>
          <w:color w:val="000000"/>
          <w:sz w:val="20"/>
          <w:szCs w:val="20"/>
        </w:rPr>
        <w:t>Advanced Micro Devices, Inc.</w:t>
      </w:r>
    </w:p>
    <w:p w14:paraId="5902B45A" w14:textId="77777777" w:rsidR="0084406A" w:rsidRDefault="002B18AF">
      <w:pPr>
        <w:spacing w:before="180"/>
        <w:jc w:val="both"/>
      </w:pPr>
      <w:r>
        <w:rPr>
          <w:rFonts w:ascii="Arial" w:eastAsia="宋体" w:hAnsi="Arial" w:cs="Arial"/>
          <w:b/>
          <w:bCs/>
          <w:color w:val="000000"/>
          <w:sz w:val="20"/>
          <w:szCs w:val="20"/>
        </w:rPr>
        <w:t>Opinion on the Financial Statements</w:t>
      </w:r>
    </w:p>
    <w:p w14:paraId="5902B45B" w14:textId="77777777" w:rsidR="0084406A" w:rsidRDefault="002B18AF">
      <w:pPr>
        <w:spacing w:before="180"/>
        <w:jc w:val="both"/>
      </w:pPr>
      <w:r>
        <w:rPr>
          <w:rFonts w:ascii="Arial" w:eastAsia="宋体" w:hAnsi="Arial" w:cs="Arial"/>
          <w:color w:val="000000"/>
          <w:sz w:val="20"/>
          <w:szCs w:val="20"/>
        </w:rPr>
        <w:t>We have audited the accompanying consolidated balance sheets of Advanced Micro Devices, Inc. (the Company) as of December 25, 2021 and December 26, 2020, the related consolidated statements o</w:t>
      </w:r>
      <w:r>
        <w:rPr>
          <w:rFonts w:ascii="Arial" w:eastAsia="宋体" w:hAnsi="Arial" w:cs="Arial"/>
          <w:color w:val="000000"/>
          <w:sz w:val="20"/>
          <w:szCs w:val="20"/>
        </w:rPr>
        <w:t>f operations, comprehensive income, stockholders’ equity and cash flows for each of the three years in the period ended December 25, 2021, and the related notes (collectively referred to as the “consolidated financial statements”). In our opinion, the cons</w:t>
      </w:r>
      <w:r>
        <w:rPr>
          <w:rFonts w:ascii="Arial" w:eastAsia="宋体" w:hAnsi="Arial" w:cs="Arial"/>
          <w:color w:val="000000"/>
          <w:sz w:val="20"/>
          <w:szCs w:val="20"/>
        </w:rPr>
        <w:t>olidated financial statements present fairly, in all material respects, the financial position of the Company as of December 25, 2021 and December 26, 2020, and the results of its operations and its cash flows for each of the three years in the period ende</w:t>
      </w:r>
      <w:r>
        <w:rPr>
          <w:rFonts w:ascii="Arial" w:eastAsia="宋体" w:hAnsi="Arial" w:cs="Arial"/>
          <w:color w:val="000000"/>
          <w:sz w:val="20"/>
          <w:szCs w:val="20"/>
        </w:rPr>
        <w:t>d December 25, 2021, in conformity with U.S. generally accepted accounting principles.</w:t>
      </w:r>
    </w:p>
    <w:p w14:paraId="5902B45C" w14:textId="77777777" w:rsidR="0084406A" w:rsidRDefault="002B18AF">
      <w:pPr>
        <w:spacing w:before="180"/>
        <w:jc w:val="both"/>
      </w:pPr>
      <w:r>
        <w:rPr>
          <w:rFonts w:ascii="Arial" w:eastAsia="宋体" w:hAnsi="Arial" w:cs="Arial"/>
          <w:color w:val="000000"/>
          <w:sz w:val="20"/>
          <w:szCs w:val="20"/>
        </w:rPr>
        <w:t>We also have audited, in accordance with the standards of the Public Company Accounting Oversight Board (United States) (PCAOB), the Company’s internal control over fina</w:t>
      </w:r>
      <w:r>
        <w:rPr>
          <w:rFonts w:ascii="Arial" w:eastAsia="宋体" w:hAnsi="Arial" w:cs="Arial"/>
          <w:color w:val="000000"/>
          <w:sz w:val="20"/>
          <w:szCs w:val="20"/>
        </w:rPr>
        <w:t xml:space="preserve">ncial reporting as of December 25, 2021, based on criteria established in Internal Control-Integrated Framework issued by the Committee of Sponsoring Organizations of the Treadway Commission (2013 framework) and our report dated February 3, 2022 expressed </w:t>
      </w:r>
      <w:r>
        <w:rPr>
          <w:rFonts w:ascii="Arial" w:eastAsia="宋体" w:hAnsi="Arial" w:cs="Arial"/>
          <w:color w:val="000000"/>
          <w:sz w:val="20"/>
          <w:szCs w:val="20"/>
        </w:rPr>
        <w:t>an unqualified opinion thereon.</w:t>
      </w:r>
    </w:p>
    <w:p w14:paraId="5902B45D" w14:textId="77777777" w:rsidR="0084406A" w:rsidRDefault="002B18AF">
      <w:pPr>
        <w:spacing w:before="180"/>
        <w:jc w:val="both"/>
      </w:pPr>
      <w:r>
        <w:rPr>
          <w:rFonts w:ascii="Arial" w:eastAsia="宋体" w:hAnsi="Arial" w:cs="Arial"/>
          <w:b/>
          <w:bCs/>
          <w:color w:val="000000"/>
          <w:sz w:val="20"/>
          <w:szCs w:val="20"/>
        </w:rPr>
        <w:t>Basis for Opinion</w:t>
      </w:r>
    </w:p>
    <w:p w14:paraId="5902B45E" w14:textId="77777777" w:rsidR="0084406A" w:rsidRDefault="002B18AF">
      <w:pPr>
        <w:spacing w:before="180"/>
        <w:jc w:val="both"/>
      </w:pPr>
      <w:r>
        <w:rPr>
          <w:rFonts w:ascii="Arial" w:eastAsia="宋体" w:hAnsi="Arial" w:cs="Arial"/>
          <w:color w:val="000000"/>
          <w:sz w:val="20"/>
          <w:szCs w:val="20"/>
        </w:rPr>
        <w:t>These financial statements are the responsibility of the Company's management. Our responsibility is to express an opinion on the Company’s financial statements based on our audits. We are a public accounti</w:t>
      </w:r>
      <w:r>
        <w:rPr>
          <w:rFonts w:ascii="Arial" w:eastAsia="宋体" w:hAnsi="Arial" w:cs="Arial"/>
          <w:color w:val="000000"/>
          <w:sz w:val="20"/>
          <w:szCs w:val="20"/>
        </w:rPr>
        <w:t>ng firm registered with the PCAOB and are required to be independent with respect to the Company in accordance with the U.S. federal securities laws and the applicable rules and regulations of the Securities and Exchange Commission and the PCAOB.</w:t>
      </w:r>
    </w:p>
    <w:p w14:paraId="5902B45F" w14:textId="77777777" w:rsidR="0084406A" w:rsidRDefault="002B18AF">
      <w:pPr>
        <w:spacing w:before="180"/>
        <w:jc w:val="both"/>
      </w:pPr>
      <w:r>
        <w:rPr>
          <w:rFonts w:ascii="Arial" w:eastAsia="宋体" w:hAnsi="Arial" w:cs="Arial"/>
          <w:color w:val="000000"/>
          <w:sz w:val="20"/>
          <w:szCs w:val="20"/>
        </w:rPr>
        <w:t>We conduc</w:t>
      </w:r>
      <w:r>
        <w:rPr>
          <w:rFonts w:ascii="Arial" w:eastAsia="宋体" w:hAnsi="Arial" w:cs="Arial"/>
          <w:color w:val="000000"/>
          <w:sz w:val="20"/>
          <w:szCs w:val="20"/>
        </w:rPr>
        <w:t>ted our audits in accordance with the standards of the PCAOB. Those standards require that we plan and perform the audit to obtain reasonable assurance about whether the financial statements are free of material misstatement, whether due to error or fraud.</w:t>
      </w:r>
      <w:r>
        <w:rPr>
          <w:rFonts w:ascii="Arial" w:eastAsia="宋体" w:hAnsi="Arial" w:cs="Arial"/>
          <w:color w:val="000000"/>
          <w:sz w:val="20"/>
          <w:szCs w:val="20"/>
        </w:rPr>
        <w:t xml:space="preserve"> Our audits included performing procedures to assess the risks of material misstatement of the financial statements, whether due to error or fraud, and performing procedures that respond to those risks. Such procedures included examining, on a test basis, </w:t>
      </w:r>
      <w:r>
        <w:rPr>
          <w:rFonts w:ascii="Arial" w:eastAsia="宋体" w:hAnsi="Arial" w:cs="Arial"/>
          <w:color w:val="000000"/>
          <w:sz w:val="20"/>
          <w:szCs w:val="20"/>
        </w:rPr>
        <w:t>evidence regarding the amounts and disclosures in the financial statements. Our audits also included evaluating the accounting principles used and significant estimates made by management, as well as evaluating the overall presentation of the financial sta</w:t>
      </w:r>
      <w:r>
        <w:rPr>
          <w:rFonts w:ascii="Arial" w:eastAsia="宋体" w:hAnsi="Arial" w:cs="Arial"/>
          <w:color w:val="000000"/>
          <w:sz w:val="20"/>
          <w:szCs w:val="20"/>
        </w:rPr>
        <w:t>tements. We believe that our audits provide a reasonable basis for our opinion.</w:t>
      </w:r>
    </w:p>
    <w:p w14:paraId="5902B460" w14:textId="77777777" w:rsidR="0084406A" w:rsidRDefault="002B18AF">
      <w:pPr>
        <w:spacing w:before="180"/>
        <w:jc w:val="both"/>
      </w:pPr>
      <w:r>
        <w:rPr>
          <w:rFonts w:ascii="Arial" w:eastAsia="宋体" w:hAnsi="Arial" w:cs="Arial"/>
          <w:b/>
          <w:bCs/>
          <w:color w:val="010101"/>
          <w:sz w:val="20"/>
          <w:szCs w:val="20"/>
        </w:rPr>
        <w:t>Critical Audit Matter</w:t>
      </w:r>
    </w:p>
    <w:p w14:paraId="5902B461" w14:textId="77777777" w:rsidR="0084406A" w:rsidRDefault="002B18AF">
      <w:pPr>
        <w:spacing w:before="180"/>
        <w:jc w:val="both"/>
      </w:pPr>
      <w:r>
        <w:rPr>
          <w:rFonts w:ascii="Arial" w:eastAsia="宋体" w:hAnsi="Arial" w:cs="Arial"/>
          <w:color w:val="000000"/>
          <w:sz w:val="20"/>
          <w:szCs w:val="20"/>
        </w:rPr>
        <w:t>The critical audit matter communicated below is a matter arising from the current period audit of the financial statements that was communicated or requir</w:t>
      </w:r>
      <w:r>
        <w:rPr>
          <w:rFonts w:ascii="Arial" w:eastAsia="宋体" w:hAnsi="Arial" w:cs="Arial"/>
          <w:color w:val="000000"/>
          <w:sz w:val="20"/>
          <w:szCs w:val="20"/>
        </w:rPr>
        <w:t>ed to be communicated to the audit committee and that: (1) relates to accounts or disclosures that are material to the financial statements and (2) involved our especially challenging, subjective, or complex judgments. The communication of the critical aud</w:t>
      </w:r>
      <w:r>
        <w:rPr>
          <w:rFonts w:ascii="Arial" w:eastAsia="宋体" w:hAnsi="Arial" w:cs="Arial"/>
          <w:color w:val="000000"/>
          <w:sz w:val="20"/>
          <w:szCs w:val="20"/>
        </w:rPr>
        <w:t>it matter does not alter in any way our opinion on the consolidated financial statements, taken as a whole, and we are not, by communicating the critical audit matter below, providing a separate opinion on the critical audit matter or on the accounts or di</w:t>
      </w:r>
      <w:r>
        <w:rPr>
          <w:rFonts w:ascii="Arial" w:eastAsia="宋体" w:hAnsi="Arial" w:cs="Arial"/>
          <w:color w:val="000000"/>
          <w:sz w:val="20"/>
          <w:szCs w:val="20"/>
        </w:rPr>
        <w:t>sclosures to which it relates.</w:t>
      </w:r>
    </w:p>
    <w:p w14:paraId="5902B462" w14:textId="77777777" w:rsidR="0084406A" w:rsidRDefault="0084406A">
      <w:pPr>
        <w:spacing w:before="180" w:after="180"/>
        <w:jc w:val="both"/>
      </w:pPr>
    </w:p>
    <w:p w14:paraId="5902B463" w14:textId="77777777" w:rsidR="0084406A" w:rsidRDefault="0084406A">
      <w:pPr>
        <w:spacing w:before="180" w:after="180"/>
        <w:jc w:val="both"/>
      </w:pPr>
    </w:p>
    <w:p w14:paraId="5902B464" w14:textId="77777777" w:rsidR="0084406A" w:rsidRDefault="0084406A">
      <w:pPr>
        <w:spacing w:before="180" w:after="180"/>
        <w:jc w:val="both"/>
      </w:pPr>
    </w:p>
    <w:p w14:paraId="5902B465" w14:textId="77777777" w:rsidR="0084406A" w:rsidRDefault="0084406A">
      <w:pPr>
        <w:spacing w:before="180" w:after="180"/>
        <w:jc w:val="both"/>
      </w:pPr>
    </w:p>
    <w:p w14:paraId="5902B466" w14:textId="77777777" w:rsidR="0084406A" w:rsidRDefault="0084406A">
      <w:pPr>
        <w:spacing w:before="180" w:after="180"/>
        <w:jc w:val="both"/>
      </w:pPr>
    </w:p>
    <w:p w14:paraId="5902B467" w14:textId="77777777" w:rsidR="0084406A" w:rsidRDefault="0084406A">
      <w:pPr>
        <w:spacing w:before="180" w:after="180"/>
        <w:jc w:val="both"/>
      </w:pPr>
    </w:p>
    <w:p w14:paraId="5902B468" w14:textId="77777777" w:rsidR="0084406A" w:rsidRDefault="0084406A">
      <w:pPr>
        <w:spacing w:before="180" w:after="180"/>
        <w:jc w:val="both"/>
      </w:pPr>
    </w:p>
    <w:p w14:paraId="5902B469" w14:textId="77777777" w:rsidR="0084406A" w:rsidRDefault="002B18AF">
      <w:pPr>
        <w:jc w:val="center"/>
      </w:pPr>
      <w:r>
        <w:rPr>
          <w:rFonts w:ascii="Arial" w:eastAsia="宋体" w:hAnsi="Arial" w:cs="Arial"/>
          <w:color w:val="000000"/>
          <w:sz w:val="20"/>
          <w:szCs w:val="20"/>
        </w:rPr>
        <w:t>82</w:t>
      </w:r>
    </w:p>
    <w:p w14:paraId="5902B46A" w14:textId="77777777" w:rsidR="0084406A" w:rsidRDefault="002B18AF">
      <w:r>
        <w:pict w14:anchorId="5902BB48">
          <v:rect id="_x0000_i1109" style="width:415.3pt;height:1.5pt" o:hralign="center" o:hrstd="t" o:hr="t" fillcolor="#a0a0a0" stroked="f"/>
        </w:pict>
      </w:r>
    </w:p>
    <w:p w14:paraId="5902B46B" w14:textId="77777777" w:rsidR="0084406A" w:rsidRDefault="0084406A"/>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1417"/>
        <w:gridCol w:w="36"/>
        <w:gridCol w:w="69"/>
        <w:gridCol w:w="6683"/>
        <w:gridCol w:w="37"/>
      </w:tblGrid>
      <w:tr w:rsidR="0084406A" w14:paraId="5902B472" w14:textId="77777777">
        <w:trPr>
          <w:jc w:val="center"/>
        </w:trPr>
        <w:tc>
          <w:tcPr>
            <w:tcW w:w="50" w:type="pct"/>
            <w:shd w:val="clear" w:color="auto" w:fill="auto"/>
            <w:vAlign w:val="bottom"/>
          </w:tcPr>
          <w:p w14:paraId="5902B46C" w14:textId="77777777" w:rsidR="0084406A" w:rsidRDefault="0084406A">
            <w:pPr>
              <w:rPr>
                <w:rFonts w:ascii="宋体"/>
              </w:rPr>
            </w:pPr>
          </w:p>
        </w:tc>
        <w:tc>
          <w:tcPr>
            <w:tcW w:w="861" w:type="pct"/>
            <w:shd w:val="clear" w:color="auto" w:fill="auto"/>
            <w:vAlign w:val="bottom"/>
          </w:tcPr>
          <w:p w14:paraId="5902B46D" w14:textId="77777777" w:rsidR="0084406A" w:rsidRDefault="0084406A">
            <w:pPr>
              <w:rPr>
                <w:rFonts w:ascii="宋体"/>
              </w:rPr>
            </w:pPr>
          </w:p>
        </w:tc>
        <w:tc>
          <w:tcPr>
            <w:tcW w:w="5" w:type="pct"/>
            <w:shd w:val="clear" w:color="auto" w:fill="auto"/>
            <w:vAlign w:val="bottom"/>
          </w:tcPr>
          <w:p w14:paraId="5902B46E" w14:textId="77777777" w:rsidR="0084406A" w:rsidRDefault="0084406A">
            <w:pPr>
              <w:rPr>
                <w:rFonts w:ascii="宋体"/>
              </w:rPr>
            </w:pPr>
          </w:p>
        </w:tc>
        <w:tc>
          <w:tcPr>
            <w:tcW w:w="50" w:type="pct"/>
            <w:shd w:val="clear" w:color="auto" w:fill="auto"/>
            <w:vAlign w:val="bottom"/>
          </w:tcPr>
          <w:p w14:paraId="5902B46F" w14:textId="77777777" w:rsidR="0084406A" w:rsidRDefault="0084406A">
            <w:pPr>
              <w:rPr>
                <w:rFonts w:ascii="宋体"/>
              </w:rPr>
            </w:pPr>
          </w:p>
        </w:tc>
        <w:tc>
          <w:tcPr>
            <w:tcW w:w="4028" w:type="pct"/>
            <w:shd w:val="clear" w:color="auto" w:fill="auto"/>
            <w:vAlign w:val="bottom"/>
          </w:tcPr>
          <w:p w14:paraId="5902B470" w14:textId="77777777" w:rsidR="0084406A" w:rsidRDefault="0084406A">
            <w:pPr>
              <w:rPr>
                <w:rFonts w:ascii="宋体"/>
              </w:rPr>
            </w:pPr>
          </w:p>
        </w:tc>
        <w:tc>
          <w:tcPr>
            <w:tcW w:w="5" w:type="pct"/>
            <w:shd w:val="clear" w:color="auto" w:fill="auto"/>
            <w:vAlign w:val="bottom"/>
          </w:tcPr>
          <w:p w14:paraId="5902B471" w14:textId="77777777" w:rsidR="0084406A" w:rsidRDefault="0084406A">
            <w:pPr>
              <w:rPr>
                <w:rFonts w:ascii="宋体"/>
              </w:rPr>
            </w:pPr>
          </w:p>
        </w:tc>
      </w:tr>
      <w:tr w:rsidR="0084406A" w14:paraId="5902B475" w14:textId="77777777">
        <w:trPr>
          <w:jc w:val="center"/>
        </w:trPr>
        <w:tc>
          <w:tcPr>
            <w:tcW w:w="0" w:type="auto"/>
            <w:gridSpan w:val="3"/>
            <w:shd w:val="clear" w:color="auto" w:fill="auto"/>
            <w:tcMar>
              <w:top w:w="0" w:type="dxa"/>
              <w:left w:w="20" w:type="dxa"/>
              <w:bottom w:w="0" w:type="dxa"/>
              <w:right w:w="20" w:type="dxa"/>
            </w:tcMar>
            <w:vAlign w:val="bottom"/>
          </w:tcPr>
          <w:p w14:paraId="5902B47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74" w14:textId="77777777" w:rsidR="0084406A" w:rsidRDefault="002B18AF">
            <w:pPr>
              <w:spacing w:after="260"/>
              <w:jc w:val="both"/>
              <w:textAlignment w:val="bottom"/>
            </w:pPr>
            <w:r>
              <w:rPr>
                <w:rFonts w:ascii="Arial" w:eastAsia="宋体" w:hAnsi="Arial" w:cs="Arial"/>
                <w:b/>
                <w:bCs/>
                <w:color w:val="000000"/>
                <w:sz w:val="20"/>
                <w:szCs w:val="20"/>
              </w:rPr>
              <w:t>Inventory Valuation</w:t>
            </w:r>
          </w:p>
        </w:tc>
      </w:tr>
      <w:tr w:rsidR="0084406A" w14:paraId="5902B478" w14:textId="77777777">
        <w:trPr>
          <w:jc w:val="center"/>
        </w:trPr>
        <w:tc>
          <w:tcPr>
            <w:tcW w:w="0" w:type="auto"/>
            <w:gridSpan w:val="3"/>
            <w:shd w:val="clear" w:color="auto" w:fill="auto"/>
            <w:tcMar>
              <w:top w:w="40" w:type="dxa"/>
              <w:left w:w="20" w:type="dxa"/>
              <w:bottom w:w="40" w:type="dxa"/>
              <w:right w:w="20" w:type="dxa"/>
            </w:tcMar>
          </w:tcPr>
          <w:p w14:paraId="5902B476" w14:textId="77777777" w:rsidR="0084406A" w:rsidRDefault="002B18AF">
            <w:pPr>
              <w:textAlignment w:val="top"/>
            </w:pPr>
            <w:r>
              <w:rPr>
                <w:rFonts w:ascii="Arial" w:eastAsia="宋体" w:hAnsi="Arial" w:cs="Arial"/>
                <w:b/>
                <w:bCs/>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5902B477" w14:textId="77777777" w:rsidR="0084406A" w:rsidRDefault="002B18AF">
            <w:pPr>
              <w:jc w:val="both"/>
              <w:textAlignment w:val="top"/>
            </w:pPr>
            <w:r>
              <w:rPr>
                <w:rFonts w:ascii="Arial" w:eastAsia="宋体" w:hAnsi="Arial" w:cs="Arial"/>
                <w:color w:val="000000"/>
                <w:sz w:val="20"/>
                <w:szCs w:val="20"/>
              </w:rPr>
              <w:t xml:space="preserve">At December 25, 2021, the Company’s net inventory balance was $1,955 million. As discussed in Note 2 of the consolidated financial statements, the </w:t>
            </w:r>
            <w:r>
              <w:rPr>
                <w:rFonts w:ascii="Arial" w:eastAsia="宋体" w:hAnsi="Arial" w:cs="Arial"/>
                <w:color w:val="000000"/>
                <w:sz w:val="20"/>
                <w:szCs w:val="20"/>
              </w:rPr>
              <w:t>Company adjusts the inventory carrying value to the lower of actual cost or the estimated net realizable value after completing ongoing reviews of on-hand inventory quantities exceeding forecasted demand, by considering recent historical activity as well a</w:t>
            </w:r>
            <w:r>
              <w:rPr>
                <w:rFonts w:ascii="Arial" w:eastAsia="宋体" w:hAnsi="Arial" w:cs="Arial"/>
                <w:color w:val="000000"/>
                <w:sz w:val="20"/>
                <w:szCs w:val="20"/>
              </w:rPr>
              <w:t>s anticipated or forecasted demand.</w:t>
            </w:r>
            <w:r>
              <w:rPr>
                <w:rFonts w:ascii="Arial" w:eastAsia="宋体" w:hAnsi="Arial" w:cs="Arial"/>
                <w:color w:val="000000"/>
                <w:sz w:val="20"/>
                <w:szCs w:val="20"/>
              </w:rPr>
              <w:br/>
            </w:r>
            <w:r>
              <w:rPr>
                <w:rFonts w:ascii="Arial" w:eastAsia="宋体" w:hAnsi="Arial" w:cs="Arial"/>
                <w:sz w:val="20"/>
                <w:szCs w:val="20"/>
              </w:rPr>
              <w:br/>
            </w:r>
            <w:r>
              <w:rPr>
                <w:rFonts w:ascii="Arial" w:eastAsia="宋体" w:hAnsi="Arial" w:cs="Arial"/>
                <w:color w:val="000000"/>
                <w:sz w:val="20"/>
                <w:szCs w:val="20"/>
              </w:rPr>
              <w:t xml:space="preserve">Auditing management’s inventory carrying value adjustments involved significant judgment because the estimates are based on several factors that are affected by market, industry, and competitive conditions </w:t>
            </w:r>
            <w:r>
              <w:rPr>
                <w:rFonts w:ascii="Arial" w:eastAsia="宋体" w:hAnsi="Arial" w:cs="Arial"/>
                <w:color w:val="000000"/>
                <w:sz w:val="20"/>
                <w:szCs w:val="20"/>
              </w:rPr>
              <w:t>outside the Company's control. In estimating inventory carrying value adjustments, management developed assumptions such as forecasts of future sales quantities and the selling prices, which are sensitive to the competitiveness of product offerings, custom</w:t>
            </w:r>
            <w:r>
              <w:rPr>
                <w:rFonts w:ascii="Arial" w:eastAsia="宋体" w:hAnsi="Arial" w:cs="Arial"/>
                <w:color w:val="000000"/>
                <w:sz w:val="20"/>
                <w:szCs w:val="20"/>
              </w:rPr>
              <w:t>er requirements, and product life cycles. These significant assumptions are forward-looking and could be affected by future economic and market conditions.</w:t>
            </w:r>
          </w:p>
        </w:tc>
      </w:tr>
      <w:tr w:rsidR="0084406A" w14:paraId="5902B47B" w14:textId="77777777">
        <w:trPr>
          <w:jc w:val="center"/>
        </w:trPr>
        <w:tc>
          <w:tcPr>
            <w:tcW w:w="0" w:type="auto"/>
            <w:gridSpan w:val="3"/>
            <w:shd w:val="clear" w:color="auto" w:fill="auto"/>
            <w:tcMar>
              <w:top w:w="40" w:type="dxa"/>
              <w:left w:w="20" w:type="dxa"/>
              <w:bottom w:w="40" w:type="dxa"/>
              <w:right w:w="20" w:type="dxa"/>
            </w:tcMar>
          </w:tcPr>
          <w:p w14:paraId="5902B479" w14:textId="77777777" w:rsidR="0084406A" w:rsidRDefault="002B18AF">
            <w:pPr>
              <w:textAlignment w:val="top"/>
            </w:pPr>
            <w:r>
              <w:rPr>
                <w:rFonts w:ascii="Arial" w:eastAsia="宋体" w:hAnsi="Arial" w:cs="Arial"/>
                <w:b/>
                <w:bCs/>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bottom"/>
          </w:tcPr>
          <w:p w14:paraId="5902B47A" w14:textId="77777777" w:rsidR="0084406A" w:rsidRDefault="002B18AF">
            <w:pPr>
              <w:jc w:val="both"/>
              <w:textAlignment w:val="bottom"/>
            </w:pPr>
            <w:r>
              <w:rPr>
                <w:rFonts w:ascii="Arial" w:eastAsia="宋体" w:hAnsi="Arial" w:cs="Arial"/>
                <w:color w:val="000000"/>
                <w:sz w:val="20"/>
                <w:szCs w:val="20"/>
              </w:rPr>
              <w:t>We obtained an understanding, evaluated the design, and te</w:t>
            </w:r>
            <w:r>
              <w:rPr>
                <w:rFonts w:ascii="Arial" w:eastAsia="宋体" w:hAnsi="Arial" w:cs="Arial"/>
                <w:color w:val="000000"/>
                <w:sz w:val="20"/>
                <w:szCs w:val="20"/>
              </w:rPr>
              <w:t>sted the operating effectiveness of internal controls over the Company's inventory carrying value adjustment determination process, including the basis for developing the above-described assumptions and management’s judgments.</w:t>
            </w:r>
            <w:r>
              <w:rPr>
                <w:rFonts w:ascii="Arial" w:eastAsia="宋体" w:hAnsi="Arial" w:cs="Arial"/>
                <w:color w:val="000000"/>
                <w:sz w:val="20"/>
                <w:szCs w:val="20"/>
              </w:rPr>
              <w:br/>
            </w:r>
            <w:r>
              <w:rPr>
                <w:rFonts w:ascii="Arial" w:eastAsia="宋体" w:hAnsi="Arial" w:cs="Arial"/>
                <w:sz w:val="20"/>
                <w:szCs w:val="20"/>
              </w:rPr>
              <w:br/>
            </w:r>
            <w:r>
              <w:rPr>
                <w:rFonts w:ascii="Arial" w:eastAsia="宋体" w:hAnsi="Arial" w:cs="Arial"/>
                <w:color w:val="000000"/>
                <w:sz w:val="20"/>
                <w:szCs w:val="20"/>
              </w:rPr>
              <w:t>Our audit procedures include</w:t>
            </w:r>
            <w:r>
              <w:rPr>
                <w:rFonts w:ascii="Arial" w:eastAsia="宋体" w:hAnsi="Arial" w:cs="Arial"/>
                <w:color w:val="000000"/>
                <w:sz w:val="20"/>
                <w:szCs w:val="20"/>
              </w:rPr>
              <w:t>d, among others, testing the reasonableness of management’s key assumptions and judgments and testing the accuracy and completeness of the underlying data used to determine the amount of inventory carrying value adjustments. For instance, we compared the q</w:t>
            </w:r>
            <w:r>
              <w:rPr>
                <w:rFonts w:ascii="Arial" w:eastAsia="宋体" w:hAnsi="Arial" w:cs="Arial"/>
                <w:color w:val="000000"/>
                <w:sz w:val="20"/>
                <w:szCs w:val="20"/>
              </w:rPr>
              <w:t>uantities and carrying value of on-hand inventories to related unit sales, both historical and forecasted, assessed the reasonableness of management’s estimates of future sales prices by analyzing historical sales and evaluating any factors that may impact</w:t>
            </w:r>
            <w:r>
              <w:rPr>
                <w:rFonts w:ascii="Arial" w:eastAsia="宋体" w:hAnsi="Arial" w:cs="Arial"/>
                <w:color w:val="000000"/>
                <w:sz w:val="20"/>
                <w:szCs w:val="20"/>
              </w:rPr>
              <w:t xml:space="preserve"> sales prices, and evaluated the appropriateness and adequacy of management’s adjustments to such sales forecasts by analyzing potential technological changes in line with product life cycles and/or identified alternative customer uses. We also assessed th</w:t>
            </w:r>
            <w:r>
              <w:rPr>
                <w:rFonts w:ascii="Arial" w:eastAsia="宋体" w:hAnsi="Arial" w:cs="Arial"/>
                <w:color w:val="000000"/>
                <w:sz w:val="20"/>
                <w:szCs w:val="20"/>
              </w:rPr>
              <w:t>e accuracy of forecasts underlying management's estimates by comparing management’s historical forecasts to actual results, evaluated industry and market factors and performed sensitivity analyses over the significant assumptions used by management to eval</w:t>
            </w:r>
            <w:r>
              <w:rPr>
                <w:rFonts w:ascii="Arial" w:eastAsia="宋体" w:hAnsi="Arial" w:cs="Arial"/>
                <w:color w:val="000000"/>
                <w:sz w:val="20"/>
                <w:szCs w:val="20"/>
              </w:rPr>
              <w:t>uate necessary changes in the inventory carrying value adjustments.</w:t>
            </w:r>
          </w:p>
        </w:tc>
      </w:tr>
      <w:tr w:rsidR="0084406A" w14:paraId="5902B47E" w14:textId="77777777">
        <w:trPr>
          <w:trHeight w:val="300"/>
          <w:jc w:val="center"/>
        </w:trPr>
        <w:tc>
          <w:tcPr>
            <w:tcW w:w="0" w:type="auto"/>
            <w:gridSpan w:val="3"/>
            <w:shd w:val="clear" w:color="auto" w:fill="auto"/>
            <w:tcMar>
              <w:top w:w="0" w:type="dxa"/>
              <w:left w:w="20" w:type="dxa"/>
              <w:bottom w:w="0" w:type="dxa"/>
              <w:right w:w="20" w:type="dxa"/>
            </w:tcMar>
            <w:vAlign w:val="bottom"/>
          </w:tcPr>
          <w:p w14:paraId="5902B47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47D" w14:textId="77777777" w:rsidR="0084406A" w:rsidRDefault="0084406A">
            <w:pPr>
              <w:rPr>
                <w:rFonts w:ascii="宋体"/>
              </w:rPr>
            </w:pPr>
          </w:p>
        </w:tc>
      </w:tr>
    </w:tbl>
    <w:p w14:paraId="5902B47F" w14:textId="77777777" w:rsidR="0084406A" w:rsidRDefault="002B18AF">
      <w:pPr>
        <w:spacing w:before="80"/>
      </w:pPr>
      <w:r>
        <w:rPr>
          <w:rFonts w:ascii="Arial" w:eastAsia="宋体" w:hAnsi="Arial" w:cs="Arial"/>
          <w:color w:val="000000"/>
          <w:sz w:val="20"/>
          <w:szCs w:val="20"/>
        </w:rPr>
        <w:t>/s/ Ernst &amp; Young LLP</w:t>
      </w:r>
    </w:p>
    <w:p w14:paraId="5902B480" w14:textId="77777777" w:rsidR="0084406A" w:rsidRDefault="002B18AF">
      <w:pPr>
        <w:spacing w:before="240" w:after="240"/>
        <w:jc w:val="both"/>
      </w:pPr>
      <w:r>
        <w:rPr>
          <w:rFonts w:ascii="Arial" w:eastAsia="宋体" w:hAnsi="Arial" w:cs="Arial"/>
          <w:color w:val="000000"/>
          <w:sz w:val="20"/>
          <w:szCs w:val="20"/>
        </w:rPr>
        <w:t>We have served as the Company’s auditor since 1970.</w:t>
      </w:r>
    </w:p>
    <w:p w14:paraId="5902B481" w14:textId="77777777" w:rsidR="0084406A" w:rsidRDefault="002B18AF">
      <w:r>
        <w:rPr>
          <w:rFonts w:ascii="Arial" w:eastAsia="宋体" w:hAnsi="Arial" w:cs="Arial"/>
          <w:color w:val="000000"/>
          <w:sz w:val="20"/>
          <w:szCs w:val="20"/>
        </w:rPr>
        <w:t>San Jose, California</w:t>
      </w:r>
    </w:p>
    <w:p w14:paraId="5902B482" w14:textId="77777777" w:rsidR="0084406A" w:rsidRDefault="002B18AF">
      <w:r>
        <w:rPr>
          <w:rFonts w:ascii="Arial" w:eastAsia="宋体" w:hAnsi="Arial" w:cs="Arial"/>
          <w:color w:val="000000"/>
          <w:sz w:val="20"/>
          <w:szCs w:val="20"/>
        </w:rPr>
        <w:t>February 3, 2022</w:t>
      </w:r>
    </w:p>
    <w:p w14:paraId="5902B483" w14:textId="77777777" w:rsidR="0084406A" w:rsidRDefault="0084406A">
      <w:pPr>
        <w:spacing w:before="180"/>
        <w:jc w:val="center"/>
      </w:pPr>
    </w:p>
    <w:p w14:paraId="5902B484" w14:textId="77777777" w:rsidR="0084406A" w:rsidRDefault="002B18AF">
      <w:pPr>
        <w:jc w:val="center"/>
      </w:pPr>
      <w:r>
        <w:rPr>
          <w:rFonts w:ascii="Arial" w:eastAsia="宋体" w:hAnsi="Arial" w:cs="Arial"/>
          <w:color w:val="000000"/>
          <w:sz w:val="20"/>
          <w:szCs w:val="20"/>
        </w:rPr>
        <w:t>83</w:t>
      </w:r>
    </w:p>
    <w:p w14:paraId="5902B485" w14:textId="77777777" w:rsidR="0084406A" w:rsidRDefault="002B18AF">
      <w:r>
        <w:pict w14:anchorId="5902BB49">
          <v:rect id="_x0000_i1110" style="width:415.3pt;height:1.5pt" o:hralign="center" o:hrstd="t" o:hr="t" fillcolor="#a0a0a0" stroked="f"/>
        </w:pict>
      </w:r>
    </w:p>
    <w:p w14:paraId="5902B486" w14:textId="77777777" w:rsidR="0084406A" w:rsidRDefault="0084406A"/>
    <w:p w14:paraId="5902B487" w14:textId="77777777" w:rsidR="0084406A" w:rsidRDefault="002B18AF">
      <w:pPr>
        <w:spacing w:before="180"/>
        <w:jc w:val="center"/>
      </w:pPr>
      <w:r>
        <w:rPr>
          <w:rFonts w:ascii="Arial" w:eastAsia="宋体" w:hAnsi="Arial" w:cs="Arial"/>
          <w:b/>
          <w:bCs/>
          <w:color w:val="000000"/>
          <w:sz w:val="20"/>
          <w:szCs w:val="20"/>
        </w:rPr>
        <w:t>Report of Independent Registered Public Accounting Firm</w:t>
      </w:r>
    </w:p>
    <w:p w14:paraId="5902B488" w14:textId="77777777" w:rsidR="0084406A" w:rsidRDefault="002B18AF">
      <w:pPr>
        <w:spacing w:before="180"/>
        <w:jc w:val="both"/>
      </w:pPr>
      <w:r>
        <w:rPr>
          <w:rFonts w:ascii="Arial" w:eastAsia="宋体" w:hAnsi="Arial" w:cs="Arial"/>
          <w:color w:val="000000"/>
          <w:sz w:val="20"/>
          <w:szCs w:val="20"/>
        </w:rPr>
        <w:t xml:space="preserve">To the </w:t>
      </w:r>
      <w:r>
        <w:rPr>
          <w:rFonts w:ascii="Arial" w:eastAsia="宋体" w:hAnsi="Arial" w:cs="Arial"/>
          <w:color w:val="000000"/>
          <w:sz w:val="20"/>
          <w:szCs w:val="20"/>
        </w:rPr>
        <w:t>Stockholders and the Board of Directors of Advanced Micro Devices, Inc.</w:t>
      </w:r>
    </w:p>
    <w:p w14:paraId="5902B489" w14:textId="77777777" w:rsidR="0084406A" w:rsidRDefault="002B18AF">
      <w:pPr>
        <w:spacing w:before="180"/>
        <w:jc w:val="both"/>
      </w:pPr>
      <w:r>
        <w:rPr>
          <w:rFonts w:ascii="Arial" w:eastAsia="宋体" w:hAnsi="Arial" w:cs="Arial"/>
          <w:b/>
          <w:bCs/>
          <w:color w:val="000000"/>
          <w:sz w:val="20"/>
          <w:szCs w:val="20"/>
        </w:rPr>
        <w:t>Opinion on Internal Control over Financial Reporting</w:t>
      </w:r>
    </w:p>
    <w:p w14:paraId="5902B48A" w14:textId="77777777" w:rsidR="0084406A" w:rsidRDefault="002B18AF">
      <w:pPr>
        <w:spacing w:before="180"/>
        <w:jc w:val="both"/>
      </w:pPr>
      <w:r>
        <w:rPr>
          <w:rFonts w:ascii="Arial" w:eastAsia="宋体" w:hAnsi="Arial" w:cs="Arial"/>
          <w:color w:val="000000"/>
          <w:sz w:val="20"/>
          <w:szCs w:val="20"/>
        </w:rPr>
        <w:t>We have audited Advanced Micro Devices, Inc.’s internal control over financial reporting as of December 25, 2021, based on criteria</w:t>
      </w:r>
      <w:r>
        <w:rPr>
          <w:rFonts w:ascii="Arial" w:eastAsia="宋体" w:hAnsi="Arial" w:cs="Arial"/>
          <w:color w:val="000000"/>
          <w:sz w:val="20"/>
          <w:szCs w:val="20"/>
        </w:rPr>
        <w:t xml:space="preserve"> established in Internal Control-Integrated Framework issued by the Committee of Sponsoring Organizations of the Treadway Commission (2013 framework) (the COSO criteria). In our opinion, Advanced Micro Devices, Inc. (the Company) maintained, in all materia</w:t>
      </w:r>
      <w:r>
        <w:rPr>
          <w:rFonts w:ascii="Arial" w:eastAsia="宋体" w:hAnsi="Arial" w:cs="Arial"/>
          <w:color w:val="000000"/>
          <w:sz w:val="20"/>
          <w:szCs w:val="20"/>
        </w:rPr>
        <w:t>l respects, effective internal control over financial reporting as of December 25, 2021, based on the COSO criteria.</w:t>
      </w:r>
    </w:p>
    <w:p w14:paraId="5902B48B" w14:textId="77777777" w:rsidR="0084406A" w:rsidRDefault="002B18AF">
      <w:pPr>
        <w:spacing w:before="180"/>
        <w:jc w:val="both"/>
      </w:pPr>
      <w:r>
        <w:rPr>
          <w:rFonts w:ascii="Arial" w:eastAsia="宋体" w:hAnsi="Arial" w:cs="Arial"/>
          <w:color w:val="000000"/>
          <w:sz w:val="20"/>
          <w:szCs w:val="20"/>
        </w:rPr>
        <w:t>We also have audited, in accordance with the standards of the Public Company Accounting Oversight Board (United States) (PCAOB), the consol</w:t>
      </w:r>
      <w:r>
        <w:rPr>
          <w:rFonts w:ascii="Arial" w:eastAsia="宋体" w:hAnsi="Arial" w:cs="Arial"/>
          <w:color w:val="000000"/>
          <w:sz w:val="20"/>
          <w:szCs w:val="20"/>
        </w:rPr>
        <w:t>idated balance sheets of the Company as of December 25, 2021 and December 26, 2020, the related consolidated statements of operations, comprehensive income, stockholders’ equity and cash flows for each of the three years in the period ended December 25, 20</w:t>
      </w:r>
      <w:r>
        <w:rPr>
          <w:rFonts w:ascii="Arial" w:eastAsia="宋体" w:hAnsi="Arial" w:cs="Arial"/>
          <w:color w:val="000000"/>
          <w:sz w:val="20"/>
          <w:szCs w:val="20"/>
        </w:rPr>
        <w:t>21, and the related notes and our report dated February 3, 2022 expressed an unqualified opinion thereon</w:t>
      </w:r>
      <w:r>
        <w:rPr>
          <w:rFonts w:ascii="Arial" w:eastAsia="宋体" w:hAnsi="Arial" w:cs="Arial"/>
          <w:color w:val="000000"/>
        </w:rPr>
        <w:t>.</w:t>
      </w:r>
    </w:p>
    <w:p w14:paraId="5902B48C" w14:textId="77777777" w:rsidR="0084406A" w:rsidRDefault="002B18AF">
      <w:pPr>
        <w:spacing w:before="180"/>
        <w:jc w:val="both"/>
      </w:pPr>
      <w:r>
        <w:rPr>
          <w:rFonts w:ascii="Arial" w:eastAsia="宋体" w:hAnsi="Arial" w:cs="Arial"/>
          <w:b/>
          <w:bCs/>
          <w:color w:val="000000"/>
          <w:sz w:val="20"/>
          <w:szCs w:val="20"/>
        </w:rPr>
        <w:t>Basis for Opinion</w:t>
      </w:r>
    </w:p>
    <w:p w14:paraId="5902B48D" w14:textId="77777777" w:rsidR="0084406A" w:rsidRDefault="002B18AF">
      <w:pPr>
        <w:spacing w:before="180"/>
        <w:jc w:val="both"/>
      </w:pPr>
      <w:r>
        <w:rPr>
          <w:rFonts w:ascii="Arial" w:eastAsia="宋体" w:hAnsi="Arial" w:cs="Arial"/>
          <w:color w:val="000000"/>
          <w:sz w:val="20"/>
          <w:szCs w:val="20"/>
        </w:rPr>
        <w:t>The Company’s management is responsible for maintaining effective internal control over financial reporting and for its assessment o</w:t>
      </w:r>
      <w:r>
        <w:rPr>
          <w:rFonts w:ascii="Arial" w:eastAsia="宋体" w:hAnsi="Arial" w:cs="Arial"/>
          <w:color w:val="000000"/>
          <w:sz w:val="20"/>
          <w:szCs w:val="20"/>
        </w:rPr>
        <w:t>f the effectiveness of internal control over financial reporting included in the accompanying Management’s Report on Internal Control over Financial Reporting. Our responsibility is to express an opinion on the Company’s internal control over financial rep</w:t>
      </w:r>
      <w:r>
        <w:rPr>
          <w:rFonts w:ascii="Arial" w:eastAsia="宋体" w:hAnsi="Arial" w:cs="Arial"/>
          <w:color w:val="000000"/>
          <w:sz w:val="20"/>
          <w:szCs w:val="20"/>
        </w:rPr>
        <w:t>orting based on our audit. We are a public accounting firm registered with the PCAOB and are required to be independent with respect to the Company in accordance with the U.S. federal securities laws and the applicable rules and regulations of the Securiti</w:t>
      </w:r>
      <w:r>
        <w:rPr>
          <w:rFonts w:ascii="Arial" w:eastAsia="宋体" w:hAnsi="Arial" w:cs="Arial"/>
          <w:color w:val="000000"/>
          <w:sz w:val="20"/>
          <w:szCs w:val="20"/>
        </w:rPr>
        <w:t>es and Exchange Commission and the PCAOB.</w:t>
      </w:r>
    </w:p>
    <w:p w14:paraId="5902B48E" w14:textId="77777777" w:rsidR="0084406A" w:rsidRDefault="002B18AF">
      <w:pPr>
        <w:spacing w:before="180"/>
        <w:jc w:val="both"/>
      </w:pPr>
      <w:r>
        <w:rPr>
          <w:rFonts w:ascii="Arial" w:eastAsia="宋体" w:hAnsi="Arial" w:cs="Arial"/>
          <w:color w:val="000000"/>
          <w:sz w:val="20"/>
          <w:szCs w:val="20"/>
        </w:rPr>
        <w:t>We conducted our audit in accordance with the standards of the PCAOB. Those standards require that we plan and perform the audit to obtain reasonable assurance about whether effective internal control over financia</w:t>
      </w:r>
      <w:r>
        <w:rPr>
          <w:rFonts w:ascii="Arial" w:eastAsia="宋体" w:hAnsi="Arial" w:cs="Arial"/>
          <w:color w:val="000000"/>
          <w:sz w:val="20"/>
          <w:szCs w:val="20"/>
        </w:rPr>
        <w:t xml:space="preserve">l reporting was maintained in all material respects. </w:t>
      </w:r>
    </w:p>
    <w:p w14:paraId="5902B48F" w14:textId="77777777" w:rsidR="0084406A" w:rsidRDefault="002B18AF">
      <w:pPr>
        <w:spacing w:before="180"/>
        <w:jc w:val="both"/>
      </w:pPr>
      <w:r>
        <w:rPr>
          <w:rFonts w:ascii="Arial" w:eastAsia="宋体" w:hAnsi="Arial" w:cs="Arial"/>
          <w:color w:val="000000"/>
          <w:sz w:val="20"/>
          <w:szCs w:val="20"/>
        </w:rPr>
        <w:t>Our audit included obtaining an understanding of internal control over financial reporting, assessing the risk that a material weakness exists, testing and evaluating the design and operating effectiven</w:t>
      </w:r>
      <w:r>
        <w:rPr>
          <w:rFonts w:ascii="Arial" w:eastAsia="宋体" w:hAnsi="Arial" w:cs="Arial"/>
          <w:color w:val="000000"/>
          <w:sz w:val="20"/>
          <w:szCs w:val="20"/>
        </w:rPr>
        <w:t>ess of internal control based on the assessed risk, and performing such other procedures as we considered necessary in the circumstances. We believe that our audit provides a reasonable basis for our opinion.</w:t>
      </w:r>
    </w:p>
    <w:p w14:paraId="5902B490" w14:textId="77777777" w:rsidR="0084406A" w:rsidRDefault="002B18AF">
      <w:pPr>
        <w:spacing w:before="180"/>
        <w:jc w:val="both"/>
      </w:pPr>
      <w:r>
        <w:rPr>
          <w:rFonts w:ascii="Arial" w:eastAsia="宋体" w:hAnsi="Arial" w:cs="Arial"/>
          <w:b/>
          <w:bCs/>
          <w:color w:val="000000"/>
          <w:sz w:val="20"/>
          <w:szCs w:val="20"/>
        </w:rPr>
        <w:t xml:space="preserve">Definition and Limitations of Internal </w:t>
      </w:r>
      <w:r>
        <w:rPr>
          <w:rFonts w:ascii="Arial" w:eastAsia="宋体" w:hAnsi="Arial" w:cs="Arial"/>
          <w:b/>
          <w:bCs/>
          <w:color w:val="000000"/>
          <w:sz w:val="20"/>
          <w:szCs w:val="20"/>
        </w:rPr>
        <w:t>Control Over Financial Reporting</w:t>
      </w:r>
    </w:p>
    <w:p w14:paraId="5902B491" w14:textId="77777777" w:rsidR="0084406A" w:rsidRDefault="002B18AF">
      <w:pPr>
        <w:spacing w:before="180"/>
        <w:jc w:val="both"/>
      </w:pPr>
      <w:r>
        <w:rPr>
          <w:rFonts w:ascii="Arial" w:eastAsia="宋体" w:hAnsi="Arial" w:cs="Arial"/>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w:t>
      </w:r>
      <w:r>
        <w:rPr>
          <w:rFonts w:ascii="Arial" w:eastAsia="宋体" w:hAnsi="Arial" w:cs="Arial"/>
          <w:color w:val="000000"/>
          <w:sz w:val="20"/>
          <w:szCs w:val="20"/>
        </w:rPr>
        <w:t>in accordance with generally accepted accounting principles. A company’s internal control over financial reporting includes those policies and procedures that (1) pertain to the maintenance of records that, in reasonable detail, accurately and fairly refle</w:t>
      </w:r>
      <w:r>
        <w:rPr>
          <w:rFonts w:ascii="Arial" w:eastAsia="宋体" w:hAnsi="Arial" w:cs="Arial"/>
          <w:color w:val="000000"/>
          <w:sz w:val="20"/>
          <w:szCs w:val="20"/>
        </w:rPr>
        <w:t>ct the transactions and dispositions of the assets of the company; (2) provide reasonable assurance that transactions are recorded as necessary to permit preparation of financial statements in accordance with generally accepted accounting principles, and t</w:t>
      </w:r>
      <w:r>
        <w:rPr>
          <w:rFonts w:ascii="Arial" w:eastAsia="宋体" w:hAnsi="Arial" w:cs="Arial"/>
          <w:color w:val="000000"/>
          <w:sz w:val="20"/>
          <w:szCs w:val="20"/>
        </w:rPr>
        <w:t>hat receipts and expenditures of the company are being made only in accordance with authorizations of management and directors of the company; and (3) provide reasonable assurance regarding prevention or timely detection of unauthorized acquisition, use, o</w:t>
      </w:r>
      <w:r>
        <w:rPr>
          <w:rFonts w:ascii="Arial" w:eastAsia="宋体" w:hAnsi="Arial" w:cs="Arial"/>
          <w:color w:val="000000"/>
          <w:sz w:val="20"/>
          <w:szCs w:val="20"/>
        </w:rPr>
        <w:t>r disposition of the company’s assets that could have a material effect on the financial statements.</w:t>
      </w:r>
    </w:p>
    <w:p w14:paraId="5902B492" w14:textId="77777777" w:rsidR="0084406A" w:rsidRDefault="002B18AF">
      <w:pPr>
        <w:spacing w:before="180"/>
        <w:jc w:val="both"/>
      </w:pPr>
      <w:r>
        <w:rPr>
          <w:rFonts w:ascii="Arial" w:eastAsia="宋体" w:hAnsi="Arial" w:cs="Arial"/>
          <w:color w:val="000000"/>
          <w:sz w:val="20"/>
          <w:szCs w:val="20"/>
        </w:rPr>
        <w:t>Because of its inherent limitations, internal control over financial reporting may not prevent or detect misstatements. Also, projections of any evaluation</w:t>
      </w:r>
      <w:r>
        <w:rPr>
          <w:rFonts w:ascii="Arial" w:eastAsia="宋体" w:hAnsi="Arial" w:cs="Arial"/>
          <w:color w:val="000000"/>
          <w:sz w:val="20"/>
          <w:szCs w:val="20"/>
        </w:rPr>
        <w:t xml:space="preserve"> of effectiveness to future periods are subject to the risk that controls may become inadequate because of changes in conditions, or that the degree of compliance with the policies or procedures may deteriorate.</w:t>
      </w:r>
    </w:p>
    <w:p w14:paraId="5902B493" w14:textId="77777777" w:rsidR="0084406A" w:rsidRDefault="002B18AF">
      <w:pPr>
        <w:spacing w:before="180"/>
        <w:jc w:val="both"/>
      </w:pPr>
      <w:r>
        <w:rPr>
          <w:rFonts w:ascii="Arial" w:eastAsia="宋体" w:hAnsi="Arial" w:cs="Arial"/>
          <w:color w:val="000000"/>
          <w:sz w:val="20"/>
          <w:szCs w:val="20"/>
        </w:rPr>
        <w:t>/s/ Ernst &amp; Young LLP</w:t>
      </w:r>
    </w:p>
    <w:p w14:paraId="5902B494" w14:textId="77777777" w:rsidR="0084406A" w:rsidRDefault="002B18AF">
      <w:pPr>
        <w:spacing w:before="240"/>
      </w:pPr>
      <w:r>
        <w:rPr>
          <w:rFonts w:ascii="Arial" w:eastAsia="宋体" w:hAnsi="Arial" w:cs="Arial"/>
          <w:color w:val="000000"/>
          <w:sz w:val="20"/>
          <w:szCs w:val="20"/>
        </w:rPr>
        <w:t>San Jose, California</w:t>
      </w:r>
    </w:p>
    <w:p w14:paraId="5902B495" w14:textId="77777777" w:rsidR="0084406A" w:rsidRDefault="002B18AF">
      <w:r>
        <w:rPr>
          <w:rFonts w:ascii="Arial" w:eastAsia="宋体" w:hAnsi="Arial" w:cs="Arial"/>
          <w:color w:val="000000"/>
          <w:sz w:val="20"/>
          <w:szCs w:val="20"/>
        </w:rPr>
        <w:t>F</w:t>
      </w:r>
      <w:r>
        <w:rPr>
          <w:rFonts w:ascii="Arial" w:eastAsia="宋体" w:hAnsi="Arial" w:cs="Arial"/>
          <w:color w:val="000000"/>
          <w:sz w:val="20"/>
          <w:szCs w:val="20"/>
        </w:rPr>
        <w:t>ebruary 3, 2022</w:t>
      </w:r>
    </w:p>
    <w:p w14:paraId="5902B496" w14:textId="77777777" w:rsidR="0084406A" w:rsidRDefault="002B18AF">
      <w:pPr>
        <w:jc w:val="center"/>
      </w:pPr>
      <w:r>
        <w:rPr>
          <w:rFonts w:ascii="Arial" w:eastAsia="宋体" w:hAnsi="Arial" w:cs="Arial"/>
          <w:color w:val="000000"/>
          <w:sz w:val="20"/>
          <w:szCs w:val="20"/>
        </w:rPr>
        <w:t>84</w:t>
      </w:r>
    </w:p>
    <w:p w14:paraId="5902B497" w14:textId="77777777" w:rsidR="0084406A" w:rsidRDefault="002B18AF">
      <w:r>
        <w:pict w14:anchorId="5902BB4A">
          <v:rect id="_x0000_i1111" style="width:415.3pt;height:1.5pt" o:hralign="center" o:hrstd="t" o:hr="t" fillcolor="#a0a0a0" stroked="f"/>
        </w:pict>
      </w:r>
    </w:p>
    <w:p w14:paraId="5902B498" w14:textId="77777777" w:rsidR="0084406A" w:rsidRDefault="0084406A"/>
    <w:p w14:paraId="5902B499" w14:textId="77777777" w:rsidR="0084406A" w:rsidRDefault="002B18AF">
      <w:pPr>
        <w:spacing w:before="280"/>
        <w:ind w:hanging="1440"/>
        <w:jc w:val="both"/>
      </w:pPr>
      <w:r>
        <w:rPr>
          <w:rFonts w:ascii="Arial" w:eastAsia="宋体" w:hAnsi="Arial" w:cs="Arial"/>
          <w:b/>
          <w:bCs/>
          <w:color w:val="000000"/>
          <w:sz w:val="20"/>
          <w:szCs w:val="20"/>
        </w:rPr>
        <w:t>ITEM 9. CHANGES IN AND DISAGREEMENTS WITH ACCOUNTANTS ON ACCOUNTING AND FINANCIAL DISCLOSURE</w:t>
      </w:r>
    </w:p>
    <w:p w14:paraId="5902B49A" w14:textId="77777777" w:rsidR="0084406A" w:rsidRDefault="002B18AF">
      <w:pPr>
        <w:spacing w:before="180"/>
      </w:pPr>
      <w:r>
        <w:rPr>
          <w:rFonts w:ascii="Arial" w:eastAsia="宋体" w:hAnsi="Arial" w:cs="Arial"/>
          <w:color w:val="000000"/>
          <w:sz w:val="20"/>
          <w:szCs w:val="20"/>
        </w:rPr>
        <w:t>None.</w:t>
      </w:r>
    </w:p>
    <w:p w14:paraId="5902B49B" w14:textId="77777777" w:rsidR="0084406A" w:rsidRDefault="002B18AF">
      <w:pPr>
        <w:spacing w:before="280"/>
        <w:ind w:hanging="1440"/>
      </w:pPr>
      <w:r>
        <w:rPr>
          <w:rFonts w:ascii="Arial" w:eastAsia="宋体" w:hAnsi="Arial" w:cs="Arial"/>
          <w:b/>
          <w:bCs/>
          <w:color w:val="000000"/>
          <w:sz w:val="20"/>
          <w:szCs w:val="20"/>
        </w:rPr>
        <w:t>ITEM 9A. CONTROLS AND PROCEDURES</w:t>
      </w:r>
    </w:p>
    <w:p w14:paraId="5902B49C" w14:textId="77777777" w:rsidR="0084406A" w:rsidRDefault="002B18AF">
      <w:pPr>
        <w:spacing w:before="180"/>
      </w:pPr>
      <w:r>
        <w:rPr>
          <w:rFonts w:ascii="Arial" w:eastAsia="宋体" w:hAnsi="Arial" w:cs="Arial"/>
          <w:b/>
          <w:bCs/>
          <w:color w:val="000000"/>
          <w:sz w:val="20"/>
          <w:szCs w:val="20"/>
        </w:rPr>
        <w:t>Disclosure Controls and Procedures</w:t>
      </w:r>
    </w:p>
    <w:p w14:paraId="5902B49D" w14:textId="77777777" w:rsidR="0084406A" w:rsidRDefault="002B18AF">
      <w:pPr>
        <w:spacing w:before="180"/>
        <w:jc w:val="both"/>
      </w:pPr>
      <w:r>
        <w:rPr>
          <w:rFonts w:ascii="Arial" w:eastAsia="宋体" w:hAnsi="Arial" w:cs="Arial"/>
          <w:color w:val="000000"/>
          <w:sz w:val="20"/>
          <w:szCs w:val="20"/>
        </w:rPr>
        <w:t>We maintain disclosure controls and procedures that are designed with the objective of providing reasonable assurance that information required to be disclosed in our reports filed under the Exchange Act, such as this Annual Report on Form 10-K is recorded</w:t>
      </w:r>
      <w:r>
        <w:rPr>
          <w:rFonts w:ascii="Arial" w:eastAsia="宋体" w:hAnsi="Arial" w:cs="Arial"/>
          <w:color w:val="000000"/>
          <w:sz w:val="20"/>
          <w:szCs w:val="20"/>
        </w:rPr>
        <w:t>, processed, summarized and reported within the time periods specified in the SEC’s rules and forms, and that such information is accumulated and communicated to our management, including our Chief Executive Officer and Chief Financial Officer, as appropri</w:t>
      </w:r>
      <w:r>
        <w:rPr>
          <w:rFonts w:ascii="Arial" w:eastAsia="宋体" w:hAnsi="Arial" w:cs="Arial"/>
          <w:color w:val="000000"/>
          <w:sz w:val="20"/>
          <w:szCs w:val="20"/>
        </w:rPr>
        <w:t>ate, to allow timely decisions regarding required disclosure. In designing and evaluating our disclosure controls and procedures, our management recognizes that any controls and procedures, no matter how well designed and operated, can provide only reasona</w:t>
      </w:r>
      <w:r>
        <w:rPr>
          <w:rFonts w:ascii="Arial" w:eastAsia="宋体" w:hAnsi="Arial" w:cs="Arial"/>
          <w:color w:val="000000"/>
          <w:sz w:val="20"/>
          <w:szCs w:val="20"/>
        </w:rPr>
        <w:t xml:space="preserve">ble assurance of achieving the desired control objectives, and our management is required to apply its judgment in evaluating the cost-benefit relationship of possible controls and procedures. </w:t>
      </w:r>
    </w:p>
    <w:p w14:paraId="5902B49E" w14:textId="77777777" w:rsidR="0084406A" w:rsidRDefault="002B18AF">
      <w:pPr>
        <w:spacing w:before="180"/>
        <w:jc w:val="both"/>
      </w:pPr>
      <w:r>
        <w:rPr>
          <w:rFonts w:ascii="Arial" w:eastAsia="宋体" w:hAnsi="Arial" w:cs="Arial"/>
          <w:color w:val="000000"/>
          <w:sz w:val="20"/>
          <w:szCs w:val="20"/>
        </w:rPr>
        <w:t>As of December 25, 2021, the end of the period covered by this</w:t>
      </w:r>
      <w:r>
        <w:rPr>
          <w:rFonts w:ascii="Arial" w:eastAsia="宋体" w:hAnsi="Arial" w:cs="Arial"/>
          <w:color w:val="000000"/>
          <w:sz w:val="20"/>
          <w:szCs w:val="20"/>
        </w:rPr>
        <w:t xml:space="preserve"> report, we carried out an evaluation, under the supervision and with the participation of our management, including our Chief Executive Officer and Chief Financial Officer, of the effectiveness of the design and operation of our disclosure controls and pr</w:t>
      </w:r>
      <w:r>
        <w:rPr>
          <w:rFonts w:ascii="Arial" w:eastAsia="宋体" w:hAnsi="Arial" w:cs="Arial"/>
          <w:color w:val="000000"/>
          <w:sz w:val="20"/>
          <w:szCs w:val="20"/>
        </w:rPr>
        <w:t>ocedures pursuant to Exchange Act Rules 13a-15(e) and 15d-15(e). This type of evaluation is performed on a quarterly basis so that conclusions of management, including our Chief Executive Officer and Chief Financial Officer, concerning the effectiveness of</w:t>
      </w:r>
      <w:r>
        <w:rPr>
          <w:rFonts w:ascii="Arial" w:eastAsia="宋体" w:hAnsi="Arial" w:cs="Arial"/>
          <w:color w:val="000000"/>
          <w:sz w:val="20"/>
          <w:szCs w:val="20"/>
        </w:rPr>
        <w:t xml:space="preserve"> the disclosure controls can be reported in our periodic reports on Form 10-Q and Form 10-K. The overall goals of these evaluation activities are to monitor our disclosure controls and to modify them as necessary. We intend to maintain the disclosure contr</w:t>
      </w:r>
      <w:r>
        <w:rPr>
          <w:rFonts w:ascii="Arial" w:eastAsia="宋体" w:hAnsi="Arial" w:cs="Arial"/>
          <w:color w:val="000000"/>
          <w:sz w:val="20"/>
          <w:szCs w:val="20"/>
        </w:rPr>
        <w:t>ols as dynamic systems that we adjust as circumstances merit. Based on the foregoing, our Chief Executive Officer and Chief Financial Officer concluded that our disclosure controls and procedures were effective at the reasonable assurance level as of the e</w:t>
      </w:r>
      <w:r>
        <w:rPr>
          <w:rFonts w:ascii="Arial" w:eastAsia="宋体" w:hAnsi="Arial" w:cs="Arial"/>
          <w:color w:val="000000"/>
          <w:sz w:val="20"/>
          <w:szCs w:val="20"/>
        </w:rPr>
        <w:t xml:space="preserve">nd of the period covered by this report. </w:t>
      </w:r>
    </w:p>
    <w:p w14:paraId="5902B49F" w14:textId="77777777" w:rsidR="0084406A" w:rsidRDefault="002B18AF">
      <w:pPr>
        <w:spacing w:before="180"/>
      </w:pPr>
      <w:r>
        <w:rPr>
          <w:rFonts w:ascii="Arial" w:eastAsia="宋体" w:hAnsi="Arial" w:cs="Arial"/>
          <w:b/>
          <w:bCs/>
          <w:color w:val="000000"/>
          <w:sz w:val="20"/>
          <w:szCs w:val="20"/>
        </w:rPr>
        <w:t>Management’s Report on Internal Control over Financial Reporting</w:t>
      </w:r>
    </w:p>
    <w:p w14:paraId="5902B4A0" w14:textId="77777777" w:rsidR="0084406A" w:rsidRDefault="002B18AF">
      <w:pPr>
        <w:spacing w:before="180"/>
        <w:jc w:val="both"/>
      </w:pPr>
      <w:r>
        <w:rPr>
          <w:rFonts w:ascii="Arial" w:eastAsia="宋体" w:hAnsi="Arial" w:cs="Arial"/>
          <w:color w:val="000000"/>
          <w:sz w:val="20"/>
          <w:szCs w:val="20"/>
        </w:rPr>
        <w:t>Internal control over financial reporting refers to the process designed by, or under the supervision of, our Chief Executive Officer and Chief Finan</w:t>
      </w:r>
      <w:r>
        <w:rPr>
          <w:rFonts w:ascii="Arial" w:eastAsia="宋体" w:hAnsi="Arial" w:cs="Arial"/>
          <w:color w:val="000000"/>
          <w:sz w:val="20"/>
          <w:szCs w:val="20"/>
        </w:rPr>
        <w:t>cial Officer, and effected by our Board of Directors, management and other personnel, to provide reasonable assurance regarding the reliability of financial reporting and the preparation of financial statements for external purposes in accordance with U.S.</w:t>
      </w:r>
      <w:r>
        <w:rPr>
          <w:rFonts w:ascii="Arial" w:eastAsia="宋体" w:hAnsi="Arial" w:cs="Arial"/>
          <w:color w:val="000000"/>
          <w:sz w:val="20"/>
          <w:szCs w:val="20"/>
        </w:rPr>
        <w:t xml:space="preserve"> generally accepted accounting principles, and includes those policies and procedures that: </w:t>
      </w:r>
    </w:p>
    <w:p w14:paraId="5902B4A1" w14:textId="77777777" w:rsidR="0084406A" w:rsidRDefault="002B18AF">
      <w:pPr>
        <w:spacing w:before="180"/>
        <w:ind w:hanging="360"/>
        <w:jc w:val="both"/>
      </w:pPr>
      <w:r>
        <w:rPr>
          <w:rFonts w:ascii="Arial" w:eastAsia="宋体" w:hAnsi="Arial" w:cs="Arial"/>
          <w:color w:val="000000"/>
          <w:sz w:val="20"/>
          <w:szCs w:val="20"/>
        </w:rPr>
        <w:t xml:space="preserve">1.Pertain to the maintenance of records that in reasonable detail accurately and fairly reflect the transactions and dispositions of the assets of the Company; </w:t>
      </w:r>
    </w:p>
    <w:p w14:paraId="5902B4A2" w14:textId="77777777" w:rsidR="0084406A" w:rsidRDefault="002B18AF">
      <w:pPr>
        <w:spacing w:before="180"/>
        <w:ind w:hanging="360"/>
        <w:jc w:val="both"/>
      </w:pPr>
      <w:r>
        <w:rPr>
          <w:rFonts w:ascii="Arial" w:eastAsia="宋体" w:hAnsi="Arial" w:cs="Arial"/>
          <w:color w:val="000000"/>
          <w:sz w:val="20"/>
          <w:szCs w:val="20"/>
        </w:rPr>
        <w:t>2.</w:t>
      </w:r>
      <w:r>
        <w:rPr>
          <w:rFonts w:ascii="Arial" w:eastAsia="宋体" w:hAnsi="Arial" w:cs="Arial"/>
          <w:color w:val="000000"/>
          <w:sz w:val="20"/>
          <w:szCs w:val="20"/>
        </w:rPr>
        <w:t>Provide reasonable assurance that transactions are recorded as necessary to permit preparation of financial statements in accordance with U.S. generally accepted accounting principles, and that receipts and expenditures of the Company are being made only i</w:t>
      </w:r>
      <w:r>
        <w:rPr>
          <w:rFonts w:ascii="Arial" w:eastAsia="宋体" w:hAnsi="Arial" w:cs="Arial"/>
          <w:color w:val="000000"/>
          <w:sz w:val="20"/>
          <w:szCs w:val="20"/>
        </w:rPr>
        <w:t xml:space="preserve">n accordance with authorizations of management and directors of the Company; and </w:t>
      </w:r>
    </w:p>
    <w:p w14:paraId="5902B4A3" w14:textId="77777777" w:rsidR="0084406A" w:rsidRDefault="002B18AF">
      <w:pPr>
        <w:spacing w:before="180"/>
        <w:ind w:hanging="360"/>
        <w:jc w:val="both"/>
      </w:pPr>
      <w:r>
        <w:rPr>
          <w:rFonts w:ascii="Arial" w:eastAsia="宋体" w:hAnsi="Arial" w:cs="Arial"/>
          <w:color w:val="000000"/>
          <w:sz w:val="20"/>
          <w:szCs w:val="20"/>
        </w:rPr>
        <w:t>3.Provide reasonable assurance regarding prevention or timely detection of unauthorized acquisition, use or disposition of the Company’s assets that could have a material eff</w:t>
      </w:r>
      <w:r>
        <w:rPr>
          <w:rFonts w:ascii="Arial" w:eastAsia="宋体" w:hAnsi="Arial" w:cs="Arial"/>
          <w:color w:val="000000"/>
          <w:sz w:val="20"/>
          <w:szCs w:val="20"/>
        </w:rPr>
        <w:t xml:space="preserve">ect on the financial statements. Internal control over financial reporting cannot provide absolute assurance of achieving financial reporting objectives because of its inherent limitations. </w:t>
      </w:r>
    </w:p>
    <w:p w14:paraId="5902B4A4" w14:textId="77777777" w:rsidR="0084406A" w:rsidRDefault="002B18AF">
      <w:pPr>
        <w:spacing w:before="180"/>
        <w:jc w:val="both"/>
      </w:pPr>
      <w:r>
        <w:rPr>
          <w:rFonts w:ascii="Arial" w:eastAsia="宋体" w:hAnsi="Arial" w:cs="Arial"/>
          <w:color w:val="000000"/>
          <w:sz w:val="20"/>
          <w:szCs w:val="20"/>
        </w:rPr>
        <w:t>Internal control over financial reporting is a process that invol</w:t>
      </w:r>
      <w:r>
        <w:rPr>
          <w:rFonts w:ascii="Arial" w:eastAsia="宋体" w:hAnsi="Arial" w:cs="Arial"/>
          <w:color w:val="000000"/>
          <w:sz w:val="20"/>
          <w:szCs w:val="20"/>
        </w:rPr>
        <w:t>ves human diligence and compliance and is subject to lapses in judgment and breakdowns resulting from human failures. Internal control over financial reporting also can be circumvented by collusion or improper management override. Because of such limitatio</w:t>
      </w:r>
      <w:r>
        <w:rPr>
          <w:rFonts w:ascii="Arial" w:eastAsia="宋体" w:hAnsi="Arial" w:cs="Arial"/>
          <w:color w:val="000000"/>
          <w:sz w:val="20"/>
          <w:szCs w:val="20"/>
        </w:rPr>
        <w:t>ns, there is a risk that material misstatements may not be prevented or detected on a timely basis by internal control over financial reporting. However, these inherent limitations are known features of the financial reporting process. Therefore, it is pos</w:t>
      </w:r>
      <w:r>
        <w:rPr>
          <w:rFonts w:ascii="Arial" w:eastAsia="宋体" w:hAnsi="Arial" w:cs="Arial"/>
          <w:color w:val="000000"/>
          <w:sz w:val="20"/>
          <w:szCs w:val="20"/>
        </w:rPr>
        <w:t>sible to design into the process safeguards to reduce, though not eliminate, this risk. Management is responsible for establishing and maintaining adequate internal control over financial reporting for the Company.</w:t>
      </w:r>
    </w:p>
    <w:p w14:paraId="5902B4A5" w14:textId="77777777" w:rsidR="0084406A" w:rsidRDefault="002B18AF">
      <w:pPr>
        <w:jc w:val="center"/>
      </w:pPr>
      <w:r>
        <w:rPr>
          <w:rFonts w:ascii="Arial" w:eastAsia="宋体" w:hAnsi="Arial" w:cs="Arial"/>
          <w:color w:val="000000"/>
          <w:sz w:val="20"/>
          <w:szCs w:val="20"/>
        </w:rPr>
        <w:t>85</w:t>
      </w:r>
    </w:p>
    <w:p w14:paraId="5902B4A6" w14:textId="77777777" w:rsidR="0084406A" w:rsidRDefault="002B18AF">
      <w:r>
        <w:pict w14:anchorId="5902BB4B">
          <v:rect id="_x0000_i1112" style="width:415.3pt;height:1.5pt" o:hralign="center" o:hrstd="t" o:hr="t" fillcolor="#a0a0a0" stroked="f"/>
        </w:pict>
      </w:r>
    </w:p>
    <w:p w14:paraId="5902B4A7" w14:textId="77777777" w:rsidR="0084406A" w:rsidRDefault="0084406A"/>
    <w:p w14:paraId="5902B4A8" w14:textId="77777777" w:rsidR="0084406A" w:rsidRDefault="002B18AF">
      <w:pPr>
        <w:spacing w:before="180"/>
        <w:jc w:val="both"/>
      </w:pPr>
      <w:r>
        <w:rPr>
          <w:rFonts w:ascii="Arial" w:eastAsia="宋体" w:hAnsi="Arial" w:cs="Arial"/>
          <w:color w:val="000000"/>
          <w:sz w:val="20"/>
          <w:szCs w:val="20"/>
        </w:rPr>
        <w:t>Management has used the 2013 framework set forth in the report entitled “Internal Control—Integrated Framework” published by the Committee of Sponsoring Organizations of the Treadway Commission to evaluate the effectiveness of the Company’s internal contro</w:t>
      </w:r>
      <w:r>
        <w:rPr>
          <w:rFonts w:ascii="Arial" w:eastAsia="宋体" w:hAnsi="Arial" w:cs="Arial"/>
          <w:color w:val="000000"/>
          <w:sz w:val="20"/>
          <w:szCs w:val="20"/>
        </w:rPr>
        <w:t>l over financial reporting. Management has concluded that the Company’s internal control over financial reporting was effective as of December 25, 2021 at the reasonable assurance level. Our independent registered public accounting firm, Ernst &amp; Young LLP,</w:t>
      </w:r>
      <w:r>
        <w:rPr>
          <w:rFonts w:ascii="Arial" w:eastAsia="宋体" w:hAnsi="Arial" w:cs="Arial"/>
          <w:color w:val="000000"/>
          <w:sz w:val="20"/>
          <w:szCs w:val="20"/>
        </w:rPr>
        <w:t xml:space="preserve"> has issued an attestation report on the Company’s internal control over financial reporting as of December 25, 2021, which is included in Part II, Item 8, above. </w:t>
      </w:r>
    </w:p>
    <w:p w14:paraId="5902B4A9" w14:textId="77777777" w:rsidR="0084406A" w:rsidRDefault="002B18AF">
      <w:pPr>
        <w:spacing w:before="180"/>
      </w:pPr>
      <w:r>
        <w:rPr>
          <w:rFonts w:ascii="Arial" w:eastAsia="宋体" w:hAnsi="Arial" w:cs="Arial"/>
          <w:b/>
          <w:bCs/>
          <w:color w:val="000000"/>
          <w:sz w:val="20"/>
          <w:szCs w:val="20"/>
        </w:rPr>
        <w:t>Changes in Internal Control over Financial Reporting</w:t>
      </w:r>
    </w:p>
    <w:p w14:paraId="5902B4AA" w14:textId="77777777" w:rsidR="0084406A" w:rsidRDefault="002B18AF">
      <w:pPr>
        <w:spacing w:before="180"/>
        <w:jc w:val="both"/>
      </w:pPr>
      <w:r>
        <w:rPr>
          <w:rFonts w:ascii="Arial" w:eastAsia="宋体" w:hAnsi="Arial" w:cs="Arial"/>
          <w:color w:val="000000"/>
          <w:sz w:val="20"/>
          <w:szCs w:val="20"/>
        </w:rPr>
        <w:t>There has been no change in our interna</w:t>
      </w:r>
      <w:r>
        <w:rPr>
          <w:rFonts w:ascii="Arial" w:eastAsia="宋体" w:hAnsi="Arial" w:cs="Arial"/>
          <w:color w:val="000000"/>
          <w:sz w:val="20"/>
          <w:szCs w:val="20"/>
        </w:rPr>
        <w:t>l controls over financial reporting during our most recently completed fiscal quarter that has materially affected, or is reasonably likely to materially affect, our internal controls over financial reporting.</w:t>
      </w:r>
    </w:p>
    <w:p w14:paraId="5902B4AB" w14:textId="77777777" w:rsidR="0084406A" w:rsidRDefault="002B18AF">
      <w:pPr>
        <w:spacing w:before="280"/>
        <w:ind w:hanging="1440"/>
      </w:pPr>
      <w:r>
        <w:rPr>
          <w:rFonts w:ascii="Arial" w:eastAsia="宋体" w:hAnsi="Arial" w:cs="Arial"/>
          <w:b/>
          <w:bCs/>
          <w:color w:val="000000"/>
          <w:sz w:val="20"/>
          <w:szCs w:val="20"/>
        </w:rPr>
        <w:t>ITEM 9B. OTHER INFORMATION</w:t>
      </w:r>
    </w:p>
    <w:p w14:paraId="5902B4AC" w14:textId="77777777" w:rsidR="0084406A" w:rsidRDefault="002B18AF">
      <w:pPr>
        <w:spacing w:before="180"/>
      </w:pPr>
      <w:r>
        <w:rPr>
          <w:rFonts w:ascii="Arial" w:eastAsia="宋体" w:hAnsi="Arial" w:cs="Arial"/>
          <w:color w:val="000000"/>
          <w:sz w:val="20"/>
          <w:szCs w:val="20"/>
        </w:rPr>
        <w:t>None.</w:t>
      </w:r>
    </w:p>
    <w:p w14:paraId="5902B4AD" w14:textId="77777777" w:rsidR="0084406A" w:rsidRDefault="002B18AF">
      <w:pPr>
        <w:spacing w:before="280"/>
      </w:pPr>
      <w:r>
        <w:rPr>
          <w:rFonts w:ascii="Arial" w:eastAsia="宋体" w:hAnsi="Arial" w:cs="Arial"/>
          <w:b/>
          <w:bCs/>
          <w:color w:val="000000"/>
          <w:sz w:val="20"/>
          <w:szCs w:val="20"/>
        </w:rPr>
        <w:t>ITEM 9C. DISC</w:t>
      </w:r>
      <w:r>
        <w:rPr>
          <w:rFonts w:ascii="Arial" w:eastAsia="宋体" w:hAnsi="Arial" w:cs="Arial"/>
          <w:b/>
          <w:bCs/>
          <w:color w:val="000000"/>
          <w:sz w:val="20"/>
          <w:szCs w:val="20"/>
        </w:rPr>
        <w:t>LOSURE REGARDING FOREIGN JURISDICTIONS THAT PREVENT INSPECTIONS</w:t>
      </w:r>
    </w:p>
    <w:p w14:paraId="5902B4AE" w14:textId="77777777" w:rsidR="0084406A" w:rsidRDefault="002B18AF">
      <w:pPr>
        <w:spacing w:before="180"/>
      </w:pPr>
      <w:r>
        <w:rPr>
          <w:rFonts w:ascii="Arial" w:eastAsia="宋体" w:hAnsi="Arial" w:cs="Arial"/>
          <w:color w:val="000000"/>
          <w:sz w:val="20"/>
          <w:szCs w:val="20"/>
        </w:rPr>
        <w:t xml:space="preserve">Not applicable. </w:t>
      </w:r>
    </w:p>
    <w:p w14:paraId="5902B4AF" w14:textId="77777777" w:rsidR="0084406A" w:rsidRDefault="002B18AF">
      <w:pPr>
        <w:jc w:val="center"/>
      </w:pPr>
      <w:r>
        <w:rPr>
          <w:rFonts w:ascii="Arial" w:eastAsia="宋体" w:hAnsi="Arial" w:cs="Arial"/>
          <w:color w:val="000000"/>
          <w:sz w:val="20"/>
          <w:szCs w:val="20"/>
        </w:rPr>
        <w:t>86</w:t>
      </w:r>
    </w:p>
    <w:p w14:paraId="5902B4B0" w14:textId="77777777" w:rsidR="0084406A" w:rsidRDefault="002B18AF">
      <w:r>
        <w:pict w14:anchorId="5902BB4C">
          <v:rect id="_x0000_i1113" style="width:415.3pt;height:1.5pt" o:hralign="center" o:hrstd="t" o:hr="t" fillcolor="#a0a0a0" stroked="f"/>
        </w:pict>
      </w:r>
    </w:p>
    <w:p w14:paraId="5902B4B1" w14:textId="77777777" w:rsidR="0084406A" w:rsidRDefault="0084406A"/>
    <w:p w14:paraId="5902B4B2" w14:textId="77777777" w:rsidR="0084406A" w:rsidRDefault="0084406A"/>
    <w:p w14:paraId="5902B4B3" w14:textId="77777777" w:rsidR="0084406A" w:rsidRDefault="002B18AF">
      <w:pPr>
        <w:jc w:val="center"/>
      </w:pPr>
      <w:r>
        <w:rPr>
          <w:rFonts w:ascii="Arial" w:eastAsia="宋体" w:hAnsi="Arial" w:cs="Arial"/>
          <w:b/>
          <w:bCs/>
          <w:color w:val="000000"/>
          <w:sz w:val="20"/>
          <w:szCs w:val="20"/>
        </w:rPr>
        <w:t>PART III</w:t>
      </w:r>
    </w:p>
    <w:p w14:paraId="5902B4B4" w14:textId="77777777" w:rsidR="0084406A" w:rsidRDefault="0084406A"/>
    <w:p w14:paraId="5902B4B5" w14:textId="77777777" w:rsidR="0084406A" w:rsidRDefault="002B18AF">
      <w:pPr>
        <w:spacing w:before="280"/>
        <w:ind w:hanging="1440"/>
      </w:pPr>
      <w:r>
        <w:rPr>
          <w:rFonts w:ascii="Arial" w:eastAsia="宋体" w:hAnsi="Arial" w:cs="Arial"/>
          <w:b/>
          <w:bCs/>
          <w:color w:val="000000"/>
          <w:sz w:val="20"/>
          <w:szCs w:val="20"/>
        </w:rPr>
        <w:t>ITEM 10. DIRECTORS, EXECUTIVE OFFICERS AND CORPORATE GOVERNANCE</w:t>
      </w:r>
    </w:p>
    <w:p w14:paraId="5902B4B6" w14:textId="77777777" w:rsidR="0084406A" w:rsidRDefault="002B18AF">
      <w:pPr>
        <w:spacing w:before="180"/>
        <w:jc w:val="both"/>
      </w:pPr>
      <w:r>
        <w:rPr>
          <w:rFonts w:ascii="Arial" w:eastAsia="宋体" w:hAnsi="Arial" w:cs="Arial"/>
          <w:color w:val="000000"/>
          <w:sz w:val="20"/>
          <w:szCs w:val="20"/>
        </w:rPr>
        <w:t>The information under the captions “Item 1—Election of Directors” (including “Consideration of</w:t>
      </w:r>
      <w:r>
        <w:rPr>
          <w:rFonts w:ascii="Arial" w:eastAsia="宋体" w:hAnsi="Arial" w:cs="Arial"/>
          <w:color w:val="000000"/>
          <w:sz w:val="20"/>
          <w:szCs w:val="20"/>
        </w:rPr>
        <w:t xml:space="preserve"> Stockholder Nominees for Director”), “Corporate Governance,” “Meetings and Committees of the Board of Directors,” “Executive Officers” and “Section 16(a) Beneficial Ownership Reporting Compliance” in our proxy statement for our 2022 annual meeting of stoc</w:t>
      </w:r>
      <w:r>
        <w:rPr>
          <w:rFonts w:ascii="Arial" w:eastAsia="宋体" w:hAnsi="Arial" w:cs="Arial"/>
          <w:color w:val="000000"/>
          <w:sz w:val="20"/>
          <w:szCs w:val="20"/>
        </w:rPr>
        <w:t>kholders (our 2022 Proxy Statement) is incorporated herein by reference. There were no material changes to the procedures by which stockholders may recommend nominees to our board of directors. See also, “Part 1, Item 1-Website Access to Company Reports an</w:t>
      </w:r>
      <w:r>
        <w:rPr>
          <w:rFonts w:ascii="Arial" w:eastAsia="宋体" w:hAnsi="Arial" w:cs="Arial"/>
          <w:color w:val="000000"/>
          <w:sz w:val="20"/>
          <w:szCs w:val="20"/>
        </w:rPr>
        <w:t>d Corporate Governance Documents,” above.</w:t>
      </w:r>
    </w:p>
    <w:p w14:paraId="5902B4B7" w14:textId="77777777" w:rsidR="0084406A" w:rsidRDefault="002B18AF">
      <w:pPr>
        <w:spacing w:before="280"/>
      </w:pPr>
      <w:r>
        <w:rPr>
          <w:rFonts w:ascii="Arial" w:eastAsia="宋体" w:hAnsi="Arial" w:cs="Arial"/>
          <w:b/>
          <w:bCs/>
          <w:color w:val="000000"/>
          <w:sz w:val="20"/>
          <w:szCs w:val="20"/>
        </w:rPr>
        <w:t>ITEM 11. EXECUTIVE COMPENSATION</w:t>
      </w:r>
    </w:p>
    <w:p w14:paraId="5902B4B8" w14:textId="77777777" w:rsidR="0084406A" w:rsidRDefault="002B18AF">
      <w:pPr>
        <w:spacing w:before="180"/>
        <w:jc w:val="both"/>
      </w:pPr>
      <w:r>
        <w:rPr>
          <w:rFonts w:ascii="Arial" w:eastAsia="宋体" w:hAnsi="Arial" w:cs="Arial"/>
          <w:color w:val="000000"/>
          <w:sz w:val="20"/>
          <w:szCs w:val="20"/>
        </w:rPr>
        <w:t>The information under the captions “Directors’ Compensation and Benefits” (including “2021 Non-Employee Director Compensation”), “Compensation Discussion and Analysis,” “Compensation</w:t>
      </w:r>
      <w:r>
        <w:rPr>
          <w:rFonts w:ascii="Arial" w:eastAsia="宋体" w:hAnsi="Arial" w:cs="Arial"/>
          <w:color w:val="000000"/>
          <w:sz w:val="20"/>
          <w:szCs w:val="20"/>
        </w:rPr>
        <w:t xml:space="preserve"> Policies and Practices,” “Executive Compensation” (including “2021 Summary Compensation Table,” “2021 Nonqualified Deferred Compensation,” “Outstanding Equity Awards at 2021 Fiscal Year-End,” “Grants of Plan-Based Awards in 2021” and “Option Exercises and</w:t>
      </w:r>
      <w:r>
        <w:rPr>
          <w:rFonts w:ascii="Arial" w:eastAsia="宋体" w:hAnsi="Arial" w:cs="Arial"/>
          <w:color w:val="000000"/>
          <w:sz w:val="20"/>
          <w:szCs w:val="20"/>
        </w:rPr>
        <w:t xml:space="preserve"> Stock Vested in 2021) and “Severance and Change in Control Arrangements” in our 2022 Proxy Statement is incorporated herein by reference.</w:t>
      </w:r>
    </w:p>
    <w:p w14:paraId="5902B4B9" w14:textId="77777777" w:rsidR="0084406A" w:rsidRDefault="002B18AF">
      <w:pPr>
        <w:spacing w:before="280"/>
        <w:ind w:hanging="1440"/>
        <w:jc w:val="both"/>
      </w:pPr>
      <w:r>
        <w:rPr>
          <w:rFonts w:ascii="Arial" w:eastAsia="宋体" w:hAnsi="Arial" w:cs="Arial"/>
          <w:b/>
          <w:bCs/>
          <w:color w:val="000000"/>
          <w:sz w:val="20"/>
          <w:szCs w:val="20"/>
        </w:rPr>
        <w:t>ITEM 12. SECURITY OWNERSHIP OF CERTAIN BENEFICIAL OWNERS AND MANAGEMENT AND RELATED STOCKHOLDER MATTERS</w:t>
      </w:r>
    </w:p>
    <w:p w14:paraId="5902B4BA" w14:textId="77777777" w:rsidR="0084406A" w:rsidRDefault="002B18AF">
      <w:pPr>
        <w:spacing w:before="180"/>
        <w:jc w:val="both"/>
      </w:pPr>
      <w:r>
        <w:rPr>
          <w:rFonts w:ascii="Arial" w:eastAsia="宋体" w:hAnsi="Arial" w:cs="Arial"/>
          <w:color w:val="000000"/>
          <w:sz w:val="20"/>
          <w:szCs w:val="20"/>
        </w:rPr>
        <w:t>The informati</w:t>
      </w:r>
      <w:r>
        <w:rPr>
          <w:rFonts w:ascii="Arial" w:eastAsia="宋体" w:hAnsi="Arial" w:cs="Arial"/>
          <w:color w:val="000000"/>
          <w:sz w:val="20"/>
          <w:szCs w:val="20"/>
        </w:rPr>
        <w:t>on under the captions “Principal Stockholders,” “Security Ownership of Directors and Executive Officers” and “Equity Compensation Plan Information” in our 2022 Proxy Statement is incorporated herein by reference.</w:t>
      </w:r>
    </w:p>
    <w:p w14:paraId="5902B4BB" w14:textId="77777777" w:rsidR="0084406A" w:rsidRDefault="002B18AF">
      <w:pPr>
        <w:spacing w:before="280"/>
        <w:ind w:hanging="1440"/>
        <w:jc w:val="both"/>
      </w:pPr>
      <w:r>
        <w:rPr>
          <w:rFonts w:ascii="Arial" w:eastAsia="宋体" w:hAnsi="Arial" w:cs="Arial"/>
          <w:b/>
          <w:bCs/>
          <w:color w:val="000000"/>
          <w:sz w:val="20"/>
          <w:szCs w:val="20"/>
        </w:rPr>
        <w:t xml:space="preserve">ITEM 13. CERTAIN RELATIONSHIPS AND RELATED </w:t>
      </w:r>
      <w:r>
        <w:rPr>
          <w:rFonts w:ascii="Arial" w:eastAsia="宋体" w:hAnsi="Arial" w:cs="Arial"/>
          <w:b/>
          <w:bCs/>
          <w:color w:val="000000"/>
          <w:sz w:val="20"/>
          <w:szCs w:val="20"/>
        </w:rPr>
        <w:t>TRANSACTIONS AND DIRECTOR INDEPENDENCE</w:t>
      </w:r>
    </w:p>
    <w:p w14:paraId="5902B4BC" w14:textId="77777777" w:rsidR="0084406A" w:rsidRDefault="002B18AF">
      <w:pPr>
        <w:spacing w:before="180"/>
        <w:jc w:val="both"/>
      </w:pPr>
      <w:r>
        <w:rPr>
          <w:rFonts w:ascii="Arial" w:eastAsia="宋体" w:hAnsi="Arial" w:cs="Arial"/>
          <w:color w:val="000000"/>
          <w:sz w:val="20"/>
          <w:szCs w:val="20"/>
        </w:rPr>
        <w:t>The information under the captions “Corporate Governance—Independence of Directors” and “Certain Relationships and Related Transactions” in our 2022 Proxy Statement is incorporated herein by reference.</w:t>
      </w:r>
    </w:p>
    <w:p w14:paraId="5902B4BD" w14:textId="77777777" w:rsidR="0084406A" w:rsidRDefault="002B18AF">
      <w:pPr>
        <w:spacing w:before="280"/>
        <w:ind w:hanging="1440"/>
      </w:pPr>
      <w:r>
        <w:rPr>
          <w:rFonts w:ascii="Arial" w:eastAsia="宋体" w:hAnsi="Arial" w:cs="Arial"/>
          <w:b/>
          <w:bCs/>
          <w:color w:val="000000"/>
          <w:sz w:val="20"/>
          <w:szCs w:val="20"/>
        </w:rPr>
        <w:t>ITEM 14. PRINCI</w:t>
      </w:r>
      <w:r>
        <w:rPr>
          <w:rFonts w:ascii="Arial" w:eastAsia="宋体" w:hAnsi="Arial" w:cs="Arial"/>
          <w:b/>
          <w:bCs/>
          <w:color w:val="000000"/>
          <w:sz w:val="20"/>
          <w:szCs w:val="20"/>
        </w:rPr>
        <w:t>PAL ACCOUNTING FEES AND SERVICES</w:t>
      </w:r>
    </w:p>
    <w:p w14:paraId="5902B4BE" w14:textId="77777777" w:rsidR="0084406A" w:rsidRDefault="002B18AF">
      <w:pPr>
        <w:spacing w:before="180"/>
        <w:jc w:val="both"/>
      </w:pPr>
      <w:r>
        <w:rPr>
          <w:rFonts w:ascii="Arial" w:eastAsia="宋体" w:hAnsi="Arial" w:cs="Arial"/>
          <w:color w:val="000000"/>
          <w:sz w:val="20"/>
          <w:szCs w:val="20"/>
        </w:rPr>
        <w:t>The information under the captions “Item 2—Ratification of Appointment of Independent Registered Public Accounting Firm—Independent Registered Public Accounting Firm’s Fees” in our 2022 Proxy Statement is incorporated herei</w:t>
      </w:r>
      <w:r>
        <w:rPr>
          <w:rFonts w:ascii="Arial" w:eastAsia="宋体" w:hAnsi="Arial" w:cs="Arial"/>
          <w:color w:val="000000"/>
          <w:sz w:val="20"/>
          <w:szCs w:val="20"/>
        </w:rPr>
        <w:t>n by reference.</w:t>
      </w:r>
    </w:p>
    <w:p w14:paraId="5902B4BF" w14:textId="77777777" w:rsidR="0084406A" w:rsidRDefault="002B18AF">
      <w:pPr>
        <w:spacing w:before="180"/>
        <w:jc w:val="both"/>
      </w:pPr>
      <w:r>
        <w:rPr>
          <w:rFonts w:ascii="Arial" w:eastAsia="宋体" w:hAnsi="Arial" w:cs="Arial"/>
          <w:color w:val="000000"/>
          <w:sz w:val="20"/>
          <w:szCs w:val="20"/>
        </w:rPr>
        <w:t xml:space="preserve">With the exception of the information specifically incorporated by reference in Part III of this Annual Report on Form 10-K from our 2022 Proxy Statement, our 2022 Proxy Statement will not be deemed to be filed as part of this </w:t>
      </w:r>
      <w:r>
        <w:rPr>
          <w:rFonts w:ascii="Arial" w:eastAsia="宋体" w:hAnsi="Arial" w:cs="Arial"/>
          <w:color w:val="000000"/>
          <w:sz w:val="20"/>
          <w:szCs w:val="20"/>
        </w:rPr>
        <w:t>report. Without limiting the foregoing, the information under the captions “Compensation Committee Report” and “Audit Committee Report” in our 2022 Proxy Statement is not incorporated by reference in this Annual Report on Form 10-K.</w:t>
      </w:r>
    </w:p>
    <w:p w14:paraId="5902B4C0" w14:textId="77777777" w:rsidR="0084406A" w:rsidRDefault="002B18AF">
      <w:pPr>
        <w:jc w:val="center"/>
      </w:pPr>
      <w:r>
        <w:rPr>
          <w:rFonts w:ascii="Arial" w:eastAsia="宋体" w:hAnsi="Arial" w:cs="Arial"/>
          <w:color w:val="000000"/>
          <w:sz w:val="20"/>
          <w:szCs w:val="20"/>
        </w:rPr>
        <w:t>87</w:t>
      </w:r>
    </w:p>
    <w:p w14:paraId="5902B4C1" w14:textId="77777777" w:rsidR="0084406A" w:rsidRDefault="002B18AF">
      <w:r>
        <w:pict w14:anchorId="5902BB4D">
          <v:rect id="_x0000_i1114" style="width:415.3pt;height:1.5pt" o:hralign="center" o:hrstd="t" o:hr="t" fillcolor="#a0a0a0" stroked="f"/>
        </w:pict>
      </w:r>
    </w:p>
    <w:p w14:paraId="5902B4C2" w14:textId="77777777" w:rsidR="0084406A" w:rsidRDefault="0084406A"/>
    <w:p w14:paraId="5902B4C3" w14:textId="77777777" w:rsidR="0084406A" w:rsidRDefault="002B18AF">
      <w:pPr>
        <w:jc w:val="center"/>
      </w:pPr>
      <w:r>
        <w:rPr>
          <w:rFonts w:ascii="Arial" w:eastAsia="宋体" w:hAnsi="Arial" w:cs="Arial"/>
          <w:b/>
          <w:bCs/>
          <w:color w:val="000000"/>
          <w:sz w:val="20"/>
          <w:szCs w:val="20"/>
        </w:rPr>
        <w:t>PART IV</w:t>
      </w:r>
    </w:p>
    <w:p w14:paraId="5902B4C4" w14:textId="77777777" w:rsidR="0084406A" w:rsidRDefault="002B18AF">
      <w:r>
        <w:rPr>
          <w:rFonts w:ascii="Arial" w:eastAsia="宋体" w:hAnsi="Arial" w:cs="Arial"/>
          <w:color w:val="000000"/>
          <w:sz w:val="18"/>
          <w:szCs w:val="18"/>
        </w:rPr>
        <w:t> </w:t>
      </w:r>
    </w:p>
    <w:p w14:paraId="5902B4C5" w14:textId="77777777" w:rsidR="0084406A" w:rsidRDefault="002B18AF">
      <w:pPr>
        <w:spacing w:before="280"/>
        <w:ind w:hanging="1440"/>
      </w:pPr>
      <w:r>
        <w:rPr>
          <w:rFonts w:ascii="Arial" w:eastAsia="宋体" w:hAnsi="Arial" w:cs="Arial"/>
          <w:b/>
          <w:bCs/>
          <w:color w:val="000000"/>
          <w:sz w:val="20"/>
          <w:szCs w:val="20"/>
        </w:rPr>
        <w:t>ITEM 15. EXHIBITS, FINANCIAL STATEMENT SCHEDULES</w:t>
      </w:r>
    </w:p>
    <w:p w14:paraId="5902B4C6" w14:textId="77777777" w:rsidR="0084406A" w:rsidRDefault="002B18AF">
      <w:pPr>
        <w:spacing w:before="180"/>
      </w:pPr>
      <w:r>
        <w:rPr>
          <w:rFonts w:ascii="Arial" w:eastAsia="宋体" w:hAnsi="Arial" w:cs="Arial"/>
          <w:b/>
          <w:bCs/>
          <w:color w:val="000000"/>
          <w:sz w:val="20"/>
          <w:szCs w:val="20"/>
        </w:rPr>
        <w:t>1. Financial Statements</w:t>
      </w:r>
    </w:p>
    <w:p w14:paraId="5902B4C7" w14:textId="77777777" w:rsidR="0084406A" w:rsidRDefault="002B18AF">
      <w:pPr>
        <w:spacing w:before="180"/>
        <w:jc w:val="both"/>
      </w:pPr>
      <w:r>
        <w:rPr>
          <w:rFonts w:ascii="Arial" w:eastAsia="宋体" w:hAnsi="Arial" w:cs="Arial"/>
          <w:color w:val="000000"/>
          <w:sz w:val="20"/>
          <w:szCs w:val="20"/>
        </w:rPr>
        <w:t xml:space="preserve">The financial statements of AMD are set forth in Item 8 of this Annual Report on Form 10-K, as indexed below. </w:t>
      </w:r>
    </w:p>
    <w:p w14:paraId="5902B4C8" w14:textId="77777777" w:rsidR="0084406A" w:rsidRDefault="002B18AF">
      <w:pPr>
        <w:spacing w:before="180"/>
        <w:jc w:val="both"/>
      </w:pPr>
      <w:r>
        <w:rPr>
          <w:rFonts w:ascii="Arial" w:eastAsia="宋体" w:hAnsi="Arial" w:cs="Arial"/>
          <w:color w:val="000000"/>
          <w:sz w:val="20"/>
          <w:szCs w:val="20"/>
        </w:rPr>
        <w:t>Index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6318"/>
        <w:gridCol w:w="37"/>
        <w:gridCol w:w="69"/>
        <w:gridCol w:w="149"/>
        <w:gridCol w:w="36"/>
        <w:gridCol w:w="69"/>
        <w:gridCol w:w="1553"/>
        <w:gridCol w:w="36"/>
      </w:tblGrid>
      <w:tr w:rsidR="0084406A" w14:paraId="5902B4D2" w14:textId="77777777">
        <w:tc>
          <w:tcPr>
            <w:tcW w:w="50" w:type="pct"/>
            <w:shd w:val="clear" w:color="auto" w:fill="auto"/>
            <w:vAlign w:val="bottom"/>
          </w:tcPr>
          <w:p w14:paraId="5902B4C9" w14:textId="77777777" w:rsidR="0084406A" w:rsidRDefault="0084406A">
            <w:pPr>
              <w:rPr>
                <w:rFonts w:ascii="宋体"/>
              </w:rPr>
            </w:pPr>
          </w:p>
        </w:tc>
        <w:tc>
          <w:tcPr>
            <w:tcW w:w="3797" w:type="pct"/>
            <w:shd w:val="clear" w:color="auto" w:fill="auto"/>
            <w:vAlign w:val="bottom"/>
          </w:tcPr>
          <w:p w14:paraId="5902B4CA" w14:textId="77777777" w:rsidR="0084406A" w:rsidRDefault="0084406A">
            <w:pPr>
              <w:rPr>
                <w:rFonts w:ascii="宋体"/>
              </w:rPr>
            </w:pPr>
          </w:p>
        </w:tc>
        <w:tc>
          <w:tcPr>
            <w:tcW w:w="5" w:type="pct"/>
            <w:shd w:val="clear" w:color="auto" w:fill="auto"/>
            <w:vAlign w:val="bottom"/>
          </w:tcPr>
          <w:p w14:paraId="5902B4CB" w14:textId="77777777" w:rsidR="0084406A" w:rsidRDefault="0084406A">
            <w:pPr>
              <w:rPr>
                <w:rFonts w:ascii="宋体"/>
              </w:rPr>
            </w:pPr>
          </w:p>
        </w:tc>
        <w:tc>
          <w:tcPr>
            <w:tcW w:w="50" w:type="pct"/>
            <w:shd w:val="clear" w:color="auto" w:fill="auto"/>
            <w:vAlign w:val="bottom"/>
          </w:tcPr>
          <w:p w14:paraId="5902B4CC" w14:textId="77777777" w:rsidR="0084406A" w:rsidRDefault="0084406A">
            <w:pPr>
              <w:rPr>
                <w:rFonts w:ascii="宋体"/>
              </w:rPr>
            </w:pPr>
          </w:p>
        </w:tc>
        <w:tc>
          <w:tcPr>
            <w:tcW w:w="98" w:type="pct"/>
            <w:shd w:val="clear" w:color="auto" w:fill="auto"/>
            <w:vAlign w:val="bottom"/>
          </w:tcPr>
          <w:p w14:paraId="5902B4CD" w14:textId="77777777" w:rsidR="0084406A" w:rsidRDefault="0084406A">
            <w:pPr>
              <w:rPr>
                <w:rFonts w:ascii="宋体"/>
              </w:rPr>
            </w:pPr>
          </w:p>
        </w:tc>
        <w:tc>
          <w:tcPr>
            <w:tcW w:w="5" w:type="pct"/>
            <w:shd w:val="clear" w:color="auto" w:fill="auto"/>
            <w:vAlign w:val="bottom"/>
          </w:tcPr>
          <w:p w14:paraId="5902B4CE" w14:textId="77777777" w:rsidR="0084406A" w:rsidRDefault="0084406A">
            <w:pPr>
              <w:rPr>
                <w:rFonts w:ascii="宋体"/>
              </w:rPr>
            </w:pPr>
          </w:p>
        </w:tc>
        <w:tc>
          <w:tcPr>
            <w:tcW w:w="50" w:type="pct"/>
            <w:shd w:val="clear" w:color="auto" w:fill="auto"/>
            <w:vAlign w:val="bottom"/>
          </w:tcPr>
          <w:p w14:paraId="5902B4CF" w14:textId="77777777" w:rsidR="0084406A" w:rsidRDefault="0084406A">
            <w:pPr>
              <w:rPr>
                <w:rFonts w:ascii="宋体"/>
              </w:rPr>
            </w:pPr>
          </w:p>
        </w:tc>
        <w:tc>
          <w:tcPr>
            <w:tcW w:w="939" w:type="pct"/>
            <w:shd w:val="clear" w:color="auto" w:fill="auto"/>
            <w:vAlign w:val="bottom"/>
          </w:tcPr>
          <w:p w14:paraId="5902B4D0" w14:textId="77777777" w:rsidR="0084406A" w:rsidRDefault="0084406A">
            <w:pPr>
              <w:rPr>
                <w:rFonts w:ascii="宋体"/>
              </w:rPr>
            </w:pPr>
          </w:p>
        </w:tc>
        <w:tc>
          <w:tcPr>
            <w:tcW w:w="5" w:type="pct"/>
            <w:shd w:val="clear" w:color="auto" w:fill="auto"/>
            <w:vAlign w:val="bottom"/>
          </w:tcPr>
          <w:p w14:paraId="5902B4D1" w14:textId="77777777" w:rsidR="0084406A" w:rsidRDefault="0084406A">
            <w:pPr>
              <w:rPr>
                <w:rFonts w:ascii="宋体"/>
              </w:rPr>
            </w:pPr>
          </w:p>
        </w:tc>
      </w:tr>
      <w:tr w:rsidR="0084406A" w14:paraId="5902B4D6" w14:textId="77777777">
        <w:tc>
          <w:tcPr>
            <w:tcW w:w="0" w:type="auto"/>
            <w:gridSpan w:val="3"/>
            <w:shd w:val="clear" w:color="auto" w:fill="auto"/>
            <w:tcMar>
              <w:top w:w="40" w:type="dxa"/>
              <w:left w:w="20" w:type="dxa"/>
              <w:bottom w:w="40" w:type="dxa"/>
              <w:right w:w="20" w:type="dxa"/>
            </w:tcMar>
            <w:vAlign w:val="bottom"/>
          </w:tcPr>
          <w:p w14:paraId="5902B4D3" w14:textId="77777777" w:rsidR="0084406A" w:rsidRDefault="002B18AF">
            <w:pPr>
              <w:jc w:val="both"/>
              <w:textAlignment w:val="bottom"/>
            </w:pPr>
            <w:hyperlink r:id="rId82" w:anchor="ib7cf537e07124691a6505a5505cd30c3_106" w:history="1">
              <w:r>
                <w:rPr>
                  <w:rStyle w:val="a5"/>
                  <w:rFonts w:ascii="Arial" w:eastAsia="宋体" w:hAnsi="Arial" w:cs="Arial"/>
                  <w:sz w:val="20"/>
                  <w:szCs w:val="20"/>
                </w:rPr>
                <w:t>Consolidated Statements of Operations</w:t>
              </w:r>
            </w:hyperlink>
          </w:p>
        </w:tc>
        <w:tc>
          <w:tcPr>
            <w:tcW w:w="0" w:type="auto"/>
            <w:gridSpan w:val="3"/>
            <w:shd w:val="clear" w:color="auto" w:fill="auto"/>
            <w:tcMar>
              <w:top w:w="0" w:type="dxa"/>
              <w:left w:w="20" w:type="dxa"/>
              <w:bottom w:w="0" w:type="dxa"/>
              <w:right w:w="20" w:type="dxa"/>
            </w:tcMar>
            <w:vAlign w:val="bottom"/>
          </w:tcPr>
          <w:p w14:paraId="5902B4D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D5" w14:textId="77777777" w:rsidR="0084406A" w:rsidRDefault="002B18AF">
            <w:pPr>
              <w:jc w:val="right"/>
              <w:textAlignment w:val="bottom"/>
            </w:pPr>
            <w:hyperlink r:id="rId83" w:anchor="ib7cf537e07124691a6505a5505cd30c3_106" w:history="1">
              <w:r>
                <w:rPr>
                  <w:rStyle w:val="a5"/>
                  <w:rFonts w:ascii="Arial" w:eastAsia="宋体" w:hAnsi="Arial" w:cs="Arial"/>
                  <w:sz w:val="20"/>
                  <w:szCs w:val="20"/>
                </w:rPr>
                <w:t>48</w:t>
              </w:r>
            </w:hyperlink>
          </w:p>
        </w:tc>
      </w:tr>
      <w:tr w:rsidR="0084406A" w14:paraId="5902B4DA" w14:textId="77777777">
        <w:tc>
          <w:tcPr>
            <w:tcW w:w="0" w:type="auto"/>
            <w:gridSpan w:val="3"/>
            <w:shd w:val="clear" w:color="auto" w:fill="auto"/>
            <w:tcMar>
              <w:top w:w="40" w:type="dxa"/>
              <w:left w:w="20" w:type="dxa"/>
              <w:bottom w:w="40" w:type="dxa"/>
              <w:right w:w="20" w:type="dxa"/>
            </w:tcMar>
            <w:vAlign w:val="bottom"/>
          </w:tcPr>
          <w:p w14:paraId="5902B4D7" w14:textId="77777777" w:rsidR="0084406A" w:rsidRDefault="002B18AF">
            <w:pPr>
              <w:jc w:val="both"/>
              <w:textAlignment w:val="bottom"/>
            </w:pPr>
            <w:hyperlink r:id="rId84" w:anchor="ib7cf537e07124691a6505a5505cd30c3_109" w:history="1">
              <w:r>
                <w:rPr>
                  <w:rStyle w:val="a5"/>
                  <w:rFonts w:ascii="Arial" w:eastAsia="宋体" w:hAnsi="Arial" w:cs="Arial"/>
                  <w:sz w:val="20"/>
                  <w:szCs w:val="20"/>
                </w:rPr>
                <w:t xml:space="preserve">Consolidated Statements of Comprehensive Income </w:t>
              </w:r>
            </w:hyperlink>
          </w:p>
        </w:tc>
        <w:tc>
          <w:tcPr>
            <w:tcW w:w="0" w:type="auto"/>
            <w:gridSpan w:val="3"/>
            <w:shd w:val="clear" w:color="auto" w:fill="auto"/>
            <w:tcMar>
              <w:top w:w="0" w:type="dxa"/>
              <w:left w:w="20" w:type="dxa"/>
              <w:bottom w:w="0" w:type="dxa"/>
              <w:right w:w="20" w:type="dxa"/>
            </w:tcMar>
            <w:vAlign w:val="bottom"/>
          </w:tcPr>
          <w:p w14:paraId="5902B4D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D9" w14:textId="77777777" w:rsidR="0084406A" w:rsidRDefault="002B18AF">
            <w:pPr>
              <w:jc w:val="right"/>
              <w:textAlignment w:val="bottom"/>
            </w:pPr>
            <w:hyperlink r:id="rId85" w:anchor="ib7cf537e07124691a6505a5505cd30c3_109" w:history="1">
              <w:r>
                <w:rPr>
                  <w:rStyle w:val="a5"/>
                  <w:rFonts w:ascii="Arial" w:eastAsia="宋体" w:hAnsi="Arial" w:cs="Arial"/>
                  <w:sz w:val="20"/>
                  <w:szCs w:val="20"/>
                </w:rPr>
                <w:t>49</w:t>
              </w:r>
            </w:hyperlink>
          </w:p>
        </w:tc>
      </w:tr>
      <w:tr w:rsidR="0084406A" w14:paraId="5902B4DE" w14:textId="77777777">
        <w:tc>
          <w:tcPr>
            <w:tcW w:w="0" w:type="auto"/>
            <w:gridSpan w:val="3"/>
            <w:shd w:val="clear" w:color="auto" w:fill="auto"/>
            <w:tcMar>
              <w:top w:w="40" w:type="dxa"/>
              <w:left w:w="20" w:type="dxa"/>
              <w:bottom w:w="40" w:type="dxa"/>
              <w:right w:w="20" w:type="dxa"/>
            </w:tcMar>
            <w:vAlign w:val="bottom"/>
          </w:tcPr>
          <w:p w14:paraId="5902B4DB" w14:textId="77777777" w:rsidR="0084406A" w:rsidRDefault="002B18AF">
            <w:pPr>
              <w:jc w:val="both"/>
              <w:textAlignment w:val="bottom"/>
            </w:pPr>
            <w:hyperlink r:id="rId86" w:anchor="ib7cf537e07124691a6505a5505cd30c3_112" w:history="1">
              <w:r>
                <w:rPr>
                  <w:rStyle w:val="a5"/>
                  <w:rFonts w:ascii="Arial" w:eastAsia="宋体" w:hAnsi="Arial" w:cs="Arial"/>
                  <w:sz w:val="20"/>
                  <w:szCs w:val="20"/>
                </w:rPr>
                <w:t>Consolidated Balance Sheets</w:t>
              </w:r>
            </w:hyperlink>
          </w:p>
        </w:tc>
        <w:tc>
          <w:tcPr>
            <w:tcW w:w="0" w:type="auto"/>
            <w:gridSpan w:val="3"/>
            <w:shd w:val="clear" w:color="auto" w:fill="auto"/>
            <w:tcMar>
              <w:top w:w="0" w:type="dxa"/>
              <w:left w:w="20" w:type="dxa"/>
              <w:bottom w:w="0" w:type="dxa"/>
              <w:right w:w="20" w:type="dxa"/>
            </w:tcMar>
            <w:vAlign w:val="bottom"/>
          </w:tcPr>
          <w:p w14:paraId="5902B4D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DD" w14:textId="77777777" w:rsidR="0084406A" w:rsidRDefault="002B18AF">
            <w:pPr>
              <w:jc w:val="right"/>
              <w:textAlignment w:val="bottom"/>
            </w:pPr>
            <w:hyperlink r:id="rId87" w:anchor="ib7cf537e07124691a6505a5505cd30c3_112" w:history="1">
              <w:r>
                <w:rPr>
                  <w:rStyle w:val="a5"/>
                  <w:rFonts w:ascii="Arial" w:eastAsia="宋体" w:hAnsi="Arial" w:cs="Arial"/>
                  <w:sz w:val="20"/>
                  <w:szCs w:val="20"/>
                </w:rPr>
                <w:t>50</w:t>
              </w:r>
            </w:hyperlink>
          </w:p>
        </w:tc>
      </w:tr>
      <w:tr w:rsidR="0084406A" w14:paraId="5902B4E2" w14:textId="77777777">
        <w:tc>
          <w:tcPr>
            <w:tcW w:w="0" w:type="auto"/>
            <w:gridSpan w:val="3"/>
            <w:shd w:val="clear" w:color="auto" w:fill="auto"/>
            <w:tcMar>
              <w:top w:w="40" w:type="dxa"/>
              <w:left w:w="20" w:type="dxa"/>
              <w:bottom w:w="40" w:type="dxa"/>
              <w:right w:w="20" w:type="dxa"/>
            </w:tcMar>
            <w:vAlign w:val="bottom"/>
          </w:tcPr>
          <w:p w14:paraId="5902B4DF" w14:textId="77777777" w:rsidR="0084406A" w:rsidRDefault="002B18AF">
            <w:pPr>
              <w:jc w:val="both"/>
              <w:textAlignment w:val="bottom"/>
            </w:pPr>
            <w:hyperlink r:id="rId88" w:anchor="ib7cf537e07124691a6505a5505cd30c3_115" w:history="1">
              <w:r>
                <w:rPr>
                  <w:rStyle w:val="a5"/>
                  <w:rFonts w:ascii="Arial" w:eastAsia="宋体" w:hAnsi="Arial" w:cs="Arial"/>
                  <w:sz w:val="20"/>
                  <w:szCs w:val="20"/>
                </w:rPr>
                <w:t>Consolidated Statements of Stockholders’ Equity</w:t>
              </w:r>
            </w:hyperlink>
          </w:p>
        </w:tc>
        <w:tc>
          <w:tcPr>
            <w:tcW w:w="0" w:type="auto"/>
            <w:gridSpan w:val="3"/>
            <w:shd w:val="clear" w:color="auto" w:fill="auto"/>
            <w:tcMar>
              <w:top w:w="0" w:type="dxa"/>
              <w:left w:w="20" w:type="dxa"/>
              <w:bottom w:w="0" w:type="dxa"/>
              <w:right w:w="20" w:type="dxa"/>
            </w:tcMar>
            <w:vAlign w:val="bottom"/>
          </w:tcPr>
          <w:p w14:paraId="5902B4E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E1" w14:textId="77777777" w:rsidR="0084406A" w:rsidRDefault="002B18AF">
            <w:pPr>
              <w:jc w:val="right"/>
              <w:textAlignment w:val="bottom"/>
            </w:pPr>
            <w:hyperlink r:id="rId89" w:anchor="ib7cf537e07124691a6505a5505cd30c3_115" w:history="1">
              <w:r>
                <w:rPr>
                  <w:rStyle w:val="a5"/>
                  <w:rFonts w:ascii="Arial" w:eastAsia="宋体" w:hAnsi="Arial" w:cs="Arial"/>
                  <w:sz w:val="20"/>
                  <w:szCs w:val="20"/>
                </w:rPr>
                <w:t>51</w:t>
              </w:r>
            </w:hyperlink>
          </w:p>
        </w:tc>
      </w:tr>
      <w:tr w:rsidR="0084406A" w14:paraId="5902B4E6" w14:textId="77777777">
        <w:tc>
          <w:tcPr>
            <w:tcW w:w="0" w:type="auto"/>
            <w:gridSpan w:val="3"/>
            <w:shd w:val="clear" w:color="auto" w:fill="auto"/>
            <w:tcMar>
              <w:top w:w="40" w:type="dxa"/>
              <w:left w:w="20" w:type="dxa"/>
              <w:bottom w:w="40" w:type="dxa"/>
              <w:right w:w="20" w:type="dxa"/>
            </w:tcMar>
            <w:vAlign w:val="bottom"/>
          </w:tcPr>
          <w:p w14:paraId="5902B4E3" w14:textId="77777777" w:rsidR="0084406A" w:rsidRDefault="002B18AF">
            <w:pPr>
              <w:jc w:val="both"/>
              <w:textAlignment w:val="bottom"/>
            </w:pPr>
            <w:hyperlink r:id="rId90" w:anchor="ib7cf537e07124691a6505a5505cd30c3_118" w:history="1">
              <w:r>
                <w:rPr>
                  <w:rStyle w:val="a5"/>
                  <w:rFonts w:ascii="Arial" w:eastAsia="宋体" w:hAnsi="Arial" w:cs="Arial"/>
                  <w:sz w:val="20"/>
                  <w:szCs w:val="20"/>
                </w:rPr>
                <w:t>Consolidated Statements of Cash Flows</w:t>
              </w:r>
            </w:hyperlink>
          </w:p>
        </w:tc>
        <w:tc>
          <w:tcPr>
            <w:tcW w:w="0" w:type="auto"/>
            <w:gridSpan w:val="3"/>
            <w:shd w:val="clear" w:color="auto" w:fill="auto"/>
            <w:tcMar>
              <w:top w:w="0" w:type="dxa"/>
              <w:left w:w="20" w:type="dxa"/>
              <w:bottom w:w="0" w:type="dxa"/>
              <w:right w:w="20" w:type="dxa"/>
            </w:tcMar>
            <w:vAlign w:val="bottom"/>
          </w:tcPr>
          <w:p w14:paraId="5902B4E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E5" w14:textId="77777777" w:rsidR="0084406A" w:rsidRDefault="002B18AF">
            <w:pPr>
              <w:jc w:val="right"/>
              <w:textAlignment w:val="bottom"/>
            </w:pPr>
            <w:hyperlink r:id="rId91" w:anchor="ib7cf537e07124691a6505a5505cd30c3_118" w:history="1">
              <w:r>
                <w:rPr>
                  <w:rStyle w:val="a5"/>
                  <w:rFonts w:ascii="Arial" w:eastAsia="宋体" w:hAnsi="Arial" w:cs="Arial"/>
                  <w:sz w:val="20"/>
                  <w:szCs w:val="20"/>
                </w:rPr>
                <w:t>52</w:t>
              </w:r>
            </w:hyperlink>
          </w:p>
        </w:tc>
      </w:tr>
      <w:tr w:rsidR="0084406A" w14:paraId="5902B4EA" w14:textId="77777777">
        <w:tc>
          <w:tcPr>
            <w:tcW w:w="0" w:type="auto"/>
            <w:gridSpan w:val="3"/>
            <w:shd w:val="clear" w:color="auto" w:fill="auto"/>
            <w:tcMar>
              <w:top w:w="40" w:type="dxa"/>
              <w:left w:w="20" w:type="dxa"/>
              <w:bottom w:w="40" w:type="dxa"/>
              <w:right w:w="20" w:type="dxa"/>
            </w:tcMar>
            <w:vAlign w:val="bottom"/>
          </w:tcPr>
          <w:p w14:paraId="5902B4E7" w14:textId="77777777" w:rsidR="0084406A" w:rsidRDefault="002B18AF">
            <w:pPr>
              <w:jc w:val="both"/>
              <w:textAlignment w:val="bottom"/>
            </w:pPr>
            <w:hyperlink r:id="rId92" w:anchor="ib7cf537e07124691a6505a5505cd30c3_121" w:history="1">
              <w:r>
                <w:rPr>
                  <w:rStyle w:val="a5"/>
                  <w:rFonts w:ascii="Arial" w:eastAsia="宋体" w:hAnsi="Arial" w:cs="Arial"/>
                  <w:sz w:val="20"/>
                  <w:szCs w:val="20"/>
                </w:rPr>
                <w:t>Notes to Consolidated Financial Statements</w:t>
              </w:r>
            </w:hyperlink>
          </w:p>
        </w:tc>
        <w:tc>
          <w:tcPr>
            <w:tcW w:w="0" w:type="auto"/>
            <w:gridSpan w:val="3"/>
            <w:shd w:val="clear" w:color="auto" w:fill="auto"/>
            <w:tcMar>
              <w:top w:w="0" w:type="dxa"/>
              <w:left w:w="20" w:type="dxa"/>
              <w:bottom w:w="0" w:type="dxa"/>
              <w:right w:w="20" w:type="dxa"/>
            </w:tcMar>
            <w:vAlign w:val="bottom"/>
          </w:tcPr>
          <w:p w14:paraId="5902B4E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E9" w14:textId="77777777" w:rsidR="0084406A" w:rsidRDefault="002B18AF">
            <w:pPr>
              <w:jc w:val="right"/>
              <w:textAlignment w:val="bottom"/>
            </w:pPr>
            <w:hyperlink r:id="rId93" w:anchor="ib7cf537e07124691a6505a5505cd30c3_121" w:history="1">
              <w:r>
                <w:rPr>
                  <w:rStyle w:val="a5"/>
                  <w:rFonts w:ascii="Arial" w:eastAsia="宋体" w:hAnsi="Arial" w:cs="Arial"/>
                  <w:sz w:val="20"/>
                  <w:szCs w:val="20"/>
                </w:rPr>
                <w:t>54</w:t>
              </w:r>
            </w:hyperlink>
          </w:p>
        </w:tc>
      </w:tr>
      <w:tr w:rsidR="0084406A" w14:paraId="5902B4EE" w14:textId="77777777">
        <w:tc>
          <w:tcPr>
            <w:tcW w:w="0" w:type="auto"/>
            <w:gridSpan w:val="3"/>
            <w:shd w:val="clear" w:color="auto" w:fill="auto"/>
            <w:tcMar>
              <w:top w:w="40" w:type="dxa"/>
              <w:left w:w="20" w:type="dxa"/>
              <w:bottom w:w="40" w:type="dxa"/>
              <w:right w:w="20" w:type="dxa"/>
            </w:tcMar>
            <w:vAlign w:val="bottom"/>
          </w:tcPr>
          <w:p w14:paraId="5902B4EB" w14:textId="77777777" w:rsidR="0084406A" w:rsidRDefault="002B18AF">
            <w:pPr>
              <w:jc w:val="both"/>
              <w:textAlignment w:val="bottom"/>
            </w:pPr>
            <w:hyperlink r:id="rId94" w:anchor="ib7cf537e07124691a6505a5505cd30c3_187" w:history="1">
              <w:r>
                <w:rPr>
                  <w:rStyle w:val="a5"/>
                  <w:rFonts w:ascii="Arial" w:eastAsia="宋体" w:hAnsi="Arial" w:cs="Arial"/>
                  <w:sz w:val="20"/>
                  <w:szCs w:val="20"/>
                </w:rPr>
                <w:t>Report</w:t>
              </w:r>
            </w:hyperlink>
            <w:hyperlink r:id="rId95" w:anchor="ib7cf537e07124691a6505a5505cd30c3_187" w:history="1">
              <w:r>
                <w:rPr>
                  <w:rStyle w:val="a5"/>
                  <w:rFonts w:ascii="Arial" w:eastAsia="宋体" w:hAnsi="Arial" w:cs="Arial"/>
                  <w:sz w:val="20"/>
                  <w:szCs w:val="20"/>
                </w:rPr>
                <w:t>s</w:t>
              </w:r>
            </w:hyperlink>
            <w:hyperlink r:id="rId96" w:anchor="ib7cf537e07124691a6505a5505cd30c3_187" w:history="1">
              <w:r>
                <w:rPr>
                  <w:rStyle w:val="a5"/>
                  <w:rFonts w:ascii="Arial" w:eastAsia="宋体" w:hAnsi="Arial" w:cs="Arial"/>
                  <w:sz w:val="20"/>
                  <w:szCs w:val="20"/>
                </w:rPr>
                <w:t xml:space="preserve"> of Independent Registered Public Accounting</w:t>
              </w:r>
              <w:r>
                <w:rPr>
                  <w:rStyle w:val="a5"/>
                  <w:rFonts w:ascii="Arial" w:eastAsia="宋体" w:hAnsi="Arial" w:cs="Arial"/>
                  <w:sz w:val="20"/>
                  <w:szCs w:val="20"/>
                </w:rPr>
                <w:t xml:space="preserve"> Firm </w:t>
              </w:r>
            </w:hyperlink>
            <w:r>
              <w:rPr>
                <w:rFonts w:ascii="Arial" w:eastAsia="宋体" w:hAnsi="Arial" w:cs="Arial"/>
                <w:color w:val="000000"/>
                <w:sz w:val="20"/>
                <w:szCs w:val="20"/>
              </w:rPr>
              <w:t>(PCAOB ID: 42)</w:t>
            </w:r>
          </w:p>
        </w:tc>
        <w:tc>
          <w:tcPr>
            <w:tcW w:w="0" w:type="auto"/>
            <w:gridSpan w:val="3"/>
            <w:shd w:val="clear" w:color="auto" w:fill="auto"/>
            <w:tcMar>
              <w:top w:w="0" w:type="dxa"/>
              <w:left w:w="20" w:type="dxa"/>
              <w:bottom w:w="0" w:type="dxa"/>
              <w:right w:w="20" w:type="dxa"/>
            </w:tcMar>
            <w:vAlign w:val="bottom"/>
          </w:tcPr>
          <w:p w14:paraId="5902B4E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4ED" w14:textId="77777777" w:rsidR="0084406A" w:rsidRDefault="002B18AF">
            <w:pPr>
              <w:jc w:val="right"/>
              <w:textAlignment w:val="bottom"/>
            </w:pPr>
            <w:hyperlink r:id="rId97" w:anchor="ib7cf537e07124691a6505a5505cd30c3_187" w:history="1">
              <w:r>
                <w:rPr>
                  <w:rStyle w:val="a5"/>
                  <w:rFonts w:ascii="Arial" w:eastAsia="宋体" w:hAnsi="Arial" w:cs="Arial"/>
                  <w:sz w:val="20"/>
                  <w:szCs w:val="20"/>
                </w:rPr>
                <w:t>82</w:t>
              </w:r>
            </w:hyperlink>
          </w:p>
        </w:tc>
      </w:tr>
    </w:tbl>
    <w:p w14:paraId="5902B4EF" w14:textId="77777777" w:rsidR="0084406A" w:rsidRDefault="002B18AF">
      <w:pPr>
        <w:spacing w:before="180"/>
        <w:jc w:val="both"/>
      </w:pPr>
      <w:r>
        <w:rPr>
          <w:rFonts w:ascii="Arial" w:eastAsia="宋体" w:hAnsi="Arial" w:cs="Arial"/>
          <w:color w:val="000000"/>
          <w:sz w:val="20"/>
          <w:szCs w:val="20"/>
        </w:rPr>
        <w:t xml:space="preserve">All schedules have been omitted because the information is not required, </w:t>
      </w:r>
      <w:r>
        <w:rPr>
          <w:rFonts w:ascii="Arial" w:eastAsia="宋体" w:hAnsi="Arial" w:cs="Arial"/>
          <w:color w:val="000000"/>
          <w:sz w:val="20"/>
          <w:szCs w:val="20"/>
        </w:rPr>
        <w:t>is not applicable, or is included in the Notes to the Consolidated Financial Statements.</w:t>
      </w:r>
    </w:p>
    <w:p w14:paraId="5902B4F0" w14:textId="77777777" w:rsidR="0084406A" w:rsidRDefault="002B18AF">
      <w:pPr>
        <w:spacing w:before="180"/>
      </w:pPr>
      <w:r>
        <w:rPr>
          <w:rFonts w:ascii="Arial" w:eastAsia="宋体" w:hAnsi="Arial" w:cs="Arial"/>
          <w:b/>
          <w:bCs/>
          <w:color w:val="000000"/>
          <w:sz w:val="20"/>
          <w:szCs w:val="20"/>
        </w:rPr>
        <w:t>2. Exhibits</w:t>
      </w:r>
    </w:p>
    <w:p w14:paraId="5902B4F1" w14:textId="77777777" w:rsidR="0084406A" w:rsidRDefault="002B18AF">
      <w:pPr>
        <w:spacing w:before="180"/>
        <w:jc w:val="both"/>
      </w:pPr>
      <w:r>
        <w:rPr>
          <w:rFonts w:ascii="Arial" w:eastAsia="宋体" w:hAnsi="Arial" w:cs="Arial"/>
          <w:color w:val="000000"/>
          <w:sz w:val="20"/>
          <w:szCs w:val="20"/>
        </w:rPr>
        <w:t xml:space="preserve">The exhibits listed in the accompanying Index to Exhibits are filed as part of, or incorporated by reference into, this Annual Report on Form 10-K. The </w:t>
      </w:r>
      <w:r>
        <w:rPr>
          <w:rFonts w:ascii="Arial" w:eastAsia="宋体" w:hAnsi="Arial" w:cs="Arial"/>
          <w:color w:val="000000"/>
          <w:sz w:val="20"/>
          <w:szCs w:val="20"/>
        </w:rPr>
        <w:t>following is a list of such Exhibits:</w:t>
      </w:r>
    </w:p>
    <w:tbl>
      <w:tblPr>
        <w:tblW w:w="4613" w:type="pct"/>
        <w:jc w:val="center"/>
        <w:tblCellMar>
          <w:top w:w="15" w:type="dxa"/>
          <w:left w:w="15" w:type="dxa"/>
          <w:bottom w:w="15" w:type="dxa"/>
          <w:right w:w="15" w:type="dxa"/>
        </w:tblCellMar>
        <w:tblLook w:val="04A0" w:firstRow="1" w:lastRow="0" w:firstColumn="1" w:lastColumn="0" w:noHBand="0" w:noVBand="1"/>
      </w:tblPr>
      <w:tblGrid>
        <w:gridCol w:w="51"/>
        <w:gridCol w:w="141"/>
        <w:gridCol w:w="37"/>
        <w:gridCol w:w="51"/>
        <w:gridCol w:w="693"/>
        <w:gridCol w:w="36"/>
        <w:gridCol w:w="37"/>
        <w:gridCol w:w="68"/>
        <w:gridCol w:w="36"/>
        <w:gridCol w:w="51"/>
        <w:gridCol w:w="6021"/>
        <w:gridCol w:w="37"/>
        <w:gridCol w:w="36"/>
        <w:gridCol w:w="36"/>
        <w:gridCol w:w="36"/>
        <w:gridCol w:w="36"/>
        <w:gridCol w:w="36"/>
        <w:gridCol w:w="36"/>
        <w:gridCol w:w="36"/>
        <w:gridCol w:w="36"/>
        <w:gridCol w:w="36"/>
        <w:gridCol w:w="36"/>
        <w:gridCol w:w="36"/>
        <w:gridCol w:w="36"/>
      </w:tblGrid>
      <w:tr w:rsidR="0084406A" w14:paraId="5902B4FE" w14:textId="77777777">
        <w:trPr>
          <w:gridAfter w:val="12"/>
          <w:jc w:val="center"/>
        </w:trPr>
        <w:tc>
          <w:tcPr>
            <w:tcW w:w="50" w:type="pct"/>
            <w:shd w:val="clear" w:color="auto" w:fill="auto"/>
            <w:vAlign w:val="bottom"/>
          </w:tcPr>
          <w:p w14:paraId="5902B4F2" w14:textId="77777777" w:rsidR="0084406A" w:rsidRDefault="0084406A">
            <w:pPr>
              <w:rPr>
                <w:rFonts w:ascii="宋体"/>
              </w:rPr>
            </w:pPr>
          </w:p>
        </w:tc>
        <w:tc>
          <w:tcPr>
            <w:tcW w:w="111" w:type="pct"/>
            <w:shd w:val="clear" w:color="auto" w:fill="auto"/>
            <w:vAlign w:val="bottom"/>
          </w:tcPr>
          <w:p w14:paraId="5902B4F3" w14:textId="77777777" w:rsidR="0084406A" w:rsidRDefault="0084406A">
            <w:pPr>
              <w:rPr>
                <w:rFonts w:ascii="宋体"/>
              </w:rPr>
            </w:pPr>
          </w:p>
        </w:tc>
        <w:tc>
          <w:tcPr>
            <w:tcW w:w="5" w:type="pct"/>
            <w:shd w:val="clear" w:color="auto" w:fill="auto"/>
            <w:vAlign w:val="bottom"/>
          </w:tcPr>
          <w:p w14:paraId="5902B4F4" w14:textId="77777777" w:rsidR="0084406A" w:rsidRDefault="0084406A">
            <w:pPr>
              <w:rPr>
                <w:rFonts w:ascii="宋体"/>
              </w:rPr>
            </w:pPr>
          </w:p>
        </w:tc>
        <w:tc>
          <w:tcPr>
            <w:tcW w:w="50" w:type="pct"/>
            <w:shd w:val="clear" w:color="auto" w:fill="auto"/>
            <w:vAlign w:val="bottom"/>
          </w:tcPr>
          <w:p w14:paraId="5902B4F5" w14:textId="77777777" w:rsidR="0084406A" w:rsidRDefault="0084406A">
            <w:pPr>
              <w:rPr>
                <w:rFonts w:ascii="宋体"/>
              </w:rPr>
            </w:pPr>
          </w:p>
        </w:tc>
        <w:tc>
          <w:tcPr>
            <w:tcW w:w="491" w:type="pct"/>
            <w:shd w:val="clear" w:color="auto" w:fill="auto"/>
            <w:vAlign w:val="bottom"/>
          </w:tcPr>
          <w:p w14:paraId="5902B4F6" w14:textId="77777777" w:rsidR="0084406A" w:rsidRDefault="0084406A">
            <w:pPr>
              <w:rPr>
                <w:rFonts w:ascii="宋体"/>
              </w:rPr>
            </w:pPr>
          </w:p>
        </w:tc>
        <w:tc>
          <w:tcPr>
            <w:tcW w:w="5" w:type="pct"/>
            <w:shd w:val="clear" w:color="auto" w:fill="auto"/>
            <w:vAlign w:val="bottom"/>
          </w:tcPr>
          <w:p w14:paraId="5902B4F7" w14:textId="77777777" w:rsidR="0084406A" w:rsidRDefault="0084406A">
            <w:pPr>
              <w:rPr>
                <w:rFonts w:ascii="宋体"/>
              </w:rPr>
            </w:pPr>
          </w:p>
        </w:tc>
        <w:tc>
          <w:tcPr>
            <w:tcW w:w="5" w:type="pct"/>
            <w:shd w:val="clear" w:color="auto" w:fill="auto"/>
            <w:vAlign w:val="bottom"/>
          </w:tcPr>
          <w:p w14:paraId="5902B4F8" w14:textId="77777777" w:rsidR="0084406A" w:rsidRDefault="0084406A">
            <w:pPr>
              <w:rPr>
                <w:rFonts w:ascii="宋体"/>
              </w:rPr>
            </w:pPr>
          </w:p>
        </w:tc>
        <w:tc>
          <w:tcPr>
            <w:tcW w:w="61" w:type="pct"/>
            <w:shd w:val="clear" w:color="auto" w:fill="auto"/>
            <w:vAlign w:val="bottom"/>
          </w:tcPr>
          <w:p w14:paraId="5902B4F9" w14:textId="77777777" w:rsidR="0084406A" w:rsidRDefault="0084406A">
            <w:pPr>
              <w:rPr>
                <w:rFonts w:ascii="宋体"/>
              </w:rPr>
            </w:pPr>
          </w:p>
        </w:tc>
        <w:tc>
          <w:tcPr>
            <w:tcW w:w="5" w:type="pct"/>
            <w:shd w:val="clear" w:color="auto" w:fill="auto"/>
            <w:vAlign w:val="bottom"/>
          </w:tcPr>
          <w:p w14:paraId="5902B4FA" w14:textId="77777777" w:rsidR="0084406A" w:rsidRDefault="0084406A">
            <w:pPr>
              <w:rPr>
                <w:rFonts w:ascii="宋体"/>
              </w:rPr>
            </w:pPr>
          </w:p>
        </w:tc>
        <w:tc>
          <w:tcPr>
            <w:tcW w:w="50" w:type="pct"/>
            <w:shd w:val="clear" w:color="auto" w:fill="auto"/>
            <w:vAlign w:val="bottom"/>
          </w:tcPr>
          <w:p w14:paraId="5902B4FB" w14:textId="77777777" w:rsidR="0084406A" w:rsidRDefault="0084406A">
            <w:pPr>
              <w:rPr>
                <w:rFonts w:ascii="宋体"/>
              </w:rPr>
            </w:pPr>
          </w:p>
        </w:tc>
        <w:tc>
          <w:tcPr>
            <w:tcW w:w="4160" w:type="pct"/>
            <w:shd w:val="clear" w:color="auto" w:fill="auto"/>
            <w:vAlign w:val="bottom"/>
          </w:tcPr>
          <w:p w14:paraId="5902B4FC" w14:textId="77777777" w:rsidR="0084406A" w:rsidRDefault="0084406A">
            <w:pPr>
              <w:rPr>
                <w:rFonts w:ascii="宋体"/>
              </w:rPr>
            </w:pPr>
          </w:p>
        </w:tc>
        <w:tc>
          <w:tcPr>
            <w:tcW w:w="5" w:type="pct"/>
            <w:shd w:val="clear" w:color="auto" w:fill="auto"/>
            <w:vAlign w:val="bottom"/>
          </w:tcPr>
          <w:p w14:paraId="5902B4FD" w14:textId="77777777" w:rsidR="0084406A" w:rsidRDefault="0084406A">
            <w:pPr>
              <w:rPr>
                <w:rFonts w:ascii="宋体"/>
              </w:rPr>
            </w:pPr>
          </w:p>
        </w:tc>
      </w:tr>
      <w:tr w:rsidR="0084406A" w14:paraId="5902B501" w14:textId="77777777">
        <w:trPr>
          <w:gridAfter w:val="12"/>
          <w:trHeight w:val="300"/>
          <w:jc w:val="center"/>
        </w:trPr>
        <w:tc>
          <w:tcPr>
            <w:tcW w:w="0" w:type="auto"/>
            <w:gridSpan w:val="6"/>
            <w:vMerge w:val="restart"/>
            <w:shd w:val="clear" w:color="auto" w:fill="auto"/>
            <w:tcMar>
              <w:top w:w="40" w:type="dxa"/>
              <w:left w:w="20" w:type="dxa"/>
              <w:bottom w:w="40" w:type="dxa"/>
              <w:right w:w="20" w:type="dxa"/>
            </w:tcMar>
            <w:vAlign w:val="bottom"/>
          </w:tcPr>
          <w:p w14:paraId="5902B4FF" w14:textId="77777777" w:rsidR="0084406A" w:rsidRDefault="002B18AF">
            <w:pPr>
              <w:jc w:val="center"/>
              <w:textAlignment w:val="bottom"/>
            </w:pPr>
            <w:r>
              <w:rPr>
                <w:rFonts w:ascii="Arial" w:eastAsia="宋体" w:hAnsi="Arial" w:cs="Arial"/>
                <w:b/>
                <w:bCs/>
                <w:color w:val="000000"/>
                <w:sz w:val="20"/>
                <w:szCs w:val="20"/>
              </w:rPr>
              <w:t>Exhibit</w:t>
            </w:r>
          </w:p>
        </w:tc>
        <w:tc>
          <w:tcPr>
            <w:tcW w:w="0" w:type="auto"/>
            <w:gridSpan w:val="6"/>
            <w:vMerge w:val="restart"/>
            <w:tcBorders>
              <w:bottom w:val="single" w:sz="18" w:space="0" w:color="000000"/>
            </w:tcBorders>
            <w:shd w:val="clear" w:color="auto" w:fill="auto"/>
            <w:tcMar>
              <w:top w:w="40" w:type="dxa"/>
              <w:left w:w="20" w:type="dxa"/>
              <w:bottom w:w="40" w:type="dxa"/>
              <w:right w:w="20" w:type="dxa"/>
            </w:tcMar>
            <w:vAlign w:val="bottom"/>
          </w:tcPr>
          <w:p w14:paraId="5902B500" w14:textId="77777777" w:rsidR="0084406A" w:rsidRDefault="002B18AF">
            <w:pPr>
              <w:jc w:val="center"/>
              <w:textAlignment w:val="bottom"/>
            </w:pPr>
            <w:r>
              <w:rPr>
                <w:rFonts w:ascii="Arial" w:eastAsia="宋体" w:hAnsi="Arial" w:cs="Arial"/>
                <w:b/>
                <w:bCs/>
                <w:color w:val="000000"/>
                <w:sz w:val="20"/>
                <w:szCs w:val="20"/>
              </w:rPr>
              <w:t>Description of Exhibits</w:t>
            </w:r>
          </w:p>
        </w:tc>
      </w:tr>
      <w:tr w:rsidR="0084406A" w14:paraId="5902B505" w14:textId="77777777">
        <w:trPr>
          <w:trHeight w:val="300"/>
          <w:jc w:val="center"/>
        </w:trPr>
        <w:tc>
          <w:tcPr>
            <w:tcW w:w="0" w:type="auto"/>
            <w:gridSpan w:val="6"/>
            <w:vMerge/>
            <w:shd w:val="clear" w:color="auto" w:fill="auto"/>
            <w:tcMar>
              <w:top w:w="40" w:type="dxa"/>
              <w:left w:w="20" w:type="dxa"/>
              <w:bottom w:w="40" w:type="dxa"/>
              <w:right w:w="20" w:type="dxa"/>
            </w:tcMar>
            <w:vAlign w:val="bottom"/>
          </w:tcPr>
          <w:p w14:paraId="5902B502" w14:textId="77777777" w:rsidR="0084406A" w:rsidRDefault="0084406A">
            <w:pPr>
              <w:jc w:val="center"/>
              <w:rPr>
                <w:rFonts w:ascii="宋体"/>
              </w:rPr>
            </w:pPr>
          </w:p>
        </w:tc>
        <w:tc>
          <w:tcPr>
            <w:tcW w:w="0" w:type="auto"/>
            <w:gridSpan w:val="6"/>
            <w:vMerge/>
            <w:tcBorders>
              <w:bottom w:val="single" w:sz="18" w:space="0" w:color="000000"/>
            </w:tcBorders>
            <w:shd w:val="clear" w:color="auto" w:fill="auto"/>
            <w:tcMar>
              <w:top w:w="40" w:type="dxa"/>
              <w:left w:w="20" w:type="dxa"/>
              <w:bottom w:w="40" w:type="dxa"/>
              <w:right w:w="20" w:type="dxa"/>
            </w:tcMar>
            <w:vAlign w:val="bottom"/>
          </w:tcPr>
          <w:p w14:paraId="5902B503" w14:textId="77777777" w:rsidR="0084406A" w:rsidRDefault="0084406A">
            <w:pPr>
              <w:jc w:val="center"/>
              <w:rPr>
                <w:rFonts w:ascii="宋体"/>
              </w:rPr>
            </w:pPr>
          </w:p>
        </w:tc>
        <w:tc>
          <w:tcPr>
            <w:tcW w:w="0" w:type="auto"/>
            <w:gridSpan w:val="12"/>
            <w:shd w:val="clear" w:color="auto" w:fill="auto"/>
            <w:vAlign w:val="bottom"/>
          </w:tcPr>
          <w:p w14:paraId="5902B504" w14:textId="77777777" w:rsidR="0084406A" w:rsidRDefault="0084406A">
            <w:pPr>
              <w:rPr>
                <w:rFonts w:ascii="宋体"/>
                <w:vanish/>
              </w:rPr>
            </w:pPr>
          </w:p>
        </w:tc>
      </w:tr>
      <w:tr w:rsidR="0084406A" w14:paraId="5902B515" w14:textId="77777777">
        <w:trPr>
          <w:trHeight w:val="12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5902B506" w14:textId="77777777" w:rsidR="0084406A" w:rsidRDefault="0084406A">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5902B507" w14:textId="77777777" w:rsidR="0084406A" w:rsidRDefault="0084406A">
            <w:pPr>
              <w:rPr>
                <w:rFonts w:ascii="宋体"/>
              </w:rPr>
            </w:pPr>
          </w:p>
        </w:tc>
        <w:tc>
          <w:tcPr>
            <w:tcW w:w="0" w:type="auto"/>
            <w:gridSpan w:val="6"/>
            <w:tcBorders>
              <w:top w:val="single" w:sz="18" w:space="0" w:color="000000"/>
            </w:tcBorders>
            <w:shd w:val="clear" w:color="auto" w:fill="auto"/>
            <w:tcMar>
              <w:top w:w="0" w:type="dxa"/>
              <w:left w:w="20" w:type="dxa"/>
              <w:bottom w:w="0" w:type="dxa"/>
              <w:right w:w="20" w:type="dxa"/>
            </w:tcMar>
            <w:vAlign w:val="bottom"/>
          </w:tcPr>
          <w:p w14:paraId="5902B508" w14:textId="77777777" w:rsidR="0084406A" w:rsidRDefault="0084406A">
            <w:pPr>
              <w:rPr>
                <w:rFonts w:ascii="宋体"/>
              </w:rPr>
            </w:pPr>
          </w:p>
        </w:tc>
        <w:tc>
          <w:tcPr>
            <w:tcW w:w="0" w:type="auto"/>
            <w:shd w:val="clear" w:color="auto" w:fill="auto"/>
            <w:vAlign w:val="bottom"/>
          </w:tcPr>
          <w:p w14:paraId="5902B509" w14:textId="77777777" w:rsidR="0084406A" w:rsidRDefault="0084406A">
            <w:pPr>
              <w:rPr>
                <w:rFonts w:ascii="宋体"/>
              </w:rPr>
            </w:pPr>
          </w:p>
        </w:tc>
        <w:tc>
          <w:tcPr>
            <w:tcW w:w="0" w:type="auto"/>
            <w:shd w:val="clear" w:color="auto" w:fill="auto"/>
            <w:vAlign w:val="bottom"/>
          </w:tcPr>
          <w:p w14:paraId="5902B50A" w14:textId="77777777" w:rsidR="0084406A" w:rsidRDefault="0084406A">
            <w:pPr>
              <w:rPr>
                <w:rFonts w:ascii="宋体"/>
              </w:rPr>
            </w:pPr>
          </w:p>
        </w:tc>
        <w:tc>
          <w:tcPr>
            <w:tcW w:w="0" w:type="auto"/>
            <w:shd w:val="clear" w:color="auto" w:fill="auto"/>
            <w:vAlign w:val="bottom"/>
          </w:tcPr>
          <w:p w14:paraId="5902B50B" w14:textId="77777777" w:rsidR="0084406A" w:rsidRDefault="0084406A">
            <w:pPr>
              <w:rPr>
                <w:rFonts w:ascii="宋体"/>
              </w:rPr>
            </w:pPr>
          </w:p>
        </w:tc>
        <w:tc>
          <w:tcPr>
            <w:tcW w:w="0" w:type="auto"/>
            <w:shd w:val="clear" w:color="auto" w:fill="auto"/>
            <w:vAlign w:val="bottom"/>
          </w:tcPr>
          <w:p w14:paraId="5902B50C" w14:textId="77777777" w:rsidR="0084406A" w:rsidRDefault="0084406A">
            <w:pPr>
              <w:rPr>
                <w:rFonts w:ascii="宋体"/>
              </w:rPr>
            </w:pPr>
          </w:p>
        </w:tc>
        <w:tc>
          <w:tcPr>
            <w:tcW w:w="0" w:type="auto"/>
            <w:shd w:val="clear" w:color="auto" w:fill="auto"/>
            <w:vAlign w:val="bottom"/>
          </w:tcPr>
          <w:p w14:paraId="5902B50D" w14:textId="77777777" w:rsidR="0084406A" w:rsidRDefault="0084406A">
            <w:pPr>
              <w:rPr>
                <w:rFonts w:ascii="宋体"/>
              </w:rPr>
            </w:pPr>
          </w:p>
        </w:tc>
        <w:tc>
          <w:tcPr>
            <w:tcW w:w="0" w:type="auto"/>
            <w:shd w:val="clear" w:color="auto" w:fill="auto"/>
            <w:vAlign w:val="bottom"/>
          </w:tcPr>
          <w:p w14:paraId="5902B50E" w14:textId="77777777" w:rsidR="0084406A" w:rsidRDefault="0084406A">
            <w:pPr>
              <w:rPr>
                <w:rFonts w:ascii="宋体"/>
              </w:rPr>
            </w:pPr>
          </w:p>
        </w:tc>
        <w:tc>
          <w:tcPr>
            <w:tcW w:w="0" w:type="auto"/>
            <w:shd w:val="clear" w:color="auto" w:fill="auto"/>
            <w:vAlign w:val="bottom"/>
          </w:tcPr>
          <w:p w14:paraId="5902B50F" w14:textId="77777777" w:rsidR="0084406A" w:rsidRDefault="0084406A">
            <w:pPr>
              <w:rPr>
                <w:rFonts w:ascii="宋体"/>
              </w:rPr>
            </w:pPr>
          </w:p>
        </w:tc>
        <w:tc>
          <w:tcPr>
            <w:tcW w:w="0" w:type="auto"/>
            <w:shd w:val="clear" w:color="auto" w:fill="auto"/>
            <w:vAlign w:val="bottom"/>
          </w:tcPr>
          <w:p w14:paraId="5902B510" w14:textId="77777777" w:rsidR="0084406A" w:rsidRDefault="0084406A">
            <w:pPr>
              <w:rPr>
                <w:rFonts w:ascii="宋体"/>
              </w:rPr>
            </w:pPr>
          </w:p>
        </w:tc>
        <w:tc>
          <w:tcPr>
            <w:tcW w:w="0" w:type="auto"/>
            <w:shd w:val="clear" w:color="auto" w:fill="auto"/>
            <w:vAlign w:val="bottom"/>
          </w:tcPr>
          <w:p w14:paraId="5902B511" w14:textId="77777777" w:rsidR="0084406A" w:rsidRDefault="0084406A">
            <w:pPr>
              <w:rPr>
                <w:rFonts w:ascii="宋体"/>
              </w:rPr>
            </w:pPr>
          </w:p>
        </w:tc>
        <w:tc>
          <w:tcPr>
            <w:tcW w:w="0" w:type="auto"/>
            <w:shd w:val="clear" w:color="auto" w:fill="auto"/>
            <w:vAlign w:val="bottom"/>
          </w:tcPr>
          <w:p w14:paraId="5902B512" w14:textId="77777777" w:rsidR="0084406A" w:rsidRDefault="0084406A">
            <w:pPr>
              <w:rPr>
                <w:rFonts w:ascii="宋体"/>
              </w:rPr>
            </w:pPr>
          </w:p>
        </w:tc>
        <w:tc>
          <w:tcPr>
            <w:tcW w:w="0" w:type="auto"/>
            <w:shd w:val="clear" w:color="auto" w:fill="auto"/>
            <w:vAlign w:val="bottom"/>
          </w:tcPr>
          <w:p w14:paraId="5902B513" w14:textId="77777777" w:rsidR="0084406A" w:rsidRDefault="0084406A">
            <w:pPr>
              <w:rPr>
                <w:rFonts w:ascii="宋体"/>
              </w:rPr>
            </w:pPr>
          </w:p>
        </w:tc>
        <w:tc>
          <w:tcPr>
            <w:tcW w:w="0" w:type="auto"/>
            <w:shd w:val="clear" w:color="auto" w:fill="auto"/>
            <w:vAlign w:val="bottom"/>
          </w:tcPr>
          <w:p w14:paraId="5902B514" w14:textId="77777777" w:rsidR="0084406A" w:rsidRDefault="0084406A">
            <w:pPr>
              <w:rPr>
                <w:rFonts w:ascii="宋体"/>
              </w:rPr>
            </w:pPr>
          </w:p>
        </w:tc>
      </w:tr>
      <w:tr w:rsidR="0084406A" w14:paraId="5902B527" w14:textId="77777777">
        <w:trPr>
          <w:jc w:val="center"/>
        </w:trPr>
        <w:tc>
          <w:tcPr>
            <w:tcW w:w="0" w:type="auto"/>
            <w:gridSpan w:val="3"/>
            <w:shd w:val="clear" w:color="auto" w:fill="auto"/>
            <w:tcMar>
              <w:top w:w="0" w:type="dxa"/>
              <w:left w:w="20" w:type="dxa"/>
              <w:bottom w:w="0" w:type="dxa"/>
              <w:right w:w="20" w:type="dxa"/>
            </w:tcMar>
            <w:vAlign w:val="bottom"/>
          </w:tcPr>
          <w:p w14:paraId="5902B516"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517" w14:textId="77777777" w:rsidR="0084406A" w:rsidRDefault="002B18AF">
            <w:pPr>
              <w:jc w:val="right"/>
              <w:textAlignment w:val="top"/>
            </w:pPr>
            <w:r>
              <w:rPr>
                <w:rFonts w:ascii="Arial" w:eastAsia="宋体" w:hAnsi="Arial" w:cs="Arial"/>
                <w:color w:val="000000"/>
                <w:sz w:val="20"/>
                <w:szCs w:val="20"/>
              </w:rPr>
              <w:t>2.1 </w:t>
            </w:r>
          </w:p>
        </w:tc>
        <w:tc>
          <w:tcPr>
            <w:tcW w:w="0" w:type="auto"/>
            <w:shd w:val="clear" w:color="auto" w:fill="auto"/>
            <w:tcMar>
              <w:top w:w="40" w:type="dxa"/>
              <w:left w:w="0" w:type="dxa"/>
              <w:bottom w:w="40" w:type="dxa"/>
              <w:right w:w="20" w:type="dxa"/>
            </w:tcMar>
          </w:tcPr>
          <w:p w14:paraId="5902B518"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51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1A" w14:textId="77777777" w:rsidR="0084406A" w:rsidRDefault="002B18AF">
            <w:pPr>
              <w:textAlignment w:val="top"/>
            </w:pPr>
            <w:hyperlink r:id="rId98" w:history="1">
              <w:r>
                <w:rPr>
                  <w:rStyle w:val="a5"/>
                  <w:rFonts w:ascii="Arial" w:eastAsia="宋体" w:hAnsi="Arial" w:cs="Arial"/>
                  <w:sz w:val="20"/>
                  <w:szCs w:val="20"/>
                </w:rPr>
                <w:t xml:space="preserve">Agreement and Plan of Merger by and among Advanced Micro Devices, Inc., Thrones Merger Sub, Inc., and Xilinx, Inc. dated October 26, 2020, filed as exhibit 2.1 to </w:t>
              </w:r>
              <w:r>
                <w:rPr>
                  <w:rStyle w:val="a5"/>
                  <w:rFonts w:ascii="Arial" w:eastAsia="宋体" w:hAnsi="Arial" w:cs="Arial"/>
                  <w:sz w:val="20"/>
                  <w:szCs w:val="20"/>
                </w:rPr>
                <w:t>AMD’s Current Report on Form 8-K dated October 26, 2020, is hereby incorporated by reference.</w:t>
              </w:r>
            </w:hyperlink>
          </w:p>
        </w:tc>
        <w:tc>
          <w:tcPr>
            <w:tcW w:w="0" w:type="auto"/>
            <w:shd w:val="clear" w:color="auto" w:fill="auto"/>
            <w:vAlign w:val="bottom"/>
          </w:tcPr>
          <w:p w14:paraId="5902B51B" w14:textId="77777777" w:rsidR="0084406A" w:rsidRDefault="0084406A">
            <w:pPr>
              <w:rPr>
                <w:rFonts w:ascii="宋体"/>
              </w:rPr>
            </w:pPr>
          </w:p>
        </w:tc>
        <w:tc>
          <w:tcPr>
            <w:tcW w:w="0" w:type="auto"/>
            <w:shd w:val="clear" w:color="auto" w:fill="auto"/>
            <w:vAlign w:val="bottom"/>
          </w:tcPr>
          <w:p w14:paraId="5902B51C" w14:textId="77777777" w:rsidR="0084406A" w:rsidRDefault="0084406A">
            <w:pPr>
              <w:rPr>
                <w:rFonts w:ascii="宋体"/>
              </w:rPr>
            </w:pPr>
          </w:p>
        </w:tc>
        <w:tc>
          <w:tcPr>
            <w:tcW w:w="0" w:type="auto"/>
            <w:shd w:val="clear" w:color="auto" w:fill="auto"/>
            <w:vAlign w:val="bottom"/>
          </w:tcPr>
          <w:p w14:paraId="5902B51D" w14:textId="77777777" w:rsidR="0084406A" w:rsidRDefault="0084406A">
            <w:pPr>
              <w:rPr>
                <w:rFonts w:ascii="宋体"/>
              </w:rPr>
            </w:pPr>
          </w:p>
        </w:tc>
        <w:tc>
          <w:tcPr>
            <w:tcW w:w="0" w:type="auto"/>
            <w:shd w:val="clear" w:color="auto" w:fill="auto"/>
            <w:vAlign w:val="bottom"/>
          </w:tcPr>
          <w:p w14:paraId="5902B51E" w14:textId="77777777" w:rsidR="0084406A" w:rsidRDefault="0084406A">
            <w:pPr>
              <w:rPr>
                <w:rFonts w:ascii="宋体"/>
              </w:rPr>
            </w:pPr>
          </w:p>
        </w:tc>
        <w:tc>
          <w:tcPr>
            <w:tcW w:w="0" w:type="auto"/>
            <w:shd w:val="clear" w:color="auto" w:fill="auto"/>
            <w:vAlign w:val="bottom"/>
          </w:tcPr>
          <w:p w14:paraId="5902B51F" w14:textId="77777777" w:rsidR="0084406A" w:rsidRDefault="0084406A">
            <w:pPr>
              <w:rPr>
                <w:rFonts w:ascii="宋体"/>
              </w:rPr>
            </w:pPr>
          </w:p>
        </w:tc>
        <w:tc>
          <w:tcPr>
            <w:tcW w:w="0" w:type="auto"/>
            <w:shd w:val="clear" w:color="auto" w:fill="auto"/>
            <w:vAlign w:val="bottom"/>
          </w:tcPr>
          <w:p w14:paraId="5902B520" w14:textId="77777777" w:rsidR="0084406A" w:rsidRDefault="0084406A">
            <w:pPr>
              <w:rPr>
                <w:rFonts w:ascii="宋体"/>
              </w:rPr>
            </w:pPr>
          </w:p>
        </w:tc>
        <w:tc>
          <w:tcPr>
            <w:tcW w:w="0" w:type="auto"/>
            <w:shd w:val="clear" w:color="auto" w:fill="auto"/>
            <w:vAlign w:val="bottom"/>
          </w:tcPr>
          <w:p w14:paraId="5902B521" w14:textId="77777777" w:rsidR="0084406A" w:rsidRDefault="0084406A">
            <w:pPr>
              <w:rPr>
                <w:rFonts w:ascii="宋体"/>
              </w:rPr>
            </w:pPr>
          </w:p>
        </w:tc>
        <w:tc>
          <w:tcPr>
            <w:tcW w:w="0" w:type="auto"/>
            <w:shd w:val="clear" w:color="auto" w:fill="auto"/>
            <w:vAlign w:val="bottom"/>
          </w:tcPr>
          <w:p w14:paraId="5902B522" w14:textId="77777777" w:rsidR="0084406A" w:rsidRDefault="0084406A">
            <w:pPr>
              <w:rPr>
                <w:rFonts w:ascii="宋体"/>
              </w:rPr>
            </w:pPr>
          </w:p>
        </w:tc>
        <w:tc>
          <w:tcPr>
            <w:tcW w:w="0" w:type="auto"/>
            <w:shd w:val="clear" w:color="auto" w:fill="auto"/>
            <w:vAlign w:val="bottom"/>
          </w:tcPr>
          <w:p w14:paraId="5902B523" w14:textId="77777777" w:rsidR="0084406A" w:rsidRDefault="0084406A">
            <w:pPr>
              <w:rPr>
                <w:rFonts w:ascii="宋体"/>
              </w:rPr>
            </w:pPr>
          </w:p>
        </w:tc>
        <w:tc>
          <w:tcPr>
            <w:tcW w:w="0" w:type="auto"/>
            <w:shd w:val="clear" w:color="auto" w:fill="auto"/>
            <w:vAlign w:val="bottom"/>
          </w:tcPr>
          <w:p w14:paraId="5902B524" w14:textId="77777777" w:rsidR="0084406A" w:rsidRDefault="0084406A">
            <w:pPr>
              <w:rPr>
                <w:rFonts w:ascii="宋体"/>
              </w:rPr>
            </w:pPr>
          </w:p>
        </w:tc>
        <w:tc>
          <w:tcPr>
            <w:tcW w:w="0" w:type="auto"/>
            <w:shd w:val="clear" w:color="auto" w:fill="auto"/>
            <w:vAlign w:val="bottom"/>
          </w:tcPr>
          <w:p w14:paraId="5902B525" w14:textId="77777777" w:rsidR="0084406A" w:rsidRDefault="0084406A">
            <w:pPr>
              <w:rPr>
                <w:rFonts w:ascii="宋体"/>
              </w:rPr>
            </w:pPr>
          </w:p>
        </w:tc>
        <w:tc>
          <w:tcPr>
            <w:tcW w:w="0" w:type="auto"/>
            <w:shd w:val="clear" w:color="auto" w:fill="auto"/>
            <w:vAlign w:val="bottom"/>
          </w:tcPr>
          <w:p w14:paraId="5902B526" w14:textId="77777777" w:rsidR="0084406A" w:rsidRDefault="0084406A">
            <w:pPr>
              <w:rPr>
                <w:rFonts w:ascii="宋体"/>
              </w:rPr>
            </w:pPr>
          </w:p>
        </w:tc>
      </w:tr>
      <w:tr w:rsidR="0084406A" w14:paraId="5902B53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2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2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2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2B" w14:textId="77777777" w:rsidR="0084406A" w:rsidRDefault="0084406A">
            <w:pPr>
              <w:rPr>
                <w:rFonts w:ascii="宋体"/>
              </w:rPr>
            </w:pPr>
          </w:p>
        </w:tc>
        <w:tc>
          <w:tcPr>
            <w:tcW w:w="0" w:type="auto"/>
            <w:shd w:val="clear" w:color="auto" w:fill="auto"/>
            <w:vAlign w:val="bottom"/>
          </w:tcPr>
          <w:p w14:paraId="5902B52C" w14:textId="77777777" w:rsidR="0084406A" w:rsidRDefault="0084406A">
            <w:pPr>
              <w:rPr>
                <w:rFonts w:ascii="宋体"/>
              </w:rPr>
            </w:pPr>
          </w:p>
        </w:tc>
        <w:tc>
          <w:tcPr>
            <w:tcW w:w="0" w:type="auto"/>
            <w:shd w:val="clear" w:color="auto" w:fill="auto"/>
            <w:vAlign w:val="bottom"/>
          </w:tcPr>
          <w:p w14:paraId="5902B52D" w14:textId="77777777" w:rsidR="0084406A" w:rsidRDefault="0084406A">
            <w:pPr>
              <w:rPr>
                <w:rFonts w:ascii="宋体"/>
              </w:rPr>
            </w:pPr>
          </w:p>
        </w:tc>
        <w:tc>
          <w:tcPr>
            <w:tcW w:w="0" w:type="auto"/>
            <w:shd w:val="clear" w:color="auto" w:fill="auto"/>
            <w:vAlign w:val="bottom"/>
          </w:tcPr>
          <w:p w14:paraId="5902B52E" w14:textId="77777777" w:rsidR="0084406A" w:rsidRDefault="0084406A">
            <w:pPr>
              <w:rPr>
                <w:rFonts w:ascii="宋体"/>
              </w:rPr>
            </w:pPr>
          </w:p>
        </w:tc>
        <w:tc>
          <w:tcPr>
            <w:tcW w:w="0" w:type="auto"/>
            <w:shd w:val="clear" w:color="auto" w:fill="auto"/>
            <w:vAlign w:val="bottom"/>
          </w:tcPr>
          <w:p w14:paraId="5902B52F" w14:textId="77777777" w:rsidR="0084406A" w:rsidRDefault="0084406A">
            <w:pPr>
              <w:rPr>
                <w:rFonts w:ascii="宋体"/>
              </w:rPr>
            </w:pPr>
          </w:p>
        </w:tc>
        <w:tc>
          <w:tcPr>
            <w:tcW w:w="0" w:type="auto"/>
            <w:shd w:val="clear" w:color="auto" w:fill="auto"/>
            <w:vAlign w:val="bottom"/>
          </w:tcPr>
          <w:p w14:paraId="5902B530" w14:textId="77777777" w:rsidR="0084406A" w:rsidRDefault="0084406A">
            <w:pPr>
              <w:rPr>
                <w:rFonts w:ascii="宋体"/>
              </w:rPr>
            </w:pPr>
          </w:p>
        </w:tc>
        <w:tc>
          <w:tcPr>
            <w:tcW w:w="0" w:type="auto"/>
            <w:shd w:val="clear" w:color="auto" w:fill="auto"/>
            <w:vAlign w:val="bottom"/>
          </w:tcPr>
          <w:p w14:paraId="5902B531" w14:textId="77777777" w:rsidR="0084406A" w:rsidRDefault="0084406A">
            <w:pPr>
              <w:rPr>
                <w:rFonts w:ascii="宋体"/>
              </w:rPr>
            </w:pPr>
          </w:p>
        </w:tc>
        <w:tc>
          <w:tcPr>
            <w:tcW w:w="0" w:type="auto"/>
            <w:shd w:val="clear" w:color="auto" w:fill="auto"/>
            <w:vAlign w:val="bottom"/>
          </w:tcPr>
          <w:p w14:paraId="5902B532" w14:textId="77777777" w:rsidR="0084406A" w:rsidRDefault="0084406A">
            <w:pPr>
              <w:rPr>
                <w:rFonts w:ascii="宋体"/>
              </w:rPr>
            </w:pPr>
          </w:p>
        </w:tc>
        <w:tc>
          <w:tcPr>
            <w:tcW w:w="0" w:type="auto"/>
            <w:shd w:val="clear" w:color="auto" w:fill="auto"/>
            <w:vAlign w:val="bottom"/>
          </w:tcPr>
          <w:p w14:paraId="5902B533" w14:textId="77777777" w:rsidR="0084406A" w:rsidRDefault="0084406A">
            <w:pPr>
              <w:rPr>
                <w:rFonts w:ascii="宋体"/>
              </w:rPr>
            </w:pPr>
          </w:p>
        </w:tc>
        <w:tc>
          <w:tcPr>
            <w:tcW w:w="0" w:type="auto"/>
            <w:shd w:val="clear" w:color="auto" w:fill="auto"/>
            <w:vAlign w:val="bottom"/>
          </w:tcPr>
          <w:p w14:paraId="5902B534" w14:textId="77777777" w:rsidR="0084406A" w:rsidRDefault="0084406A">
            <w:pPr>
              <w:rPr>
                <w:rFonts w:ascii="宋体"/>
              </w:rPr>
            </w:pPr>
          </w:p>
        </w:tc>
        <w:tc>
          <w:tcPr>
            <w:tcW w:w="0" w:type="auto"/>
            <w:shd w:val="clear" w:color="auto" w:fill="auto"/>
            <w:vAlign w:val="bottom"/>
          </w:tcPr>
          <w:p w14:paraId="5902B535" w14:textId="77777777" w:rsidR="0084406A" w:rsidRDefault="0084406A">
            <w:pPr>
              <w:rPr>
                <w:rFonts w:ascii="宋体"/>
              </w:rPr>
            </w:pPr>
          </w:p>
        </w:tc>
        <w:tc>
          <w:tcPr>
            <w:tcW w:w="0" w:type="auto"/>
            <w:shd w:val="clear" w:color="auto" w:fill="auto"/>
            <w:vAlign w:val="bottom"/>
          </w:tcPr>
          <w:p w14:paraId="5902B536" w14:textId="77777777" w:rsidR="0084406A" w:rsidRDefault="0084406A">
            <w:pPr>
              <w:rPr>
                <w:rFonts w:ascii="宋体"/>
              </w:rPr>
            </w:pPr>
          </w:p>
        </w:tc>
        <w:tc>
          <w:tcPr>
            <w:tcW w:w="0" w:type="auto"/>
            <w:shd w:val="clear" w:color="auto" w:fill="auto"/>
            <w:vAlign w:val="bottom"/>
          </w:tcPr>
          <w:p w14:paraId="5902B537" w14:textId="77777777" w:rsidR="0084406A" w:rsidRDefault="0084406A">
            <w:pPr>
              <w:rPr>
                <w:rFonts w:ascii="宋体"/>
              </w:rPr>
            </w:pPr>
          </w:p>
        </w:tc>
      </w:tr>
      <w:tr w:rsidR="0084406A" w14:paraId="5902B54A" w14:textId="77777777">
        <w:trPr>
          <w:jc w:val="center"/>
        </w:trPr>
        <w:tc>
          <w:tcPr>
            <w:tcW w:w="0" w:type="auto"/>
            <w:gridSpan w:val="3"/>
            <w:shd w:val="clear" w:color="auto" w:fill="auto"/>
            <w:tcMar>
              <w:top w:w="0" w:type="dxa"/>
              <w:left w:w="20" w:type="dxa"/>
              <w:bottom w:w="0" w:type="dxa"/>
              <w:right w:w="20" w:type="dxa"/>
            </w:tcMar>
            <w:vAlign w:val="bottom"/>
          </w:tcPr>
          <w:p w14:paraId="5902B539"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53A" w14:textId="77777777" w:rsidR="0084406A" w:rsidRDefault="002B18AF">
            <w:pPr>
              <w:jc w:val="right"/>
              <w:textAlignment w:val="top"/>
            </w:pPr>
            <w:r>
              <w:rPr>
                <w:rFonts w:ascii="Arial" w:eastAsia="宋体" w:hAnsi="Arial" w:cs="Arial"/>
                <w:color w:val="000000"/>
                <w:sz w:val="20"/>
                <w:szCs w:val="20"/>
              </w:rPr>
              <w:t>3.1 </w:t>
            </w:r>
          </w:p>
        </w:tc>
        <w:tc>
          <w:tcPr>
            <w:tcW w:w="0" w:type="auto"/>
            <w:shd w:val="clear" w:color="auto" w:fill="auto"/>
            <w:tcMar>
              <w:top w:w="40" w:type="dxa"/>
              <w:left w:w="0" w:type="dxa"/>
              <w:bottom w:w="40" w:type="dxa"/>
              <w:right w:w="20" w:type="dxa"/>
            </w:tcMar>
          </w:tcPr>
          <w:p w14:paraId="5902B53B"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53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3D" w14:textId="77777777" w:rsidR="0084406A" w:rsidRDefault="002B18AF">
            <w:pPr>
              <w:textAlignment w:val="top"/>
            </w:pPr>
            <w:hyperlink r:id="rId99" w:history="1">
              <w:r>
                <w:rPr>
                  <w:rStyle w:val="a5"/>
                  <w:rFonts w:ascii="Arial" w:eastAsia="宋体" w:hAnsi="Arial" w:cs="Arial"/>
                  <w:sz w:val="20"/>
                  <w:szCs w:val="20"/>
                </w:rPr>
                <w:t xml:space="preserve">Amended and Restated Certificate of Incorporation of Advanced Micro Devices, Inc., dated May 2, 2018, filed as Exhibit 3.1 to AMD’s Quarterly Report </w:t>
              </w:r>
              <w:r>
                <w:rPr>
                  <w:rStyle w:val="a5"/>
                  <w:rFonts w:ascii="Arial" w:eastAsia="宋体" w:hAnsi="Arial" w:cs="Arial"/>
                  <w:sz w:val="20"/>
                  <w:szCs w:val="20"/>
                </w:rPr>
                <w:t>on Form 10-Q for the period ended June 30, 2018, is hereby incorporated by reference.</w:t>
              </w:r>
            </w:hyperlink>
          </w:p>
        </w:tc>
        <w:tc>
          <w:tcPr>
            <w:tcW w:w="0" w:type="auto"/>
            <w:shd w:val="clear" w:color="auto" w:fill="auto"/>
            <w:vAlign w:val="bottom"/>
          </w:tcPr>
          <w:p w14:paraId="5902B53E" w14:textId="77777777" w:rsidR="0084406A" w:rsidRDefault="0084406A">
            <w:pPr>
              <w:rPr>
                <w:rFonts w:ascii="宋体"/>
              </w:rPr>
            </w:pPr>
          </w:p>
        </w:tc>
        <w:tc>
          <w:tcPr>
            <w:tcW w:w="0" w:type="auto"/>
            <w:shd w:val="clear" w:color="auto" w:fill="auto"/>
            <w:vAlign w:val="bottom"/>
          </w:tcPr>
          <w:p w14:paraId="5902B53F" w14:textId="77777777" w:rsidR="0084406A" w:rsidRDefault="0084406A">
            <w:pPr>
              <w:rPr>
                <w:rFonts w:ascii="宋体"/>
              </w:rPr>
            </w:pPr>
          </w:p>
        </w:tc>
        <w:tc>
          <w:tcPr>
            <w:tcW w:w="0" w:type="auto"/>
            <w:shd w:val="clear" w:color="auto" w:fill="auto"/>
            <w:vAlign w:val="bottom"/>
          </w:tcPr>
          <w:p w14:paraId="5902B540" w14:textId="77777777" w:rsidR="0084406A" w:rsidRDefault="0084406A">
            <w:pPr>
              <w:rPr>
                <w:rFonts w:ascii="宋体"/>
              </w:rPr>
            </w:pPr>
          </w:p>
        </w:tc>
        <w:tc>
          <w:tcPr>
            <w:tcW w:w="0" w:type="auto"/>
            <w:shd w:val="clear" w:color="auto" w:fill="auto"/>
            <w:vAlign w:val="bottom"/>
          </w:tcPr>
          <w:p w14:paraId="5902B541" w14:textId="77777777" w:rsidR="0084406A" w:rsidRDefault="0084406A">
            <w:pPr>
              <w:rPr>
                <w:rFonts w:ascii="宋体"/>
              </w:rPr>
            </w:pPr>
          </w:p>
        </w:tc>
        <w:tc>
          <w:tcPr>
            <w:tcW w:w="0" w:type="auto"/>
            <w:shd w:val="clear" w:color="auto" w:fill="auto"/>
            <w:vAlign w:val="bottom"/>
          </w:tcPr>
          <w:p w14:paraId="5902B542" w14:textId="77777777" w:rsidR="0084406A" w:rsidRDefault="0084406A">
            <w:pPr>
              <w:rPr>
                <w:rFonts w:ascii="宋体"/>
              </w:rPr>
            </w:pPr>
          </w:p>
        </w:tc>
        <w:tc>
          <w:tcPr>
            <w:tcW w:w="0" w:type="auto"/>
            <w:shd w:val="clear" w:color="auto" w:fill="auto"/>
            <w:vAlign w:val="bottom"/>
          </w:tcPr>
          <w:p w14:paraId="5902B543" w14:textId="77777777" w:rsidR="0084406A" w:rsidRDefault="0084406A">
            <w:pPr>
              <w:rPr>
                <w:rFonts w:ascii="宋体"/>
              </w:rPr>
            </w:pPr>
          </w:p>
        </w:tc>
        <w:tc>
          <w:tcPr>
            <w:tcW w:w="0" w:type="auto"/>
            <w:shd w:val="clear" w:color="auto" w:fill="auto"/>
            <w:vAlign w:val="bottom"/>
          </w:tcPr>
          <w:p w14:paraId="5902B544" w14:textId="77777777" w:rsidR="0084406A" w:rsidRDefault="0084406A">
            <w:pPr>
              <w:rPr>
                <w:rFonts w:ascii="宋体"/>
              </w:rPr>
            </w:pPr>
          </w:p>
        </w:tc>
        <w:tc>
          <w:tcPr>
            <w:tcW w:w="0" w:type="auto"/>
            <w:shd w:val="clear" w:color="auto" w:fill="auto"/>
            <w:vAlign w:val="bottom"/>
          </w:tcPr>
          <w:p w14:paraId="5902B545" w14:textId="77777777" w:rsidR="0084406A" w:rsidRDefault="0084406A">
            <w:pPr>
              <w:rPr>
                <w:rFonts w:ascii="宋体"/>
              </w:rPr>
            </w:pPr>
          </w:p>
        </w:tc>
        <w:tc>
          <w:tcPr>
            <w:tcW w:w="0" w:type="auto"/>
            <w:shd w:val="clear" w:color="auto" w:fill="auto"/>
            <w:vAlign w:val="bottom"/>
          </w:tcPr>
          <w:p w14:paraId="5902B546" w14:textId="77777777" w:rsidR="0084406A" w:rsidRDefault="0084406A">
            <w:pPr>
              <w:rPr>
                <w:rFonts w:ascii="宋体"/>
              </w:rPr>
            </w:pPr>
          </w:p>
        </w:tc>
        <w:tc>
          <w:tcPr>
            <w:tcW w:w="0" w:type="auto"/>
            <w:shd w:val="clear" w:color="auto" w:fill="auto"/>
            <w:vAlign w:val="bottom"/>
          </w:tcPr>
          <w:p w14:paraId="5902B547" w14:textId="77777777" w:rsidR="0084406A" w:rsidRDefault="0084406A">
            <w:pPr>
              <w:rPr>
                <w:rFonts w:ascii="宋体"/>
              </w:rPr>
            </w:pPr>
          </w:p>
        </w:tc>
        <w:tc>
          <w:tcPr>
            <w:tcW w:w="0" w:type="auto"/>
            <w:shd w:val="clear" w:color="auto" w:fill="auto"/>
            <w:vAlign w:val="bottom"/>
          </w:tcPr>
          <w:p w14:paraId="5902B548" w14:textId="77777777" w:rsidR="0084406A" w:rsidRDefault="0084406A">
            <w:pPr>
              <w:rPr>
                <w:rFonts w:ascii="宋体"/>
              </w:rPr>
            </w:pPr>
          </w:p>
        </w:tc>
        <w:tc>
          <w:tcPr>
            <w:tcW w:w="0" w:type="auto"/>
            <w:shd w:val="clear" w:color="auto" w:fill="auto"/>
            <w:vAlign w:val="bottom"/>
          </w:tcPr>
          <w:p w14:paraId="5902B549" w14:textId="77777777" w:rsidR="0084406A" w:rsidRDefault="0084406A">
            <w:pPr>
              <w:rPr>
                <w:rFonts w:ascii="宋体"/>
              </w:rPr>
            </w:pPr>
          </w:p>
        </w:tc>
      </w:tr>
      <w:tr w:rsidR="0084406A" w14:paraId="5902B55B"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4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4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4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4E" w14:textId="77777777" w:rsidR="0084406A" w:rsidRDefault="0084406A">
            <w:pPr>
              <w:rPr>
                <w:rFonts w:ascii="宋体"/>
              </w:rPr>
            </w:pPr>
          </w:p>
        </w:tc>
        <w:tc>
          <w:tcPr>
            <w:tcW w:w="0" w:type="auto"/>
            <w:shd w:val="clear" w:color="auto" w:fill="auto"/>
            <w:vAlign w:val="bottom"/>
          </w:tcPr>
          <w:p w14:paraId="5902B54F" w14:textId="77777777" w:rsidR="0084406A" w:rsidRDefault="0084406A">
            <w:pPr>
              <w:rPr>
                <w:rFonts w:ascii="宋体"/>
              </w:rPr>
            </w:pPr>
          </w:p>
        </w:tc>
        <w:tc>
          <w:tcPr>
            <w:tcW w:w="0" w:type="auto"/>
            <w:shd w:val="clear" w:color="auto" w:fill="auto"/>
            <w:vAlign w:val="bottom"/>
          </w:tcPr>
          <w:p w14:paraId="5902B550" w14:textId="77777777" w:rsidR="0084406A" w:rsidRDefault="0084406A">
            <w:pPr>
              <w:rPr>
                <w:rFonts w:ascii="宋体"/>
              </w:rPr>
            </w:pPr>
          </w:p>
        </w:tc>
        <w:tc>
          <w:tcPr>
            <w:tcW w:w="0" w:type="auto"/>
            <w:shd w:val="clear" w:color="auto" w:fill="auto"/>
            <w:vAlign w:val="bottom"/>
          </w:tcPr>
          <w:p w14:paraId="5902B551" w14:textId="77777777" w:rsidR="0084406A" w:rsidRDefault="0084406A">
            <w:pPr>
              <w:rPr>
                <w:rFonts w:ascii="宋体"/>
              </w:rPr>
            </w:pPr>
          </w:p>
        </w:tc>
        <w:tc>
          <w:tcPr>
            <w:tcW w:w="0" w:type="auto"/>
            <w:shd w:val="clear" w:color="auto" w:fill="auto"/>
            <w:vAlign w:val="bottom"/>
          </w:tcPr>
          <w:p w14:paraId="5902B552" w14:textId="77777777" w:rsidR="0084406A" w:rsidRDefault="0084406A">
            <w:pPr>
              <w:rPr>
                <w:rFonts w:ascii="宋体"/>
              </w:rPr>
            </w:pPr>
          </w:p>
        </w:tc>
        <w:tc>
          <w:tcPr>
            <w:tcW w:w="0" w:type="auto"/>
            <w:shd w:val="clear" w:color="auto" w:fill="auto"/>
            <w:vAlign w:val="bottom"/>
          </w:tcPr>
          <w:p w14:paraId="5902B553" w14:textId="77777777" w:rsidR="0084406A" w:rsidRDefault="0084406A">
            <w:pPr>
              <w:rPr>
                <w:rFonts w:ascii="宋体"/>
              </w:rPr>
            </w:pPr>
          </w:p>
        </w:tc>
        <w:tc>
          <w:tcPr>
            <w:tcW w:w="0" w:type="auto"/>
            <w:shd w:val="clear" w:color="auto" w:fill="auto"/>
            <w:vAlign w:val="bottom"/>
          </w:tcPr>
          <w:p w14:paraId="5902B554" w14:textId="77777777" w:rsidR="0084406A" w:rsidRDefault="0084406A">
            <w:pPr>
              <w:rPr>
                <w:rFonts w:ascii="宋体"/>
              </w:rPr>
            </w:pPr>
          </w:p>
        </w:tc>
        <w:tc>
          <w:tcPr>
            <w:tcW w:w="0" w:type="auto"/>
            <w:shd w:val="clear" w:color="auto" w:fill="auto"/>
            <w:vAlign w:val="bottom"/>
          </w:tcPr>
          <w:p w14:paraId="5902B555" w14:textId="77777777" w:rsidR="0084406A" w:rsidRDefault="0084406A">
            <w:pPr>
              <w:rPr>
                <w:rFonts w:ascii="宋体"/>
              </w:rPr>
            </w:pPr>
          </w:p>
        </w:tc>
        <w:tc>
          <w:tcPr>
            <w:tcW w:w="0" w:type="auto"/>
            <w:shd w:val="clear" w:color="auto" w:fill="auto"/>
            <w:vAlign w:val="bottom"/>
          </w:tcPr>
          <w:p w14:paraId="5902B556" w14:textId="77777777" w:rsidR="0084406A" w:rsidRDefault="0084406A">
            <w:pPr>
              <w:rPr>
                <w:rFonts w:ascii="宋体"/>
              </w:rPr>
            </w:pPr>
          </w:p>
        </w:tc>
        <w:tc>
          <w:tcPr>
            <w:tcW w:w="0" w:type="auto"/>
            <w:shd w:val="clear" w:color="auto" w:fill="auto"/>
            <w:vAlign w:val="bottom"/>
          </w:tcPr>
          <w:p w14:paraId="5902B557" w14:textId="77777777" w:rsidR="0084406A" w:rsidRDefault="0084406A">
            <w:pPr>
              <w:rPr>
                <w:rFonts w:ascii="宋体"/>
              </w:rPr>
            </w:pPr>
          </w:p>
        </w:tc>
        <w:tc>
          <w:tcPr>
            <w:tcW w:w="0" w:type="auto"/>
            <w:shd w:val="clear" w:color="auto" w:fill="auto"/>
            <w:vAlign w:val="bottom"/>
          </w:tcPr>
          <w:p w14:paraId="5902B558" w14:textId="77777777" w:rsidR="0084406A" w:rsidRDefault="0084406A">
            <w:pPr>
              <w:rPr>
                <w:rFonts w:ascii="宋体"/>
              </w:rPr>
            </w:pPr>
          </w:p>
        </w:tc>
        <w:tc>
          <w:tcPr>
            <w:tcW w:w="0" w:type="auto"/>
            <w:shd w:val="clear" w:color="auto" w:fill="auto"/>
            <w:vAlign w:val="bottom"/>
          </w:tcPr>
          <w:p w14:paraId="5902B559" w14:textId="77777777" w:rsidR="0084406A" w:rsidRDefault="0084406A">
            <w:pPr>
              <w:rPr>
                <w:rFonts w:ascii="宋体"/>
              </w:rPr>
            </w:pPr>
          </w:p>
        </w:tc>
        <w:tc>
          <w:tcPr>
            <w:tcW w:w="0" w:type="auto"/>
            <w:shd w:val="clear" w:color="auto" w:fill="auto"/>
            <w:vAlign w:val="bottom"/>
          </w:tcPr>
          <w:p w14:paraId="5902B55A" w14:textId="77777777" w:rsidR="0084406A" w:rsidRDefault="0084406A">
            <w:pPr>
              <w:rPr>
                <w:rFonts w:ascii="宋体"/>
              </w:rPr>
            </w:pPr>
          </w:p>
        </w:tc>
      </w:tr>
      <w:tr w:rsidR="0084406A" w14:paraId="5902B56D" w14:textId="77777777">
        <w:trPr>
          <w:jc w:val="center"/>
        </w:trPr>
        <w:tc>
          <w:tcPr>
            <w:tcW w:w="0" w:type="auto"/>
            <w:gridSpan w:val="3"/>
            <w:shd w:val="clear" w:color="auto" w:fill="auto"/>
            <w:tcMar>
              <w:top w:w="0" w:type="dxa"/>
              <w:left w:w="20" w:type="dxa"/>
              <w:bottom w:w="0" w:type="dxa"/>
              <w:right w:w="20" w:type="dxa"/>
            </w:tcMar>
            <w:vAlign w:val="bottom"/>
          </w:tcPr>
          <w:p w14:paraId="5902B55C"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55D" w14:textId="77777777" w:rsidR="0084406A" w:rsidRDefault="002B18AF">
            <w:pPr>
              <w:jc w:val="right"/>
              <w:textAlignment w:val="top"/>
            </w:pPr>
            <w:r>
              <w:rPr>
                <w:rFonts w:ascii="Arial" w:eastAsia="宋体" w:hAnsi="Arial" w:cs="Arial"/>
                <w:color w:val="000000"/>
                <w:sz w:val="20"/>
                <w:szCs w:val="20"/>
              </w:rPr>
              <w:t>3.2 </w:t>
            </w:r>
          </w:p>
        </w:tc>
        <w:tc>
          <w:tcPr>
            <w:tcW w:w="0" w:type="auto"/>
            <w:shd w:val="clear" w:color="auto" w:fill="auto"/>
            <w:tcMar>
              <w:top w:w="40" w:type="dxa"/>
              <w:left w:w="0" w:type="dxa"/>
              <w:bottom w:w="40" w:type="dxa"/>
              <w:right w:w="20" w:type="dxa"/>
            </w:tcMar>
          </w:tcPr>
          <w:p w14:paraId="5902B55E"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55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60" w14:textId="77777777" w:rsidR="0084406A" w:rsidRDefault="002B18AF">
            <w:pPr>
              <w:textAlignment w:val="top"/>
            </w:pPr>
            <w:hyperlink r:id="rId100" w:history="1">
              <w:r>
                <w:rPr>
                  <w:rStyle w:val="a5"/>
                  <w:rFonts w:ascii="Arial" w:eastAsia="宋体" w:hAnsi="Arial" w:cs="Arial"/>
                  <w:sz w:val="20"/>
                  <w:szCs w:val="20"/>
                </w:rPr>
                <w:t>Advanced Micro Devices, Inc. Amended and Restated Bylaws, as amended on January 29, 2021.</w:t>
              </w:r>
            </w:hyperlink>
          </w:p>
        </w:tc>
        <w:tc>
          <w:tcPr>
            <w:tcW w:w="0" w:type="auto"/>
            <w:shd w:val="clear" w:color="auto" w:fill="auto"/>
            <w:vAlign w:val="bottom"/>
          </w:tcPr>
          <w:p w14:paraId="5902B561" w14:textId="77777777" w:rsidR="0084406A" w:rsidRDefault="0084406A">
            <w:pPr>
              <w:rPr>
                <w:rFonts w:ascii="宋体"/>
              </w:rPr>
            </w:pPr>
          </w:p>
        </w:tc>
        <w:tc>
          <w:tcPr>
            <w:tcW w:w="0" w:type="auto"/>
            <w:shd w:val="clear" w:color="auto" w:fill="auto"/>
            <w:vAlign w:val="bottom"/>
          </w:tcPr>
          <w:p w14:paraId="5902B562" w14:textId="77777777" w:rsidR="0084406A" w:rsidRDefault="0084406A">
            <w:pPr>
              <w:rPr>
                <w:rFonts w:ascii="宋体"/>
              </w:rPr>
            </w:pPr>
          </w:p>
        </w:tc>
        <w:tc>
          <w:tcPr>
            <w:tcW w:w="0" w:type="auto"/>
            <w:shd w:val="clear" w:color="auto" w:fill="auto"/>
            <w:vAlign w:val="bottom"/>
          </w:tcPr>
          <w:p w14:paraId="5902B563" w14:textId="77777777" w:rsidR="0084406A" w:rsidRDefault="0084406A">
            <w:pPr>
              <w:rPr>
                <w:rFonts w:ascii="宋体"/>
              </w:rPr>
            </w:pPr>
          </w:p>
        </w:tc>
        <w:tc>
          <w:tcPr>
            <w:tcW w:w="0" w:type="auto"/>
            <w:shd w:val="clear" w:color="auto" w:fill="auto"/>
            <w:vAlign w:val="bottom"/>
          </w:tcPr>
          <w:p w14:paraId="5902B564" w14:textId="77777777" w:rsidR="0084406A" w:rsidRDefault="0084406A">
            <w:pPr>
              <w:rPr>
                <w:rFonts w:ascii="宋体"/>
              </w:rPr>
            </w:pPr>
          </w:p>
        </w:tc>
        <w:tc>
          <w:tcPr>
            <w:tcW w:w="0" w:type="auto"/>
            <w:shd w:val="clear" w:color="auto" w:fill="auto"/>
            <w:vAlign w:val="bottom"/>
          </w:tcPr>
          <w:p w14:paraId="5902B565" w14:textId="77777777" w:rsidR="0084406A" w:rsidRDefault="0084406A">
            <w:pPr>
              <w:rPr>
                <w:rFonts w:ascii="宋体"/>
              </w:rPr>
            </w:pPr>
          </w:p>
        </w:tc>
        <w:tc>
          <w:tcPr>
            <w:tcW w:w="0" w:type="auto"/>
            <w:shd w:val="clear" w:color="auto" w:fill="auto"/>
            <w:vAlign w:val="bottom"/>
          </w:tcPr>
          <w:p w14:paraId="5902B566" w14:textId="77777777" w:rsidR="0084406A" w:rsidRDefault="0084406A">
            <w:pPr>
              <w:rPr>
                <w:rFonts w:ascii="宋体"/>
              </w:rPr>
            </w:pPr>
          </w:p>
        </w:tc>
        <w:tc>
          <w:tcPr>
            <w:tcW w:w="0" w:type="auto"/>
            <w:shd w:val="clear" w:color="auto" w:fill="auto"/>
            <w:vAlign w:val="bottom"/>
          </w:tcPr>
          <w:p w14:paraId="5902B567" w14:textId="77777777" w:rsidR="0084406A" w:rsidRDefault="0084406A">
            <w:pPr>
              <w:rPr>
                <w:rFonts w:ascii="宋体"/>
              </w:rPr>
            </w:pPr>
          </w:p>
        </w:tc>
        <w:tc>
          <w:tcPr>
            <w:tcW w:w="0" w:type="auto"/>
            <w:shd w:val="clear" w:color="auto" w:fill="auto"/>
            <w:vAlign w:val="bottom"/>
          </w:tcPr>
          <w:p w14:paraId="5902B568" w14:textId="77777777" w:rsidR="0084406A" w:rsidRDefault="0084406A">
            <w:pPr>
              <w:rPr>
                <w:rFonts w:ascii="宋体"/>
              </w:rPr>
            </w:pPr>
          </w:p>
        </w:tc>
        <w:tc>
          <w:tcPr>
            <w:tcW w:w="0" w:type="auto"/>
            <w:shd w:val="clear" w:color="auto" w:fill="auto"/>
            <w:vAlign w:val="bottom"/>
          </w:tcPr>
          <w:p w14:paraId="5902B569" w14:textId="77777777" w:rsidR="0084406A" w:rsidRDefault="0084406A">
            <w:pPr>
              <w:rPr>
                <w:rFonts w:ascii="宋体"/>
              </w:rPr>
            </w:pPr>
          </w:p>
        </w:tc>
        <w:tc>
          <w:tcPr>
            <w:tcW w:w="0" w:type="auto"/>
            <w:shd w:val="clear" w:color="auto" w:fill="auto"/>
            <w:vAlign w:val="bottom"/>
          </w:tcPr>
          <w:p w14:paraId="5902B56A" w14:textId="77777777" w:rsidR="0084406A" w:rsidRDefault="0084406A">
            <w:pPr>
              <w:rPr>
                <w:rFonts w:ascii="宋体"/>
              </w:rPr>
            </w:pPr>
          </w:p>
        </w:tc>
        <w:tc>
          <w:tcPr>
            <w:tcW w:w="0" w:type="auto"/>
            <w:shd w:val="clear" w:color="auto" w:fill="auto"/>
            <w:vAlign w:val="bottom"/>
          </w:tcPr>
          <w:p w14:paraId="5902B56B" w14:textId="77777777" w:rsidR="0084406A" w:rsidRDefault="0084406A">
            <w:pPr>
              <w:rPr>
                <w:rFonts w:ascii="宋体"/>
              </w:rPr>
            </w:pPr>
          </w:p>
        </w:tc>
        <w:tc>
          <w:tcPr>
            <w:tcW w:w="0" w:type="auto"/>
            <w:shd w:val="clear" w:color="auto" w:fill="auto"/>
            <w:vAlign w:val="bottom"/>
          </w:tcPr>
          <w:p w14:paraId="5902B56C" w14:textId="77777777" w:rsidR="0084406A" w:rsidRDefault="0084406A">
            <w:pPr>
              <w:rPr>
                <w:rFonts w:ascii="宋体"/>
              </w:rPr>
            </w:pPr>
          </w:p>
        </w:tc>
      </w:tr>
      <w:tr w:rsidR="0084406A" w14:paraId="5902B57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6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6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7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71" w14:textId="77777777" w:rsidR="0084406A" w:rsidRDefault="0084406A">
            <w:pPr>
              <w:rPr>
                <w:rFonts w:ascii="宋体"/>
              </w:rPr>
            </w:pPr>
          </w:p>
        </w:tc>
        <w:tc>
          <w:tcPr>
            <w:tcW w:w="0" w:type="auto"/>
            <w:shd w:val="clear" w:color="auto" w:fill="auto"/>
            <w:vAlign w:val="bottom"/>
          </w:tcPr>
          <w:p w14:paraId="5902B572" w14:textId="77777777" w:rsidR="0084406A" w:rsidRDefault="0084406A">
            <w:pPr>
              <w:rPr>
                <w:rFonts w:ascii="宋体"/>
              </w:rPr>
            </w:pPr>
          </w:p>
        </w:tc>
        <w:tc>
          <w:tcPr>
            <w:tcW w:w="0" w:type="auto"/>
            <w:shd w:val="clear" w:color="auto" w:fill="auto"/>
            <w:vAlign w:val="bottom"/>
          </w:tcPr>
          <w:p w14:paraId="5902B573" w14:textId="77777777" w:rsidR="0084406A" w:rsidRDefault="0084406A">
            <w:pPr>
              <w:rPr>
                <w:rFonts w:ascii="宋体"/>
              </w:rPr>
            </w:pPr>
          </w:p>
        </w:tc>
        <w:tc>
          <w:tcPr>
            <w:tcW w:w="0" w:type="auto"/>
            <w:shd w:val="clear" w:color="auto" w:fill="auto"/>
            <w:vAlign w:val="bottom"/>
          </w:tcPr>
          <w:p w14:paraId="5902B574" w14:textId="77777777" w:rsidR="0084406A" w:rsidRDefault="0084406A">
            <w:pPr>
              <w:rPr>
                <w:rFonts w:ascii="宋体"/>
              </w:rPr>
            </w:pPr>
          </w:p>
        </w:tc>
        <w:tc>
          <w:tcPr>
            <w:tcW w:w="0" w:type="auto"/>
            <w:shd w:val="clear" w:color="auto" w:fill="auto"/>
            <w:vAlign w:val="bottom"/>
          </w:tcPr>
          <w:p w14:paraId="5902B575" w14:textId="77777777" w:rsidR="0084406A" w:rsidRDefault="0084406A">
            <w:pPr>
              <w:rPr>
                <w:rFonts w:ascii="宋体"/>
              </w:rPr>
            </w:pPr>
          </w:p>
        </w:tc>
        <w:tc>
          <w:tcPr>
            <w:tcW w:w="0" w:type="auto"/>
            <w:shd w:val="clear" w:color="auto" w:fill="auto"/>
            <w:vAlign w:val="bottom"/>
          </w:tcPr>
          <w:p w14:paraId="5902B576" w14:textId="77777777" w:rsidR="0084406A" w:rsidRDefault="0084406A">
            <w:pPr>
              <w:rPr>
                <w:rFonts w:ascii="宋体"/>
              </w:rPr>
            </w:pPr>
          </w:p>
        </w:tc>
        <w:tc>
          <w:tcPr>
            <w:tcW w:w="0" w:type="auto"/>
            <w:shd w:val="clear" w:color="auto" w:fill="auto"/>
            <w:vAlign w:val="bottom"/>
          </w:tcPr>
          <w:p w14:paraId="5902B577" w14:textId="77777777" w:rsidR="0084406A" w:rsidRDefault="0084406A">
            <w:pPr>
              <w:rPr>
                <w:rFonts w:ascii="宋体"/>
              </w:rPr>
            </w:pPr>
          </w:p>
        </w:tc>
        <w:tc>
          <w:tcPr>
            <w:tcW w:w="0" w:type="auto"/>
            <w:shd w:val="clear" w:color="auto" w:fill="auto"/>
            <w:vAlign w:val="bottom"/>
          </w:tcPr>
          <w:p w14:paraId="5902B578" w14:textId="77777777" w:rsidR="0084406A" w:rsidRDefault="0084406A">
            <w:pPr>
              <w:rPr>
                <w:rFonts w:ascii="宋体"/>
              </w:rPr>
            </w:pPr>
          </w:p>
        </w:tc>
        <w:tc>
          <w:tcPr>
            <w:tcW w:w="0" w:type="auto"/>
            <w:shd w:val="clear" w:color="auto" w:fill="auto"/>
            <w:vAlign w:val="bottom"/>
          </w:tcPr>
          <w:p w14:paraId="5902B579" w14:textId="77777777" w:rsidR="0084406A" w:rsidRDefault="0084406A">
            <w:pPr>
              <w:rPr>
                <w:rFonts w:ascii="宋体"/>
              </w:rPr>
            </w:pPr>
          </w:p>
        </w:tc>
        <w:tc>
          <w:tcPr>
            <w:tcW w:w="0" w:type="auto"/>
            <w:shd w:val="clear" w:color="auto" w:fill="auto"/>
            <w:vAlign w:val="bottom"/>
          </w:tcPr>
          <w:p w14:paraId="5902B57A" w14:textId="77777777" w:rsidR="0084406A" w:rsidRDefault="0084406A">
            <w:pPr>
              <w:rPr>
                <w:rFonts w:ascii="宋体"/>
              </w:rPr>
            </w:pPr>
          </w:p>
        </w:tc>
        <w:tc>
          <w:tcPr>
            <w:tcW w:w="0" w:type="auto"/>
            <w:shd w:val="clear" w:color="auto" w:fill="auto"/>
            <w:vAlign w:val="bottom"/>
          </w:tcPr>
          <w:p w14:paraId="5902B57B" w14:textId="77777777" w:rsidR="0084406A" w:rsidRDefault="0084406A">
            <w:pPr>
              <w:rPr>
                <w:rFonts w:ascii="宋体"/>
              </w:rPr>
            </w:pPr>
          </w:p>
        </w:tc>
        <w:tc>
          <w:tcPr>
            <w:tcW w:w="0" w:type="auto"/>
            <w:shd w:val="clear" w:color="auto" w:fill="auto"/>
            <w:vAlign w:val="bottom"/>
          </w:tcPr>
          <w:p w14:paraId="5902B57C" w14:textId="77777777" w:rsidR="0084406A" w:rsidRDefault="0084406A">
            <w:pPr>
              <w:rPr>
                <w:rFonts w:ascii="宋体"/>
              </w:rPr>
            </w:pPr>
          </w:p>
        </w:tc>
        <w:tc>
          <w:tcPr>
            <w:tcW w:w="0" w:type="auto"/>
            <w:shd w:val="clear" w:color="auto" w:fill="auto"/>
            <w:vAlign w:val="bottom"/>
          </w:tcPr>
          <w:p w14:paraId="5902B57D" w14:textId="77777777" w:rsidR="0084406A" w:rsidRDefault="0084406A">
            <w:pPr>
              <w:rPr>
                <w:rFonts w:ascii="宋体"/>
              </w:rPr>
            </w:pPr>
          </w:p>
        </w:tc>
      </w:tr>
      <w:tr w:rsidR="0084406A" w14:paraId="5902B590" w14:textId="77777777">
        <w:trPr>
          <w:jc w:val="center"/>
        </w:trPr>
        <w:tc>
          <w:tcPr>
            <w:tcW w:w="0" w:type="auto"/>
            <w:gridSpan w:val="3"/>
            <w:shd w:val="clear" w:color="auto" w:fill="auto"/>
            <w:tcMar>
              <w:top w:w="0" w:type="dxa"/>
              <w:left w:w="20" w:type="dxa"/>
              <w:bottom w:w="0" w:type="dxa"/>
              <w:right w:w="20" w:type="dxa"/>
            </w:tcMar>
            <w:vAlign w:val="bottom"/>
          </w:tcPr>
          <w:p w14:paraId="5902B57F"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580" w14:textId="77777777" w:rsidR="0084406A" w:rsidRDefault="002B18AF">
            <w:pPr>
              <w:jc w:val="right"/>
              <w:textAlignment w:val="top"/>
            </w:pPr>
            <w:r>
              <w:rPr>
                <w:rFonts w:ascii="Arial" w:eastAsia="宋体" w:hAnsi="Arial" w:cs="Arial"/>
                <w:color w:val="000000"/>
                <w:sz w:val="20"/>
                <w:szCs w:val="20"/>
              </w:rPr>
              <w:t>4.1 </w:t>
            </w:r>
          </w:p>
        </w:tc>
        <w:tc>
          <w:tcPr>
            <w:tcW w:w="0" w:type="auto"/>
            <w:shd w:val="clear" w:color="auto" w:fill="auto"/>
            <w:tcMar>
              <w:top w:w="40" w:type="dxa"/>
              <w:left w:w="0" w:type="dxa"/>
              <w:bottom w:w="40" w:type="dxa"/>
              <w:right w:w="20" w:type="dxa"/>
            </w:tcMar>
          </w:tcPr>
          <w:p w14:paraId="5902B581"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58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83" w14:textId="77777777" w:rsidR="0084406A" w:rsidRDefault="002B18AF">
            <w:pPr>
              <w:textAlignment w:val="top"/>
            </w:pPr>
            <w:hyperlink r:id="rId101" w:history="1">
              <w:r>
                <w:rPr>
                  <w:rStyle w:val="a5"/>
                  <w:rFonts w:ascii="Arial" w:eastAsia="宋体" w:hAnsi="Arial" w:cs="Arial"/>
                  <w:sz w:val="20"/>
                  <w:szCs w:val="20"/>
                </w:rPr>
                <w:t>Description of Advanced Micro Devices, Inc. Common Stock, filed as Exhibit 4.1 to AMD’s Annual Report on Form 10-K for the period ended December 28, 2019, is here</w:t>
              </w:r>
              <w:r>
                <w:rPr>
                  <w:rStyle w:val="a5"/>
                  <w:rFonts w:ascii="Arial" w:eastAsia="宋体" w:hAnsi="Arial" w:cs="Arial"/>
                  <w:sz w:val="20"/>
                  <w:szCs w:val="20"/>
                </w:rPr>
                <w:t>by incorporated by reference.</w:t>
              </w:r>
            </w:hyperlink>
          </w:p>
        </w:tc>
        <w:tc>
          <w:tcPr>
            <w:tcW w:w="0" w:type="auto"/>
            <w:shd w:val="clear" w:color="auto" w:fill="auto"/>
            <w:vAlign w:val="bottom"/>
          </w:tcPr>
          <w:p w14:paraId="5902B584" w14:textId="77777777" w:rsidR="0084406A" w:rsidRDefault="0084406A">
            <w:pPr>
              <w:rPr>
                <w:rFonts w:ascii="宋体"/>
              </w:rPr>
            </w:pPr>
          </w:p>
        </w:tc>
        <w:tc>
          <w:tcPr>
            <w:tcW w:w="0" w:type="auto"/>
            <w:shd w:val="clear" w:color="auto" w:fill="auto"/>
            <w:vAlign w:val="bottom"/>
          </w:tcPr>
          <w:p w14:paraId="5902B585" w14:textId="77777777" w:rsidR="0084406A" w:rsidRDefault="0084406A">
            <w:pPr>
              <w:rPr>
                <w:rFonts w:ascii="宋体"/>
              </w:rPr>
            </w:pPr>
          </w:p>
        </w:tc>
        <w:tc>
          <w:tcPr>
            <w:tcW w:w="0" w:type="auto"/>
            <w:shd w:val="clear" w:color="auto" w:fill="auto"/>
            <w:vAlign w:val="bottom"/>
          </w:tcPr>
          <w:p w14:paraId="5902B586" w14:textId="77777777" w:rsidR="0084406A" w:rsidRDefault="0084406A">
            <w:pPr>
              <w:rPr>
                <w:rFonts w:ascii="宋体"/>
              </w:rPr>
            </w:pPr>
          </w:p>
        </w:tc>
        <w:tc>
          <w:tcPr>
            <w:tcW w:w="0" w:type="auto"/>
            <w:shd w:val="clear" w:color="auto" w:fill="auto"/>
            <w:vAlign w:val="bottom"/>
          </w:tcPr>
          <w:p w14:paraId="5902B587" w14:textId="77777777" w:rsidR="0084406A" w:rsidRDefault="0084406A">
            <w:pPr>
              <w:rPr>
                <w:rFonts w:ascii="宋体"/>
              </w:rPr>
            </w:pPr>
          </w:p>
        </w:tc>
        <w:tc>
          <w:tcPr>
            <w:tcW w:w="0" w:type="auto"/>
            <w:shd w:val="clear" w:color="auto" w:fill="auto"/>
            <w:vAlign w:val="bottom"/>
          </w:tcPr>
          <w:p w14:paraId="5902B588" w14:textId="77777777" w:rsidR="0084406A" w:rsidRDefault="0084406A">
            <w:pPr>
              <w:rPr>
                <w:rFonts w:ascii="宋体"/>
              </w:rPr>
            </w:pPr>
          </w:p>
        </w:tc>
        <w:tc>
          <w:tcPr>
            <w:tcW w:w="0" w:type="auto"/>
            <w:shd w:val="clear" w:color="auto" w:fill="auto"/>
            <w:vAlign w:val="bottom"/>
          </w:tcPr>
          <w:p w14:paraId="5902B589" w14:textId="77777777" w:rsidR="0084406A" w:rsidRDefault="0084406A">
            <w:pPr>
              <w:rPr>
                <w:rFonts w:ascii="宋体"/>
              </w:rPr>
            </w:pPr>
          </w:p>
        </w:tc>
        <w:tc>
          <w:tcPr>
            <w:tcW w:w="0" w:type="auto"/>
            <w:shd w:val="clear" w:color="auto" w:fill="auto"/>
            <w:vAlign w:val="bottom"/>
          </w:tcPr>
          <w:p w14:paraId="5902B58A" w14:textId="77777777" w:rsidR="0084406A" w:rsidRDefault="0084406A">
            <w:pPr>
              <w:rPr>
                <w:rFonts w:ascii="宋体"/>
              </w:rPr>
            </w:pPr>
          </w:p>
        </w:tc>
        <w:tc>
          <w:tcPr>
            <w:tcW w:w="0" w:type="auto"/>
            <w:shd w:val="clear" w:color="auto" w:fill="auto"/>
            <w:vAlign w:val="bottom"/>
          </w:tcPr>
          <w:p w14:paraId="5902B58B" w14:textId="77777777" w:rsidR="0084406A" w:rsidRDefault="0084406A">
            <w:pPr>
              <w:rPr>
                <w:rFonts w:ascii="宋体"/>
              </w:rPr>
            </w:pPr>
          </w:p>
        </w:tc>
        <w:tc>
          <w:tcPr>
            <w:tcW w:w="0" w:type="auto"/>
            <w:shd w:val="clear" w:color="auto" w:fill="auto"/>
            <w:vAlign w:val="bottom"/>
          </w:tcPr>
          <w:p w14:paraId="5902B58C" w14:textId="77777777" w:rsidR="0084406A" w:rsidRDefault="0084406A">
            <w:pPr>
              <w:rPr>
                <w:rFonts w:ascii="宋体"/>
              </w:rPr>
            </w:pPr>
          </w:p>
        </w:tc>
        <w:tc>
          <w:tcPr>
            <w:tcW w:w="0" w:type="auto"/>
            <w:shd w:val="clear" w:color="auto" w:fill="auto"/>
            <w:vAlign w:val="bottom"/>
          </w:tcPr>
          <w:p w14:paraId="5902B58D" w14:textId="77777777" w:rsidR="0084406A" w:rsidRDefault="0084406A">
            <w:pPr>
              <w:rPr>
                <w:rFonts w:ascii="宋体"/>
              </w:rPr>
            </w:pPr>
          </w:p>
        </w:tc>
        <w:tc>
          <w:tcPr>
            <w:tcW w:w="0" w:type="auto"/>
            <w:shd w:val="clear" w:color="auto" w:fill="auto"/>
            <w:vAlign w:val="bottom"/>
          </w:tcPr>
          <w:p w14:paraId="5902B58E" w14:textId="77777777" w:rsidR="0084406A" w:rsidRDefault="0084406A">
            <w:pPr>
              <w:rPr>
                <w:rFonts w:ascii="宋体"/>
              </w:rPr>
            </w:pPr>
          </w:p>
        </w:tc>
        <w:tc>
          <w:tcPr>
            <w:tcW w:w="0" w:type="auto"/>
            <w:shd w:val="clear" w:color="auto" w:fill="auto"/>
            <w:vAlign w:val="bottom"/>
          </w:tcPr>
          <w:p w14:paraId="5902B58F" w14:textId="77777777" w:rsidR="0084406A" w:rsidRDefault="0084406A">
            <w:pPr>
              <w:rPr>
                <w:rFonts w:ascii="宋体"/>
              </w:rPr>
            </w:pPr>
          </w:p>
        </w:tc>
      </w:tr>
      <w:tr w:rsidR="0084406A" w14:paraId="5902B5A1"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9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9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9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94" w14:textId="77777777" w:rsidR="0084406A" w:rsidRDefault="0084406A">
            <w:pPr>
              <w:rPr>
                <w:rFonts w:ascii="宋体"/>
              </w:rPr>
            </w:pPr>
          </w:p>
        </w:tc>
        <w:tc>
          <w:tcPr>
            <w:tcW w:w="0" w:type="auto"/>
            <w:shd w:val="clear" w:color="auto" w:fill="auto"/>
            <w:vAlign w:val="bottom"/>
          </w:tcPr>
          <w:p w14:paraId="5902B595" w14:textId="77777777" w:rsidR="0084406A" w:rsidRDefault="0084406A">
            <w:pPr>
              <w:rPr>
                <w:rFonts w:ascii="宋体"/>
              </w:rPr>
            </w:pPr>
          </w:p>
        </w:tc>
        <w:tc>
          <w:tcPr>
            <w:tcW w:w="0" w:type="auto"/>
            <w:shd w:val="clear" w:color="auto" w:fill="auto"/>
            <w:vAlign w:val="bottom"/>
          </w:tcPr>
          <w:p w14:paraId="5902B596" w14:textId="77777777" w:rsidR="0084406A" w:rsidRDefault="0084406A">
            <w:pPr>
              <w:rPr>
                <w:rFonts w:ascii="宋体"/>
              </w:rPr>
            </w:pPr>
          </w:p>
        </w:tc>
        <w:tc>
          <w:tcPr>
            <w:tcW w:w="0" w:type="auto"/>
            <w:shd w:val="clear" w:color="auto" w:fill="auto"/>
            <w:vAlign w:val="bottom"/>
          </w:tcPr>
          <w:p w14:paraId="5902B597" w14:textId="77777777" w:rsidR="0084406A" w:rsidRDefault="0084406A">
            <w:pPr>
              <w:rPr>
                <w:rFonts w:ascii="宋体"/>
              </w:rPr>
            </w:pPr>
          </w:p>
        </w:tc>
        <w:tc>
          <w:tcPr>
            <w:tcW w:w="0" w:type="auto"/>
            <w:shd w:val="clear" w:color="auto" w:fill="auto"/>
            <w:vAlign w:val="bottom"/>
          </w:tcPr>
          <w:p w14:paraId="5902B598" w14:textId="77777777" w:rsidR="0084406A" w:rsidRDefault="0084406A">
            <w:pPr>
              <w:rPr>
                <w:rFonts w:ascii="宋体"/>
              </w:rPr>
            </w:pPr>
          </w:p>
        </w:tc>
        <w:tc>
          <w:tcPr>
            <w:tcW w:w="0" w:type="auto"/>
            <w:shd w:val="clear" w:color="auto" w:fill="auto"/>
            <w:vAlign w:val="bottom"/>
          </w:tcPr>
          <w:p w14:paraId="5902B599" w14:textId="77777777" w:rsidR="0084406A" w:rsidRDefault="0084406A">
            <w:pPr>
              <w:rPr>
                <w:rFonts w:ascii="宋体"/>
              </w:rPr>
            </w:pPr>
          </w:p>
        </w:tc>
        <w:tc>
          <w:tcPr>
            <w:tcW w:w="0" w:type="auto"/>
            <w:shd w:val="clear" w:color="auto" w:fill="auto"/>
            <w:vAlign w:val="bottom"/>
          </w:tcPr>
          <w:p w14:paraId="5902B59A" w14:textId="77777777" w:rsidR="0084406A" w:rsidRDefault="0084406A">
            <w:pPr>
              <w:rPr>
                <w:rFonts w:ascii="宋体"/>
              </w:rPr>
            </w:pPr>
          </w:p>
        </w:tc>
        <w:tc>
          <w:tcPr>
            <w:tcW w:w="0" w:type="auto"/>
            <w:shd w:val="clear" w:color="auto" w:fill="auto"/>
            <w:vAlign w:val="bottom"/>
          </w:tcPr>
          <w:p w14:paraId="5902B59B" w14:textId="77777777" w:rsidR="0084406A" w:rsidRDefault="0084406A">
            <w:pPr>
              <w:rPr>
                <w:rFonts w:ascii="宋体"/>
              </w:rPr>
            </w:pPr>
          </w:p>
        </w:tc>
        <w:tc>
          <w:tcPr>
            <w:tcW w:w="0" w:type="auto"/>
            <w:shd w:val="clear" w:color="auto" w:fill="auto"/>
            <w:vAlign w:val="bottom"/>
          </w:tcPr>
          <w:p w14:paraId="5902B59C" w14:textId="77777777" w:rsidR="0084406A" w:rsidRDefault="0084406A">
            <w:pPr>
              <w:rPr>
                <w:rFonts w:ascii="宋体"/>
              </w:rPr>
            </w:pPr>
          </w:p>
        </w:tc>
        <w:tc>
          <w:tcPr>
            <w:tcW w:w="0" w:type="auto"/>
            <w:shd w:val="clear" w:color="auto" w:fill="auto"/>
            <w:vAlign w:val="bottom"/>
          </w:tcPr>
          <w:p w14:paraId="5902B59D" w14:textId="77777777" w:rsidR="0084406A" w:rsidRDefault="0084406A">
            <w:pPr>
              <w:rPr>
                <w:rFonts w:ascii="宋体"/>
              </w:rPr>
            </w:pPr>
          </w:p>
        </w:tc>
        <w:tc>
          <w:tcPr>
            <w:tcW w:w="0" w:type="auto"/>
            <w:shd w:val="clear" w:color="auto" w:fill="auto"/>
            <w:vAlign w:val="bottom"/>
          </w:tcPr>
          <w:p w14:paraId="5902B59E" w14:textId="77777777" w:rsidR="0084406A" w:rsidRDefault="0084406A">
            <w:pPr>
              <w:rPr>
                <w:rFonts w:ascii="宋体"/>
              </w:rPr>
            </w:pPr>
          </w:p>
        </w:tc>
        <w:tc>
          <w:tcPr>
            <w:tcW w:w="0" w:type="auto"/>
            <w:shd w:val="clear" w:color="auto" w:fill="auto"/>
            <w:vAlign w:val="bottom"/>
          </w:tcPr>
          <w:p w14:paraId="5902B59F" w14:textId="77777777" w:rsidR="0084406A" w:rsidRDefault="0084406A">
            <w:pPr>
              <w:rPr>
                <w:rFonts w:ascii="宋体"/>
              </w:rPr>
            </w:pPr>
          </w:p>
        </w:tc>
        <w:tc>
          <w:tcPr>
            <w:tcW w:w="0" w:type="auto"/>
            <w:shd w:val="clear" w:color="auto" w:fill="auto"/>
            <w:vAlign w:val="bottom"/>
          </w:tcPr>
          <w:p w14:paraId="5902B5A0" w14:textId="77777777" w:rsidR="0084406A" w:rsidRDefault="0084406A">
            <w:pPr>
              <w:rPr>
                <w:rFonts w:ascii="宋体"/>
              </w:rPr>
            </w:pPr>
          </w:p>
        </w:tc>
      </w:tr>
      <w:tr w:rsidR="0084406A" w14:paraId="5902B5B3" w14:textId="77777777">
        <w:trPr>
          <w:jc w:val="center"/>
        </w:trPr>
        <w:tc>
          <w:tcPr>
            <w:tcW w:w="0" w:type="auto"/>
            <w:gridSpan w:val="3"/>
            <w:shd w:val="clear" w:color="auto" w:fill="auto"/>
            <w:tcMar>
              <w:top w:w="0" w:type="dxa"/>
              <w:left w:w="20" w:type="dxa"/>
              <w:bottom w:w="0" w:type="dxa"/>
              <w:right w:w="20" w:type="dxa"/>
            </w:tcMar>
            <w:vAlign w:val="bottom"/>
          </w:tcPr>
          <w:p w14:paraId="5902B5A2"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5A3" w14:textId="77777777" w:rsidR="0084406A" w:rsidRDefault="002B18AF">
            <w:pPr>
              <w:jc w:val="right"/>
              <w:textAlignment w:val="top"/>
            </w:pPr>
            <w:r>
              <w:rPr>
                <w:rFonts w:ascii="Arial" w:eastAsia="宋体" w:hAnsi="Arial" w:cs="Arial"/>
                <w:color w:val="000000"/>
                <w:sz w:val="20"/>
                <w:szCs w:val="20"/>
              </w:rPr>
              <w:t>4.2 </w:t>
            </w:r>
          </w:p>
        </w:tc>
        <w:tc>
          <w:tcPr>
            <w:tcW w:w="0" w:type="auto"/>
            <w:shd w:val="clear" w:color="auto" w:fill="auto"/>
            <w:tcMar>
              <w:top w:w="40" w:type="dxa"/>
              <w:left w:w="0" w:type="dxa"/>
              <w:bottom w:w="40" w:type="dxa"/>
              <w:right w:w="20" w:type="dxa"/>
            </w:tcMar>
          </w:tcPr>
          <w:p w14:paraId="5902B5A4"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5A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A6" w14:textId="77777777" w:rsidR="0084406A" w:rsidRDefault="002B18AF">
            <w:pPr>
              <w:textAlignment w:val="top"/>
            </w:pPr>
            <w:hyperlink r:id="rId102" w:history="1">
              <w:r>
                <w:rPr>
                  <w:rStyle w:val="a5"/>
                  <w:rFonts w:ascii="Arial" w:eastAsia="宋体" w:hAnsi="Arial" w:cs="Arial"/>
                  <w:sz w:val="20"/>
                  <w:szCs w:val="20"/>
                </w:rPr>
                <w:t>Indenture governing 7.50% Senior Notes due 2022, including the Form of 7.50% Note, between Advanced Micro Devices, Inc. and Wells Fargo Bank, N.A., dated as of Aug</w:t>
              </w:r>
              <w:r>
                <w:rPr>
                  <w:rStyle w:val="a5"/>
                  <w:rFonts w:ascii="Arial" w:eastAsia="宋体" w:hAnsi="Arial" w:cs="Arial"/>
                  <w:sz w:val="20"/>
                  <w:szCs w:val="20"/>
                </w:rPr>
                <w:t>ust 15, 2012, filed as Exhibit 4.1 to AMD’s Current Report on Form 8-K dated August 15, 2012, is hereby incorporated by reference.</w:t>
              </w:r>
            </w:hyperlink>
          </w:p>
        </w:tc>
        <w:tc>
          <w:tcPr>
            <w:tcW w:w="0" w:type="auto"/>
            <w:shd w:val="clear" w:color="auto" w:fill="auto"/>
            <w:vAlign w:val="bottom"/>
          </w:tcPr>
          <w:p w14:paraId="5902B5A7" w14:textId="77777777" w:rsidR="0084406A" w:rsidRDefault="0084406A">
            <w:pPr>
              <w:rPr>
                <w:rFonts w:ascii="宋体"/>
              </w:rPr>
            </w:pPr>
          </w:p>
        </w:tc>
        <w:tc>
          <w:tcPr>
            <w:tcW w:w="0" w:type="auto"/>
            <w:shd w:val="clear" w:color="auto" w:fill="auto"/>
            <w:vAlign w:val="bottom"/>
          </w:tcPr>
          <w:p w14:paraId="5902B5A8" w14:textId="77777777" w:rsidR="0084406A" w:rsidRDefault="0084406A">
            <w:pPr>
              <w:rPr>
                <w:rFonts w:ascii="宋体"/>
              </w:rPr>
            </w:pPr>
          </w:p>
        </w:tc>
        <w:tc>
          <w:tcPr>
            <w:tcW w:w="0" w:type="auto"/>
            <w:shd w:val="clear" w:color="auto" w:fill="auto"/>
            <w:vAlign w:val="bottom"/>
          </w:tcPr>
          <w:p w14:paraId="5902B5A9" w14:textId="77777777" w:rsidR="0084406A" w:rsidRDefault="0084406A">
            <w:pPr>
              <w:rPr>
                <w:rFonts w:ascii="宋体"/>
              </w:rPr>
            </w:pPr>
          </w:p>
        </w:tc>
        <w:tc>
          <w:tcPr>
            <w:tcW w:w="0" w:type="auto"/>
            <w:shd w:val="clear" w:color="auto" w:fill="auto"/>
            <w:vAlign w:val="bottom"/>
          </w:tcPr>
          <w:p w14:paraId="5902B5AA" w14:textId="77777777" w:rsidR="0084406A" w:rsidRDefault="0084406A">
            <w:pPr>
              <w:rPr>
                <w:rFonts w:ascii="宋体"/>
              </w:rPr>
            </w:pPr>
          </w:p>
        </w:tc>
        <w:tc>
          <w:tcPr>
            <w:tcW w:w="0" w:type="auto"/>
            <w:shd w:val="clear" w:color="auto" w:fill="auto"/>
            <w:vAlign w:val="bottom"/>
          </w:tcPr>
          <w:p w14:paraId="5902B5AB" w14:textId="77777777" w:rsidR="0084406A" w:rsidRDefault="0084406A">
            <w:pPr>
              <w:rPr>
                <w:rFonts w:ascii="宋体"/>
              </w:rPr>
            </w:pPr>
          </w:p>
        </w:tc>
        <w:tc>
          <w:tcPr>
            <w:tcW w:w="0" w:type="auto"/>
            <w:shd w:val="clear" w:color="auto" w:fill="auto"/>
            <w:vAlign w:val="bottom"/>
          </w:tcPr>
          <w:p w14:paraId="5902B5AC" w14:textId="77777777" w:rsidR="0084406A" w:rsidRDefault="0084406A">
            <w:pPr>
              <w:rPr>
                <w:rFonts w:ascii="宋体"/>
              </w:rPr>
            </w:pPr>
          </w:p>
        </w:tc>
        <w:tc>
          <w:tcPr>
            <w:tcW w:w="0" w:type="auto"/>
            <w:shd w:val="clear" w:color="auto" w:fill="auto"/>
            <w:vAlign w:val="bottom"/>
          </w:tcPr>
          <w:p w14:paraId="5902B5AD" w14:textId="77777777" w:rsidR="0084406A" w:rsidRDefault="0084406A">
            <w:pPr>
              <w:rPr>
                <w:rFonts w:ascii="宋体"/>
              </w:rPr>
            </w:pPr>
          </w:p>
        </w:tc>
        <w:tc>
          <w:tcPr>
            <w:tcW w:w="0" w:type="auto"/>
            <w:shd w:val="clear" w:color="auto" w:fill="auto"/>
            <w:vAlign w:val="bottom"/>
          </w:tcPr>
          <w:p w14:paraId="5902B5AE" w14:textId="77777777" w:rsidR="0084406A" w:rsidRDefault="0084406A">
            <w:pPr>
              <w:rPr>
                <w:rFonts w:ascii="宋体"/>
              </w:rPr>
            </w:pPr>
          </w:p>
        </w:tc>
        <w:tc>
          <w:tcPr>
            <w:tcW w:w="0" w:type="auto"/>
            <w:shd w:val="clear" w:color="auto" w:fill="auto"/>
            <w:vAlign w:val="bottom"/>
          </w:tcPr>
          <w:p w14:paraId="5902B5AF" w14:textId="77777777" w:rsidR="0084406A" w:rsidRDefault="0084406A">
            <w:pPr>
              <w:rPr>
                <w:rFonts w:ascii="宋体"/>
              </w:rPr>
            </w:pPr>
          </w:p>
        </w:tc>
        <w:tc>
          <w:tcPr>
            <w:tcW w:w="0" w:type="auto"/>
            <w:shd w:val="clear" w:color="auto" w:fill="auto"/>
            <w:vAlign w:val="bottom"/>
          </w:tcPr>
          <w:p w14:paraId="5902B5B0" w14:textId="77777777" w:rsidR="0084406A" w:rsidRDefault="0084406A">
            <w:pPr>
              <w:rPr>
                <w:rFonts w:ascii="宋体"/>
              </w:rPr>
            </w:pPr>
          </w:p>
        </w:tc>
        <w:tc>
          <w:tcPr>
            <w:tcW w:w="0" w:type="auto"/>
            <w:shd w:val="clear" w:color="auto" w:fill="auto"/>
            <w:vAlign w:val="bottom"/>
          </w:tcPr>
          <w:p w14:paraId="5902B5B1" w14:textId="77777777" w:rsidR="0084406A" w:rsidRDefault="0084406A">
            <w:pPr>
              <w:rPr>
                <w:rFonts w:ascii="宋体"/>
              </w:rPr>
            </w:pPr>
          </w:p>
        </w:tc>
        <w:tc>
          <w:tcPr>
            <w:tcW w:w="0" w:type="auto"/>
            <w:shd w:val="clear" w:color="auto" w:fill="auto"/>
            <w:vAlign w:val="bottom"/>
          </w:tcPr>
          <w:p w14:paraId="5902B5B2" w14:textId="77777777" w:rsidR="0084406A" w:rsidRDefault="0084406A">
            <w:pPr>
              <w:rPr>
                <w:rFonts w:ascii="宋体"/>
              </w:rPr>
            </w:pPr>
          </w:p>
        </w:tc>
      </w:tr>
      <w:tr w:rsidR="0084406A" w14:paraId="5902B5C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B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B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B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B7" w14:textId="77777777" w:rsidR="0084406A" w:rsidRDefault="0084406A">
            <w:pPr>
              <w:rPr>
                <w:rFonts w:ascii="宋体"/>
              </w:rPr>
            </w:pPr>
          </w:p>
        </w:tc>
        <w:tc>
          <w:tcPr>
            <w:tcW w:w="0" w:type="auto"/>
            <w:shd w:val="clear" w:color="auto" w:fill="auto"/>
            <w:vAlign w:val="bottom"/>
          </w:tcPr>
          <w:p w14:paraId="5902B5B8" w14:textId="77777777" w:rsidR="0084406A" w:rsidRDefault="0084406A">
            <w:pPr>
              <w:rPr>
                <w:rFonts w:ascii="宋体"/>
              </w:rPr>
            </w:pPr>
          </w:p>
        </w:tc>
        <w:tc>
          <w:tcPr>
            <w:tcW w:w="0" w:type="auto"/>
            <w:shd w:val="clear" w:color="auto" w:fill="auto"/>
            <w:vAlign w:val="bottom"/>
          </w:tcPr>
          <w:p w14:paraId="5902B5B9" w14:textId="77777777" w:rsidR="0084406A" w:rsidRDefault="0084406A">
            <w:pPr>
              <w:rPr>
                <w:rFonts w:ascii="宋体"/>
              </w:rPr>
            </w:pPr>
          </w:p>
        </w:tc>
        <w:tc>
          <w:tcPr>
            <w:tcW w:w="0" w:type="auto"/>
            <w:shd w:val="clear" w:color="auto" w:fill="auto"/>
            <w:vAlign w:val="bottom"/>
          </w:tcPr>
          <w:p w14:paraId="5902B5BA" w14:textId="77777777" w:rsidR="0084406A" w:rsidRDefault="0084406A">
            <w:pPr>
              <w:rPr>
                <w:rFonts w:ascii="宋体"/>
              </w:rPr>
            </w:pPr>
          </w:p>
        </w:tc>
        <w:tc>
          <w:tcPr>
            <w:tcW w:w="0" w:type="auto"/>
            <w:shd w:val="clear" w:color="auto" w:fill="auto"/>
            <w:vAlign w:val="bottom"/>
          </w:tcPr>
          <w:p w14:paraId="5902B5BB" w14:textId="77777777" w:rsidR="0084406A" w:rsidRDefault="0084406A">
            <w:pPr>
              <w:rPr>
                <w:rFonts w:ascii="宋体"/>
              </w:rPr>
            </w:pPr>
          </w:p>
        </w:tc>
        <w:tc>
          <w:tcPr>
            <w:tcW w:w="0" w:type="auto"/>
            <w:shd w:val="clear" w:color="auto" w:fill="auto"/>
            <w:vAlign w:val="bottom"/>
          </w:tcPr>
          <w:p w14:paraId="5902B5BC" w14:textId="77777777" w:rsidR="0084406A" w:rsidRDefault="0084406A">
            <w:pPr>
              <w:rPr>
                <w:rFonts w:ascii="宋体"/>
              </w:rPr>
            </w:pPr>
          </w:p>
        </w:tc>
        <w:tc>
          <w:tcPr>
            <w:tcW w:w="0" w:type="auto"/>
            <w:shd w:val="clear" w:color="auto" w:fill="auto"/>
            <w:vAlign w:val="bottom"/>
          </w:tcPr>
          <w:p w14:paraId="5902B5BD" w14:textId="77777777" w:rsidR="0084406A" w:rsidRDefault="0084406A">
            <w:pPr>
              <w:rPr>
                <w:rFonts w:ascii="宋体"/>
              </w:rPr>
            </w:pPr>
          </w:p>
        </w:tc>
        <w:tc>
          <w:tcPr>
            <w:tcW w:w="0" w:type="auto"/>
            <w:shd w:val="clear" w:color="auto" w:fill="auto"/>
            <w:vAlign w:val="bottom"/>
          </w:tcPr>
          <w:p w14:paraId="5902B5BE" w14:textId="77777777" w:rsidR="0084406A" w:rsidRDefault="0084406A">
            <w:pPr>
              <w:rPr>
                <w:rFonts w:ascii="宋体"/>
              </w:rPr>
            </w:pPr>
          </w:p>
        </w:tc>
        <w:tc>
          <w:tcPr>
            <w:tcW w:w="0" w:type="auto"/>
            <w:shd w:val="clear" w:color="auto" w:fill="auto"/>
            <w:vAlign w:val="bottom"/>
          </w:tcPr>
          <w:p w14:paraId="5902B5BF" w14:textId="77777777" w:rsidR="0084406A" w:rsidRDefault="0084406A">
            <w:pPr>
              <w:rPr>
                <w:rFonts w:ascii="宋体"/>
              </w:rPr>
            </w:pPr>
          </w:p>
        </w:tc>
        <w:tc>
          <w:tcPr>
            <w:tcW w:w="0" w:type="auto"/>
            <w:shd w:val="clear" w:color="auto" w:fill="auto"/>
            <w:vAlign w:val="bottom"/>
          </w:tcPr>
          <w:p w14:paraId="5902B5C0" w14:textId="77777777" w:rsidR="0084406A" w:rsidRDefault="0084406A">
            <w:pPr>
              <w:rPr>
                <w:rFonts w:ascii="宋体"/>
              </w:rPr>
            </w:pPr>
          </w:p>
        </w:tc>
        <w:tc>
          <w:tcPr>
            <w:tcW w:w="0" w:type="auto"/>
            <w:shd w:val="clear" w:color="auto" w:fill="auto"/>
            <w:vAlign w:val="bottom"/>
          </w:tcPr>
          <w:p w14:paraId="5902B5C1" w14:textId="77777777" w:rsidR="0084406A" w:rsidRDefault="0084406A">
            <w:pPr>
              <w:rPr>
                <w:rFonts w:ascii="宋体"/>
              </w:rPr>
            </w:pPr>
          </w:p>
        </w:tc>
        <w:tc>
          <w:tcPr>
            <w:tcW w:w="0" w:type="auto"/>
            <w:shd w:val="clear" w:color="auto" w:fill="auto"/>
            <w:vAlign w:val="bottom"/>
          </w:tcPr>
          <w:p w14:paraId="5902B5C2" w14:textId="77777777" w:rsidR="0084406A" w:rsidRDefault="0084406A">
            <w:pPr>
              <w:rPr>
                <w:rFonts w:ascii="宋体"/>
              </w:rPr>
            </w:pPr>
          </w:p>
        </w:tc>
        <w:tc>
          <w:tcPr>
            <w:tcW w:w="0" w:type="auto"/>
            <w:shd w:val="clear" w:color="auto" w:fill="auto"/>
            <w:vAlign w:val="bottom"/>
          </w:tcPr>
          <w:p w14:paraId="5902B5C3" w14:textId="77777777" w:rsidR="0084406A" w:rsidRDefault="0084406A">
            <w:pPr>
              <w:rPr>
                <w:rFonts w:ascii="宋体"/>
              </w:rPr>
            </w:pPr>
          </w:p>
        </w:tc>
      </w:tr>
      <w:tr w:rsidR="0084406A" w14:paraId="5902B5D5" w14:textId="77777777">
        <w:trPr>
          <w:jc w:val="center"/>
        </w:trPr>
        <w:tc>
          <w:tcPr>
            <w:tcW w:w="0" w:type="auto"/>
            <w:gridSpan w:val="3"/>
            <w:shd w:val="clear" w:color="auto" w:fill="auto"/>
            <w:tcMar>
              <w:top w:w="0" w:type="dxa"/>
              <w:left w:w="20" w:type="dxa"/>
              <w:bottom w:w="0" w:type="dxa"/>
              <w:right w:w="20" w:type="dxa"/>
            </w:tcMar>
            <w:vAlign w:val="bottom"/>
          </w:tcPr>
          <w:p w14:paraId="5902B5C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C6" w14:textId="77777777" w:rsidR="0084406A" w:rsidRDefault="002B18AF">
            <w:pPr>
              <w:jc w:val="right"/>
              <w:textAlignment w:val="top"/>
            </w:pPr>
            <w:r>
              <w:rPr>
                <w:rFonts w:ascii="Arial" w:eastAsia="宋体" w:hAnsi="Arial" w:cs="Arial"/>
                <w:color w:val="000000"/>
                <w:sz w:val="20"/>
                <w:szCs w:val="20"/>
              </w:rPr>
              <w:t>4.3</w:t>
            </w:r>
          </w:p>
        </w:tc>
        <w:tc>
          <w:tcPr>
            <w:tcW w:w="0" w:type="auto"/>
            <w:gridSpan w:val="3"/>
            <w:shd w:val="clear" w:color="auto" w:fill="auto"/>
            <w:tcMar>
              <w:top w:w="0" w:type="dxa"/>
              <w:left w:w="20" w:type="dxa"/>
              <w:bottom w:w="0" w:type="dxa"/>
              <w:right w:w="20" w:type="dxa"/>
            </w:tcMar>
            <w:vAlign w:val="bottom"/>
          </w:tcPr>
          <w:p w14:paraId="5902B5C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C8" w14:textId="77777777" w:rsidR="0084406A" w:rsidRDefault="002B18AF">
            <w:pPr>
              <w:textAlignment w:val="top"/>
            </w:pPr>
            <w:hyperlink r:id="rId103" w:history="1">
              <w:r>
                <w:rPr>
                  <w:rStyle w:val="a5"/>
                  <w:rFonts w:ascii="Arial" w:eastAsia="宋体" w:hAnsi="Arial" w:cs="Arial"/>
                  <w:sz w:val="20"/>
                  <w:szCs w:val="20"/>
                </w:rPr>
                <w:t>Indenture by and among Advanced Micro Devices, Inc. and Wells Fargo Bank N.A., dated September 14, 2016, filed as Exhibit 4.1 to AMD's Current Report on Form 8-K d</w:t>
              </w:r>
              <w:r>
                <w:rPr>
                  <w:rStyle w:val="a5"/>
                  <w:rFonts w:ascii="Arial" w:eastAsia="宋体" w:hAnsi="Arial" w:cs="Arial"/>
                  <w:sz w:val="20"/>
                  <w:szCs w:val="20"/>
                </w:rPr>
                <w:t>ated September 14, 2016, is hereby incorporated by reference.</w:t>
              </w:r>
            </w:hyperlink>
          </w:p>
        </w:tc>
        <w:tc>
          <w:tcPr>
            <w:tcW w:w="0" w:type="auto"/>
            <w:shd w:val="clear" w:color="auto" w:fill="auto"/>
            <w:vAlign w:val="bottom"/>
          </w:tcPr>
          <w:p w14:paraId="5902B5C9" w14:textId="77777777" w:rsidR="0084406A" w:rsidRDefault="0084406A">
            <w:pPr>
              <w:rPr>
                <w:rFonts w:ascii="宋体"/>
              </w:rPr>
            </w:pPr>
          </w:p>
        </w:tc>
        <w:tc>
          <w:tcPr>
            <w:tcW w:w="0" w:type="auto"/>
            <w:shd w:val="clear" w:color="auto" w:fill="auto"/>
            <w:vAlign w:val="bottom"/>
          </w:tcPr>
          <w:p w14:paraId="5902B5CA" w14:textId="77777777" w:rsidR="0084406A" w:rsidRDefault="0084406A">
            <w:pPr>
              <w:rPr>
                <w:rFonts w:ascii="宋体"/>
              </w:rPr>
            </w:pPr>
          </w:p>
        </w:tc>
        <w:tc>
          <w:tcPr>
            <w:tcW w:w="0" w:type="auto"/>
            <w:shd w:val="clear" w:color="auto" w:fill="auto"/>
            <w:vAlign w:val="bottom"/>
          </w:tcPr>
          <w:p w14:paraId="5902B5CB" w14:textId="77777777" w:rsidR="0084406A" w:rsidRDefault="0084406A">
            <w:pPr>
              <w:rPr>
                <w:rFonts w:ascii="宋体"/>
              </w:rPr>
            </w:pPr>
          </w:p>
        </w:tc>
        <w:tc>
          <w:tcPr>
            <w:tcW w:w="0" w:type="auto"/>
            <w:shd w:val="clear" w:color="auto" w:fill="auto"/>
            <w:vAlign w:val="bottom"/>
          </w:tcPr>
          <w:p w14:paraId="5902B5CC" w14:textId="77777777" w:rsidR="0084406A" w:rsidRDefault="0084406A">
            <w:pPr>
              <w:rPr>
                <w:rFonts w:ascii="宋体"/>
              </w:rPr>
            </w:pPr>
          </w:p>
        </w:tc>
        <w:tc>
          <w:tcPr>
            <w:tcW w:w="0" w:type="auto"/>
            <w:shd w:val="clear" w:color="auto" w:fill="auto"/>
            <w:vAlign w:val="bottom"/>
          </w:tcPr>
          <w:p w14:paraId="5902B5CD" w14:textId="77777777" w:rsidR="0084406A" w:rsidRDefault="0084406A">
            <w:pPr>
              <w:rPr>
                <w:rFonts w:ascii="宋体"/>
              </w:rPr>
            </w:pPr>
          </w:p>
        </w:tc>
        <w:tc>
          <w:tcPr>
            <w:tcW w:w="0" w:type="auto"/>
            <w:shd w:val="clear" w:color="auto" w:fill="auto"/>
            <w:vAlign w:val="bottom"/>
          </w:tcPr>
          <w:p w14:paraId="5902B5CE" w14:textId="77777777" w:rsidR="0084406A" w:rsidRDefault="0084406A">
            <w:pPr>
              <w:rPr>
                <w:rFonts w:ascii="宋体"/>
              </w:rPr>
            </w:pPr>
          </w:p>
        </w:tc>
        <w:tc>
          <w:tcPr>
            <w:tcW w:w="0" w:type="auto"/>
            <w:shd w:val="clear" w:color="auto" w:fill="auto"/>
            <w:vAlign w:val="bottom"/>
          </w:tcPr>
          <w:p w14:paraId="5902B5CF" w14:textId="77777777" w:rsidR="0084406A" w:rsidRDefault="0084406A">
            <w:pPr>
              <w:rPr>
                <w:rFonts w:ascii="宋体"/>
              </w:rPr>
            </w:pPr>
          </w:p>
        </w:tc>
        <w:tc>
          <w:tcPr>
            <w:tcW w:w="0" w:type="auto"/>
            <w:shd w:val="clear" w:color="auto" w:fill="auto"/>
            <w:vAlign w:val="bottom"/>
          </w:tcPr>
          <w:p w14:paraId="5902B5D0" w14:textId="77777777" w:rsidR="0084406A" w:rsidRDefault="0084406A">
            <w:pPr>
              <w:rPr>
                <w:rFonts w:ascii="宋体"/>
              </w:rPr>
            </w:pPr>
          </w:p>
        </w:tc>
        <w:tc>
          <w:tcPr>
            <w:tcW w:w="0" w:type="auto"/>
            <w:shd w:val="clear" w:color="auto" w:fill="auto"/>
            <w:vAlign w:val="bottom"/>
          </w:tcPr>
          <w:p w14:paraId="5902B5D1" w14:textId="77777777" w:rsidR="0084406A" w:rsidRDefault="0084406A">
            <w:pPr>
              <w:rPr>
                <w:rFonts w:ascii="宋体"/>
              </w:rPr>
            </w:pPr>
          </w:p>
        </w:tc>
        <w:tc>
          <w:tcPr>
            <w:tcW w:w="0" w:type="auto"/>
            <w:shd w:val="clear" w:color="auto" w:fill="auto"/>
            <w:vAlign w:val="bottom"/>
          </w:tcPr>
          <w:p w14:paraId="5902B5D2" w14:textId="77777777" w:rsidR="0084406A" w:rsidRDefault="0084406A">
            <w:pPr>
              <w:rPr>
                <w:rFonts w:ascii="宋体"/>
              </w:rPr>
            </w:pPr>
          </w:p>
        </w:tc>
        <w:tc>
          <w:tcPr>
            <w:tcW w:w="0" w:type="auto"/>
            <w:shd w:val="clear" w:color="auto" w:fill="auto"/>
            <w:vAlign w:val="bottom"/>
          </w:tcPr>
          <w:p w14:paraId="5902B5D3" w14:textId="77777777" w:rsidR="0084406A" w:rsidRDefault="0084406A">
            <w:pPr>
              <w:rPr>
                <w:rFonts w:ascii="宋体"/>
              </w:rPr>
            </w:pPr>
          </w:p>
        </w:tc>
        <w:tc>
          <w:tcPr>
            <w:tcW w:w="0" w:type="auto"/>
            <w:shd w:val="clear" w:color="auto" w:fill="auto"/>
            <w:vAlign w:val="bottom"/>
          </w:tcPr>
          <w:p w14:paraId="5902B5D4" w14:textId="77777777" w:rsidR="0084406A" w:rsidRDefault="0084406A">
            <w:pPr>
              <w:rPr>
                <w:rFonts w:ascii="宋体"/>
              </w:rPr>
            </w:pPr>
          </w:p>
        </w:tc>
      </w:tr>
      <w:tr w:rsidR="0084406A" w14:paraId="5902B5E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D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D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D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D9" w14:textId="77777777" w:rsidR="0084406A" w:rsidRDefault="0084406A">
            <w:pPr>
              <w:rPr>
                <w:rFonts w:ascii="宋体"/>
              </w:rPr>
            </w:pPr>
          </w:p>
        </w:tc>
        <w:tc>
          <w:tcPr>
            <w:tcW w:w="0" w:type="auto"/>
            <w:shd w:val="clear" w:color="auto" w:fill="auto"/>
            <w:vAlign w:val="bottom"/>
          </w:tcPr>
          <w:p w14:paraId="5902B5DA" w14:textId="77777777" w:rsidR="0084406A" w:rsidRDefault="0084406A">
            <w:pPr>
              <w:rPr>
                <w:rFonts w:ascii="宋体"/>
              </w:rPr>
            </w:pPr>
          </w:p>
        </w:tc>
        <w:tc>
          <w:tcPr>
            <w:tcW w:w="0" w:type="auto"/>
            <w:shd w:val="clear" w:color="auto" w:fill="auto"/>
            <w:vAlign w:val="bottom"/>
          </w:tcPr>
          <w:p w14:paraId="5902B5DB" w14:textId="77777777" w:rsidR="0084406A" w:rsidRDefault="0084406A">
            <w:pPr>
              <w:rPr>
                <w:rFonts w:ascii="宋体"/>
              </w:rPr>
            </w:pPr>
          </w:p>
        </w:tc>
        <w:tc>
          <w:tcPr>
            <w:tcW w:w="0" w:type="auto"/>
            <w:shd w:val="clear" w:color="auto" w:fill="auto"/>
            <w:vAlign w:val="bottom"/>
          </w:tcPr>
          <w:p w14:paraId="5902B5DC" w14:textId="77777777" w:rsidR="0084406A" w:rsidRDefault="0084406A">
            <w:pPr>
              <w:rPr>
                <w:rFonts w:ascii="宋体"/>
              </w:rPr>
            </w:pPr>
          </w:p>
        </w:tc>
        <w:tc>
          <w:tcPr>
            <w:tcW w:w="0" w:type="auto"/>
            <w:shd w:val="clear" w:color="auto" w:fill="auto"/>
            <w:vAlign w:val="bottom"/>
          </w:tcPr>
          <w:p w14:paraId="5902B5DD" w14:textId="77777777" w:rsidR="0084406A" w:rsidRDefault="0084406A">
            <w:pPr>
              <w:rPr>
                <w:rFonts w:ascii="宋体"/>
              </w:rPr>
            </w:pPr>
          </w:p>
        </w:tc>
        <w:tc>
          <w:tcPr>
            <w:tcW w:w="0" w:type="auto"/>
            <w:shd w:val="clear" w:color="auto" w:fill="auto"/>
            <w:vAlign w:val="bottom"/>
          </w:tcPr>
          <w:p w14:paraId="5902B5DE" w14:textId="77777777" w:rsidR="0084406A" w:rsidRDefault="0084406A">
            <w:pPr>
              <w:rPr>
                <w:rFonts w:ascii="宋体"/>
              </w:rPr>
            </w:pPr>
          </w:p>
        </w:tc>
        <w:tc>
          <w:tcPr>
            <w:tcW w:w="0" w:type="auto"/>
            <w:shd w:val="clear" w:color="auto" w:fill="auto"/>
            <w:vAlign w:val="bottom"/>
          </w:tcPr>
          <w:p w14:paraId="5902B5DF" w14:textId="77777777" w:rsidR="0084406A" w:rsidRDefault="0084406A">
            <w:pPr>
              <w:rPr>
                <w:rFonts w:ascii="宋体"/>
              </w:rPr>
            </w:pPr>
          </w:p>
        </w:tc>
        <w:tc>
          <w:tcPr>
            <w:tcW w:w="0" w:type="auto"/>
            <w:shd w:val="clear" w:color="auto" w:fill="auto"/>
            <w:vAlign w:val="bottom"/>
          </w:tcPr>
          <w:p w14:paraId="5902B5E0" w14:textId="77777777" w:rsidR="0084406A" w:rsidRDefault="0084406A">
            <w:pPr>
              <w:rPr>
                <w:rFonts w:ascii="宋体"/>
              </w:rPr>
            </w:pPr>
          </w:p>
        </w:tc>
        <w:tc>
          <w:tcPr>
            <w:tcW w:w="0" w:type="auto"/>
            <w:shd w:val="clear" w:color="auto" w:fill="auto"/>
            <w:vAlign w:val="bottom"/>
          </w:tcPr>
          <w:p w14:paraId="5902B5E1" w14:textId="77777777" w:rsidR="0084406A" w:rsidRDefault="0084406A">
            <w:pPr>
              <w:rPr>
                <w:rFonts w:ascii="宋体"/>
              </w:rPr>
            </w:pPr>
          </w:p>
        </w:tc>
        <w:tc>
          <w:tcPr>
            <w:tcW w:w="0" w:type="auto"/>
            <w:shd w:val="clear" w:color="auto" w:fill="auto"/>
            <w:vAlign w:val="bottom"/>
          </w:tcPr>
          <w:p w14:paraId="5902B5E2" w14:textId="77777777" w:rsidR="0084406A" w:rsidRDefault="0084406A">
            <w:pPr>
              <w:rPr>
                <w:rFonts w:ascii="宋体"/>
              </w:rPr>
            </w:pPr>
          </w:p>
        </w:tc>
        <w:tc>
          <w:tcPr>
            <w:tcW w:w="0" w:type="auto"/>
            <w:shd w:val="clear" w:color="auto" w:fill="auto"/>
            <w:vAlign w:val="bottom"/>
          </w:tcPr>
          <w:p w14:paraId="5902B5E3" w14:textId="77777777" w:rsidR="0084406A" w:rsidRDefault="0084406A">
            <w:pPr>
              <w:rPr>
                <w:rFonts w:ascii="宋体"/>
              </w:rPr>
            </w:pPr>
          </w:p>
        </w:tc>
        <w:tc>
          <w:tcPr>
            <w:tcW w:w="0" w:type="auto"/>
            <w:shd w:val="clear" w:color="auto" w:fill="auto"/>
            <w:vAlign w:val="bottom"/>
          </w:tcPr>
          <w:p w14:paraId="5902B5E4" w14:textId="77777777" w:rsidR="0084406A" w:rsidRDefault="0084406A">
            <w:pPr>
              <w:rPr>
                <w:rFonts w:ascii="宋体"/>
              </w:rPr>
            </w:pPr>
          </w:p>
        </w:tc>
        <w:tc>
          <w:tcPr>
            <w:tcW w:w="0" w:type="auto"/>
            <w:shd w:val="clear" w:color="auto" w:fill="auto"/>
            <w:vAlign w:val="bottom"/>
          </w:tcPr>
          <w:p w14:paraId="5902B5E5" w14:textId="77777777" w:rsidR="0084406A" w:rsidRDefault="0084406A">
            <w:pPr>
              <w:rPr>
                <w:rFonts w:ascii="宋体"/>
              </w:rPr>
            </w:pPr>
          </w:p>
        </w:tc>
      </w:tr>
      <w:tr w:rsidR="0084406A" w14:paraId="5902B5F7" w14:textId="77777777">
        <w:trPr>
          <w:jc w:val="center"/>
        </w:trPr>
        <w:tc>
          <w:tcPr>
            <w:tcW w:w="0" w:type="auto"/>
            <w:gridSpan w:val="3"/>
            <w:shd w:val="clear" w:color="auto" w:fill="auto"/>
            <w:tcMar>
              <w:top w:w="0" w:type="dxa"/>
              <w:left w:w="20" w:type="dxa"/>
              <w:bottom w:w="0" w:type="dxa"/>
              <w:right w:w="20" w:type="dxa"/>
            </w:tcMar>
            <w:vAlign w:val="bottom"/>
          </w:tcPr>
          <w:p w14:paraId="5902B5E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E8" w14:textId="77777777" w:rsidR="0084406A" w:rsidRDefault="002B18AF">
            <w:pPr>
              <w:jc w:val="right"/>
              <w:textAlignment w:val="top"/>
            </w:pPr>
            <w:r>
              <w:rPr>
                <w:rFonts w:ascii="Arial" w:eastAsia="宋体" w:hAnsi="Arial" w:cs="Arial"/>
                <w:color w:val="000000"/>
                <w:sz w:val="20"/>
                <w:szCs w:val="20"/>
              </w:rPr>
              <w:t>4.4</w:t>
            </w:r>
          </w:p>
        </w:tc>
        <w:tc>
          <w:tcPr>
            <w:tcW w:w="0" w:type="auto"/>
            <w:gridSpan w:val="3"/>
            <w:shd w:val="clear" w:color="auto" w:fill="auto"/>
            <w:tcMar>
              <w:top w:w="0" w:type="dxa"/>
              <w:left w:w="20" w:type="dxa"/>
              <w:bottom w:w="0" w:type="dxa"/>
              <w:right w:w="20" w:type="dxa"/>
            </w:tcMar>
            <w:vAlign w:val="bottom"/>
          </w:tcPr>
          <w:p w14:paraId="5902B5E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5EA" w14:textId="77777777" w:rsidR="0084406A" w:rsidRDefault="002B18AF">
            <w:pPr>
              <w:textAlignment w:val="top"/>
            </w:pPr>
            <w:hyperlink r:id="rId104" w:history="1">
              <w:r>
                <w:rPr>
                  <w:rStyle w:val="a5"/>
                  <w:rFonts w:ascii="Arial" w:eastAsia="宋体" w:hAnsi="Arial" w:cs="Arial"/>
                  <w:sz w:val="20"/>
                  <w:szCs w:val="20"/>
                </w:rPr>
                <w:t>First Supplemental Indenture governing 2.125% Convertible Senior Notes due 2026, including Form of 2.125% Note, between Advanced Micro Devices, Inc. and Wells Farg</w:t>
              </w:r>
              <w:r>
                <w:rPr>
                  <w:rStyle w:val="a5"/>
                  <w:rFonts w:ascii="Arial" w:eastAsia="宋体" w:hAnsi="Arial" w:cs="Arial"/>
                  <w:sz w:val="20"/>
                  <w:szCs w:val="20"/>
                </w:rPr>
                <w:t>o Bank, N.A. dated September 14, 2016, filed as Exhibit 4.2 to AMD's Current Report on Form 8-K dated September 14, 2016, is hereby incorporated by reference.</w:t>
              </w:r>
            </w:hyperlink>
          </w:p>
        </w:tc>
        <w:tc>
          <w:tcPr>
            <w:tcW w:w="0" w:type="auto"/>
            <w:shd w:val="clear" w:color="auto" w:fill="auto"/>
            <w:vAlign w:val="bottom"/>
          </w:tcPr>
          <w:p w14:paraId="5902B5EB" w14:textId="77777777" w:rsidR="0084406A" w:rsidRDefault="0084406A">
            <w:pPr>
              <w:rPr>
                <w:rFonts w:ascii="宋体"/>
              </w:rPr>
            </w:pPr>
          </w:p>
        </w:tc>
        <w:tc>
          <w:tcPr>
            <w:tcW w:w="0" w:type="auto"/>
            <w:shd w:val="clear" w:color="auto" w:fill="auto"/>
            <w:vAlign w:val="bottom"/>
          </w:tcPr>
          <w:p w14:paraId="5902B5EC" w14:textId="77777777" w:rsidR="0084406A" w:rsidRDefault="0084406A">
            <w:pPr>
              <w:rPr>
                <w:rFonts w:ascii="宋体"/>
              </w:rPr>
            </w:pPr>
          </w:p>
        </w:tc>
        <w:tc>
          <w:tcPr>
            <w:tcW w:w="0" w:type="auto"/>
            <w:shd w:val="clear" w:color="auto" w:fill="auto"/>
            <w:vAlign w:val="bottom"/>
          </w:tcPr>
          <w:p w14:paraId="5902B5ED" w14:textId="77777777" w:rsidR="0084406A" w:rsidRDefault="0084406A">
            <w:pPr>
              <w:rPr>
                <w:rFonts w:ascii="宋体"/>
              </w:rPr>
            </w:pPr>
          </w:p>
        </w:tc>
        <w:tc>
          <w:tcPr>
            <w:tcW w:w="0" w:type="auto"/>
            <w:shd w:val="clear" w:color="auto" w:fill="auto"/>
            <w:vAlign w:val="bottom"/>
          </w:tcPr>
          <w:p w14:paraId="5902B5EE" w14:textId="77777777" w:rsidR="0084406A" w:rsidRDefault="0084406A">
            <w:pPr>
              <w:rPr>
                <w:rFonts w:ascii="宋体"/>
              </w:rPr>
            </w:pPr>
          </w:p>
        </w:tc>
        <w:tc>
          <w:tcPr>
            <w:tcW w:w="0" w:type="auto"/>
            <w:shd w:val="clear" w:color="auto" w:fill="auto"/>
            <w:vAlign w:val="bottom"/>
          </w:tcPr>
          <w:p w14:paraId="5902B5EF" w14:textId="77777777" w:rsidR="0084406A" w:rsidRDefault="0084406A">
            <w:pPr>
              <w:rPr>
                <w:rFonts w:ascii="宋体"/>
              </w:rPr>
            </w:pPr>
          </w:p>
        </w:tc>
        <w:tc>
          <w:tcPr>
            <w:tcW w:w="0" w:type="auto"/>
            <w:shd w:val="clear" w:color="auto" w:fill="auto"/>
            <w:vAlign w:val="bottom"/>
          </w:tcPr>
          <w:p w14:paraId="5902B5F0" w14:textId="77777777" w:rsidR="0084406A" w:rsidRDefault="0084406A">
            <w:pPr>
              <w:rPr>
                <w:rFonts w:ascii="宋体"/>
              </w:rPr>
            </w:pPr>
          </w:p>
        </w:tc>
        <w:tc>
          <w:tcPr>
            <w:tcW w:w="0" w:type="auto"/>
            <w:shd w:val="clear" w:color="auto" w:fill="auto"/>
            <w:vAlign w:val="bottom"/>
          </w:tcPr>
          <w:p w14:paraId="5902B5F1" w14:textId="77777777" w:rsidR="0084406A" w:rsidRDefault="0084406A">
            <w:pPr>
              <w:rPr>
                <w:rFonts w:ascii="宋体"/>
              </w:rPr>
            </w:pPr>
          </w:p>
        </w:tc>
        <w:tc>
          <w:tcPr>
            <w:tcW w:w="0" w:type="auto"/>
            <w:shd w:val="clear" w:color="auto" w:fill="auto"/>
            <w:vAlign w:val="bottom"/>
          </w:tcPr>
          <w:p w14:paraId="5902B5F2" w14:textId="77777777" w:rsidR="0084406A" w:rsidRDefault="0084406A">
            <w:pPr>
              <w:rPr>
                <w:rFonts w:ascii="宋体"/>
              </w:rPr>
            </w:pPr>
          </w:p>
        </w:tc>
        <w:tc>
          <w:tcPr>
            <w:tcW w:w="0" w:type="auto"/>
            <w:shd w:val="clear" w:color="auto" w:fill="auto"/>
            <w:vAlign w:val="bottom"/>
          </w:tcPr>
          <w:p w14:paraId="5902B5F3" w14:textId="77777777" w:rsidR="0084406A" w:rsidRDefault="0084406A">
            <w:pPr>
              <w:rPr>
                <w:rFonts w:ascii="宋体"/>
              </w:rPr>
            </w:pPr>
          </w:p>
        </w:tc>
        <w:tc>
          <w:tcPr>
            <w:tcW w:w="0" w:type="auto"/>
            <w:shd w:val="clear" w:color="auto" w:fill="auto"/>
            <w:vAlign w:val="bottom"/>
          </w:tcPr>
          <w:p w14:paraId="5902B5F4" w14:textId="77777777" w:rsidR="0084406A" w:rsidRDefault="0084406A">
            <w:pPr>
              <w:rPr>
                <w:rFonts w:ascii="宋体"/>
              </w:rPr>
            </w:pPr>
          </w:p>
        </w:tc>
        <w:tc>
          <w:tcPr>
            <w:tcW w:w="0" w:type="auto"/>
            <w:shd w:val="clear" w:color="auto" w:fill="auto"/>
            <w:vAlign w:val="bottom"/>
          </w:tcPr>
          <w:p w14:paraId="5902B5F5" w14:textId="77777777" w:rsidR="0084406A" w:rsidRDefault="0084406A">
            <w:pPr>
              <w:rPr>
                <w:rFonts w:ascii="宋体"/>
              </w:rPr>
            </w:pPr>
          </w:p>
        </w:tc>
        <w:tc>
          <w:tcPr>
            <w:tcW w:w="0" w:type="auto"/>
            <w:shd w:val="clear" w:color="auto" w:fill="auto"/>
            <w:vAlign w:val="bottom"/>
          </w:tcPr>
          <w:p w14:paraId="5902B5F6" w14:textId="77777777" w:rsidR="0084406A" w:rsidRDefault="0084406A">
            <w:pPr>
              <w:rPr>
                <w:rFonts w:ascii="宋体"/>
              </w:rPr>
            </w:pPr>
          </w:p>
        </w:tc>
      </w:tr>
      <w:tr w:rsidR="0084406A" w14:paraId="5902B60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5F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F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F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5FB" w14:textId="77777777" w:rsidR="0084406A" w:rsidRDefault="0084406A">
            <w:pPr>
              <w:rPr>
                <w:rFonts w:ascii="宋体"/>
              </w:rPr>
            </w:pPr>
          </w:p>
        </w:tc>
        <w:tc>
          <w:tcPr>
            <w:tcW w:w="0" w:type="auto"/>
            <w:shd w:val="clear" w:color="auto" w:fill="auto"/>
            <w:vAlign w:val="bottom"/>
          </w:tcPr>
          <w:p w14:paraId="5902B5FC" w14:textId="77777777" w:rsidR="0084406A" w:rsidRDefault="0084406A">
            <w:pPr>
              <w:rPr>
                <w:rFonts w:ascii="宋体"/>
              </w:rPr>
            </w:pPr>
          </w:p>
        </w:tc>
        <w:tc>
          <w:tcPr>
            <w:tcW w:w="0" w:type="auto"/>
            <w:shd w:val="clear" w:color="auto" w:fill="auto"/>
            <w:vAlign w:val="bottom"/>
          </w:tcPr>
          <w:p w14:paraId="5902B5FD" w14:textId="77777777" w:rsidR="0084406A" w:rsidRDefault="0084406A">
            <w:pPr>
              <w:rPr>
                <w:rFonts w:ascii="宋体"/>
              </w:rPr>
            </w:pPr>
          </w:p>
        </w:tc>
        <w:tc>
          <w:tcPr>
            <w:tcW w:w="0" w:type="auto"/>
            <w:shd w:val="clear" w:color="auto" w:fill="auto"/>
            <w:vAlign w:val="bottom"/>
          </w:tcPr>
          <w:p w14:paraId="5902B5FE" w14:textId="77777777" w:rsidR="0084406A" w:rsidRDefault="0084406A">
            <w:pPr>
              <w:rPr>
                <w:rFonts w:ascii="宋体"/>
              </w:rPr>
            </w:pPr>
          </w:p>
        </w:tc>
        <w:tc>
          <w:tcPr>
            <w:tcW w:w="0" w:type="auto"/>
            <w:shd w:val="clear" w:color="auto" w:fill="auto"/>
            <w:vAlign w:val="bottom"/>
          </w:tcPr>
          <w:p w14:paraId="5902B5FF" w14:textId="77777777" w:rsidR="0084406A" w:rsidRDefault="0084406A">
            <w:pPr>
              <w:rPr>
                <w:rFonts w:ascii="宋体"/>
              </w:rPr>
            </w:pPr>
          </w:p>
        </w:tc>
        <w:tc>
          <w:tcPr>
            <w:tcW w:w="0" w:type="auto"/>
            <w:shd w:val="clear" w:color="auto" w:fill="auto"/>
            <w:vAlign w:val="bottom"/>
          </w:tcPr>
          <w:p w14:paraId="5902B600" w14:textId="77777777" w:rsidR="0084406A" w:rsidRDefault="0084406A">
            <w:pPr>
              <w:rPr>
                <w:rFonts w:ascii="宋体"/>
              </w:rPr>
            </w:pPr>
          </w:p>
        </w:tc>
        <w:tc>
          <w:tcPr>
            <w:tcW w:w="0" w:type="auto"/>
            <w:shd w:val="clear" w:color="auto" w:fill="auto"/>
            <w:vAlign w:val="bottom"/>
          </w:tcPr>
          <w:p w14:paraId="5902B601" w14:textId="77777777" w:rsidR="0084406A" w:rsidRDefault="0084406A">
            <w:pPr>
              <w:rPr>
                <w:rFonts w:ascii="宋体"/>
              </w:rPr>
            </w:pPr>
          </w:p>
        </w:tc>
        <w:tc>
          <w:tcPr>
            <w:tcW w:w="0" w:type="auto"/>
            <w:shd w:val="clear" w:color="auto" w:fill="auto"/>
            <w:vAlign w:val="bottom"/>
          </w:tcPr>
          <w:p w14:paraId="5902B602" w14:textId="77777777" w:rsidR="0084406A" w:rsidRDefault="0084406A">
            <w:pPr>
              <w:rPr>
                <w:rFonts w:ascii="宋体"/>
              </w:rPr>
            </w:pPr>
          </w:p>
        </w:tc>
        <w:tc>
          <w:tcPr>
            <w:tcW w:w="0" w:type="auto"/>
            <w:shd w:val="clear" w:color="auto" w:fill="auto"/>
            <w:vAlign w:val="bottom"/>
          </w:tcPr>
          <w:p w14:paraId="5902B603" w14:textId="77777777" w:rsidR="0084406A" w:rsidRDefault="0084406A">
            <w:pPr>
              <w:rPr>
                <w:rFonts w:ascii="宋体"/>
              </w:rPr>
            </w:pPr>
          </w:p>
        </w:tc>
        <w:tc>
          <w:tcPr>
            <w:tcW w:w="0" w:type="auto"/>
            <w:shd w:val="clear" w:color="auto" w:fill="auto"/>
            <w:vAlign w:val="bottom"/>
          </w:tcPr>
          <w:p w14:paraId="5902B604" w14:textId="77777777" w:rsidR="0084406A" w:rsidRDefault="0084406A">
            <w:pPr>
              <w:rPr>
                <w:rFonts w:ascii="宋体"/>
              </w:rPr>
            </w:pPr>
          </w:p>
        </w:tc>
        <w:tc>
          <w:tcPr>
            <w:tcW w:w="0" w:type="auto"/>
            <w:shd w:val="clear" w:color="auto" w:fill="auto"/>
            <w:vAlign w:val="bottom"/>
          </w:tcPr>
          <w:p w14:paraId="5902B605" w14:textId="77777777" w:rsidR="0084406A" w:rsidRDefault="0084406A">
            <w:pPr>
              <w:rPr>
                <w:rFonts w:ascii="宋体"/>
              </w:rPr>
            </w:pPr>
          </w:p>
        </w:tc>
        <w:tc>
          <w:tcPr>
            <w:tcW w:w="0" w:type="auto"/>
            <w:shd w:val="clear" w:color="auto" w:fill="auto"/>
            <w:vAlign w:val="bottom"/>
          </w:tcPr>
          <w:p w14:paraId="5902B606" w14:textId="77777777" w:rsidR="0084406A" w:rsidRDefault="0084406A">
            <w:pPr>
              <w:rPr>
                <w:rFonts w:ascii="宋体"/>
              </w:rPr>
            </w:pPr>
          </w:p>
        </w:tc>
        <w:tc>
          <w:tcPr>
            <w:tcW w:w="0" w:type="auto"/>
            <w:shd w:val="clear" w:color="auto" w:fill="auto"/>
            <w:vAlign w:val="bottom"/>
          </w:tcPr>
          <w:p w14:paraId="5902B607" w14:textId="77777777" w:rsidR="0084406A" w:rsidRDefault="0084406A">
            <w:pPr>
              <w:rPr>
                <w:rFonts w:ascii="宋体"/>
              </w:rPr>
            </w:pPr>
          </w:p>
        </w:tc>
      </w:tr>
    </w:tbl>
    <w:p w14:paraId="5902B609" w14:textId="77777777" w:rsidR="0084406A" w:rsidRDefault="002B18AF">
      <w:pPr>
        <w:jc w:val="center"/>
      </w:pPr>
      <w:r>
        <w:rPr>
          <w:rFonts w:ascii="Arial" w:eastAsia="宋体" w:hAnsi="Arial" w:cs="Arial"/>
          <w:color w:val="000000"/>
          <w:sz w:val="20"/>
          <w:szCs w:val="20"/>
        </w:rPr>
        <w:t>88</w:t>
      </w:r>
    </w:p>
    <w:p w14:paraId="5902B60A" w14:textId="77777777" w:rsidR="0084406A" w:rsidRDefault="002B18AF">
      <w:r>
        <w:pict w14:anchorId="5902BB4E">
          <v:rect id="_x0000_i1115" style="width:415.3pt;height:1.5pt" o:hralign="center" o:hrstd="t" o:hr="t" fillcolor="#a0a0a0" stroked="f"/>
        </w:pict>
      </w:r>
    </w:p>
    <w:p w14:paraId="5902B60B" w14:textId="77777777" w:rsidR="0084406A" w:rsidRDefault="0084406A"/>
    <w:tbl>
      <w:tblPr>
        <w:tblW w:w="4613" w:type="pct"/>
        <w:jc w:val="center"/>
        <w:tblCellMar>
          <w:top w:w="15" w:type="dxa"/>
          <w:left w:w="15" w:type="dxa"/>
          <w:bottom w:w="15" w:type="dxa"/>
          <w:right w:w="15" w:type="dxa"/>
        </w:tblCellMar>
        <w:tblLook w:val="04A0" w:firstRow="1" w:lastRow="0" w:firstColumn="1" w:lastColumn="0" w:noHBand="0" w:noVBand="1"/>
      </w:tblPr>
      <w:tblGrid>
        <w:gridCol w:w="56"/>
        <w:gridCol w:w="150"/>
        <w:gridCol w:w="36"/>
        <w:gridCol w:w="64"/>
        <w:gridCol w:w="728"/>
        <w:gridCol w:w="36"/>
        <w:gridCol w:w="36"/>
        <w:gridCol w:w="74"/>
        <w:gridCol w:w="36"/>
        <w:gridCol w:w="57"/>
        <w:gridCol w:w="6382"/>
        <w:gridCol w:w="36"/>
      </w:tblGrid>
      <w:tr w:rsidR="0084406A" w14:paraId="5902B618" w14:textId="77777777">
        <w:trPr>
          <w:jc w:val="center"/>
        </w:trPr>
        <w:tc>
          <w:tcPr>
            <w:tcW w:w="50" w:type="pct"/>
            <w:shd w:val="clear" w:color="auto" w:fill="auto"/>
            <w:vAlign w:val="bottom"/>
          </w:tcPr>
          <w:p w14:paraId="5902B60C" w14:textId="77777777" w:rsidR="0084406A" w:rsidRDefault="0084406A">
            <w:pPr>
              <w:rPr>
                <w:rFonts w:ascii="宋体"/>
              </w:rPr>
            </w:pPr>
          </w:p>
        </w:tc>
        <w:tc>
          <w:tcPr>
            <w:tcW w:w="111" w:type="pct"/>
            <w:shd w:val="clear" w:color="auto" w:fill="auto"/>
            <w:vAlign w:val="bottom"/>
          </w:tcPr>
          <w:p w14:paraId="5902B60D" w14:textId="77777777" w:rsidR="0084406A" w:rsidRDefault="0084406A">
            <w:pPr>
              <w:rPr>
                <w:rFonts w:ascii="宋体"/>
              </w:rPr>
            </w:pPr>
          </w:p>
        </w:tc>
        <w:tc>
          <w:tcPr>
            <w:tcW w:w="5" w:type="pct"/>
            <w:shd w:val="clear" w:color="auto" w:fill="auto"/>
            <w:vAlign w:val="bottom"/>
          </w:tcPr>
          <w:p w14:paraId="5902B60E" w14:textId="77777777" w:rsidR="0084406A" w:rsidRDefault="0084406A">
            <w:pPr>
              <w:rPr>
                <w:rFonts w:ascii="宋体"/>
              </w:rPr>
            </w:pPr>
          </w:p>
        </w:tc>
        <w:tc>
          <w:tcPr>
            <w:tcW w:w="50" w:type="pct"/>
            <w:shd w:val="clear" w:color="auto" w:fill="auto"/>
            <w:vAlign w:val="bottom"/>
          </w:tcPr>
          <w:p w14:paraId="5902B60F" w14:textId="77777777" w:rsidR="0084406A" w:rsidRDefault="0084406A">
            <w:pPr>
              <w:rPr>
                <w:rFonts w:ascii="宋体"/>
              </w:rPr>
            </w:pPr>
          </w:p>
        </w:tc>
        <w:tc>
          <w:tcPr>
            <w:tcW w:w="491" w:type="pct"/>
            <w:shd w:val="clear" w:color="auto" w:fill="auto"/>
            <w:vAlign w:val="bottom"/>
          </w:tcPr>
          <w:p w14:paraId="5902B610" w14:textId="77777777" w:rsidR="0084406A" w:rsidRDefault="0084406A">
            <w:pPr>
              <w:rPr>
                <w:rFonts w:ascii="宋体"/>
              </w:rPr>
            </w:pPr>
          </w:p>
        </w:tc>
        <w:tc>
          <w:tcPr>
            <w:tcW w:w="5" w:type="pct"/>
            <w:shd w:val="clear" w:color="auto" w:fill="auto"/>
            <w:vAlign w:val="bottom"/>
          </w:tcPr>
          <w:p w14:paraId="5902B611" w14:textId="77777777" w:rsidR="0084406A" w:rsidRDefault="0084406A">
            <w:pPr>
              <w:rPr>
                <w:rFonts w:ascii="宋体"/>
              </w:rPr>
            </w:pPr>
          </w:p>
        </w:tc>
        <w:tc>
          <w:tcPr>
            <w:tcW w:w="5" w:type="pct"/>
            <w:shd w:val="clear" w:color="auto" w:fill="auto"/>
            <w:vAlign w:val="bottom"/>
          </w:tcPr>
          <w:p w14:paraId="5902B612" w14:textId="77777777" w:rsidR="0084406A" w:rsidRDefault="0084406A">
            <w:pPr>
              <w:rPr>
                <w:rFonts w:ascii="宋体"/>
              </w:rPr>
            </w:pPr>
          </w:p>
        </w:tc>
        <w:tc>
          <w:tcPr>
            <w:tcW w:w="61" w:type="pct"/>
            <w:shd w:val="clear" w:color="auto" w:fill="auto"/>
            <w:vAlign w:val="bottom"/>
          </w:tcPr>
          <w:p w14:paraId="5902B613" w14:textId="77777777" w:rsidR="0084406A" w:rsidRDefault="0084406A">
            <w:pPr>
              <w:rPr>
                <w:rFonts w:ascii="宋体"/>
              </w:rPr>
            </w:pPr>
          </w:p>
        </w:tc>
        <w:tc>
          <w:tcPr>
            <w:tcW w:w="5" w:type="pct"/>
            <w:shd w:val="clear" w:color="auto" w:fill="auto"/>
            <w:vAlign w:val="bottom"/>
          </w:tcPr>
          <w:p w14:paraId="5902B614" w14:textId="77777777" w:rsidR="0084406A" w:rsidRDefault="0084406A">
            <w:pPr>
              <w:rPr>
                <w:rFonts w:ascii="宋体"/>
              </w:rPr>
            </w:pPr>
          </w:p>
        </w:tc>
        <w:tc>
          <w:tcPr>
            <w:tcW w:w="50" w:type="pct"/>
            <w:shd w:val="clear" w:color="auto" w:fill="auto"/>
            <w:vAlign w:val="bottom"/>
          </w:tcPr>
          <w:p w14:paraId="5902B615" w14:textId="77777777" w:rsidR="0084406A" w:rsidRDefault="0084406A">
            <w:pPr>
              <w:rPr>
                <w:rFonts w:ascii="宋体"/>
              </w:rPr>
            </w:pPr>
          </w:p>
        </w:tc>
        <w:tc>
          <w:tcPr>
            <w:tcW w:w="4160" w:type="pct"/>
            <w:shd w:val="clear" w:color="auto" w:fill="auto"/>
            <w:vAlign w:val="bottom"/>
          </w:tcPr>
          <w:p w14:paraId="5902B616" w14:textId="77777777" w:rsidR="0084406A" w:rsidRDefault="0084406A">
            <w:pPr>
              <w:rPr>
                <w:rFonts w:ascii="宋体"/>
              </w:rPr>
            </w:pPr>
          </w:p>
        </w:tc>
        <w:tc>
          <w:tcPr>
            <w:tcW w:w="5" w:type="pct"/>
            <w:shd w:val="clear" w:color="auto" w:fill="auto"/>
            <w:vAlign w:val="bottom"/>
          </w:tcPr>
          <w:p w14:paraId="5902B617" w14:textId="77777777" w:rsidR="0084406A" w:rsidRDefault="0084406A">
            <w:pPr>
              <w:rPr>
                <w:rFonts w:ascii="宋体"/>
              </w:rPr>
            </w:pPr>
          </w:p>
        </w:tc>
      </w:tr>
      <w:tr w:rsidR="0084406A" w14:paraId="5902B61D" w14:textId="77777777">
        <w:trPr>
          <w:jc w:val="center"/>
        </w:trPr>
        <w:tc>
          <w:tcPr>
            <w:tcW w:w="0" w:type="auto"/>
            <w:gridSpan w:val="3"/>
            <w:shd w:val="clear" w:color="auto" w:fill="auto"/>
            <w:tcMar>
              <w:top w:w="0" w:type="dxa"/>
              <w:left w:w="20" w:type="dxa"/>
              <w:bottom w:w="0" w:type="dxa"/>
              <w:right w:w="20" w:type="dxa"/>
            </w:tcMar>
            <w:vAlign w:val="bottom"/>
          </w:tcPr>
          <w:p w14:paraId="5902B61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1A" w14:textId="77777777" w:rsidR="0084406A" w:rsidRDefault="002B18AF">
            <w:pPr>
              <w:jc w:val="right"/>
              <w:textAlignment w:val="top"/>
            </w:pPr>
            <w:r>
              <w:rPr>
                <w:rFonts w:ascii="Arial" w:eastAsia="宋体" w:hAnsi="Arial" w:cs="Arial"/>
                <w:color w:val="000000"/>
                <w:sz w:val="20"/>
                <w:szCs w:val="20"/>
              </w:rPr>
              <w:t>4.5</w:t>
            </w:r>
          </w:p>
        </w:tc>
        <w:tc>
          <w:tcPr>
            <w:tcW w:w="0" w:type="auto"/>
            <w:gridSpan w:val="3"/>
            <w:shd w:val="clear" w:color="auto" w:fill="auto"/>
            <w:tcMar>
              <w:top w:w="0" w:type="dxa"/>
              <w:left w:w="20" w:type="dxa"/>
              <w:bottom w:w="0" w:type="dxa"/>
              <w:right w:w="20" w:type="dxa"/>
            </w:tcMar>
            <w:vAlign w:val="bottom"/>
          </w:tcPr>
          <w:p w14:paraId="5902B61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1C" w14:textId="77777777" w:rsidR="0084406A" w:rsidRDefault="002B18AF">
            <w:pPr>
              <w:textAlignment w:val="top"/>
            </w:pPr>
            <w:hyperlink r:id="rId105" w:history="1">
              <w:r>
                <w:rPr>
                  <w:rStyle w:val="a5"/>
                  <w:rFonts w:ascii="Arial" w:eastAsia="宋体" w:hAnsi="Arial" w:cs="Arial"/>
                  <w:sz w:val="20"/>
                  <w:szCs w:val="20"/>
                </w:rPr>
                <w:t>First Supplemental Indenture by and among Advanced Micro Devices, Inc. and Wells Fargo Bank N.A., dated September 23, 2016, filed as Exhibit 4.1 to A</w:t>
              </w:r>
              <w:r>
                <w:rPr>
                  <w:rStyle w:val="a5"/>
                  <w:rFonts w:ascii="Arial" w:eastAsia="宋体" w:hAnsi="Arial" w:cs="Arial"/>
                  <w:sz w:val="20"/>
                  <w:szCs w:val="20"/>
                </w:rPr>
                <w:t>MD's Quarterly Report on Form 10-Q for the fiscal quarter ended September 24, 2016, is hereby incorporated by reference.</w:t>
              </w:r>
            </w:hyperlink>
          </w:p>
        </w:tc>
      </w:tr>
      <w:tr w:rsidR="0084406A" w14:paraId="5902B62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1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1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2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21" w14:textId="77777777" w:rsidR="0084406A" w:rsidRDefault="0084406A">
            <w:pPr>
              <w:rPr>
                <w:rFonts w:ascii="宋体"/>
              </w:rPr>
            </w:pPr>
          </w:p>
        </w:tc>
      </w:tr>
      <w:tr w:rsidR="0084406A" w14:paraId="5902B627" w14:textId="77777777">
        <w:trPr>
          <w:jc w:val="center"/>
        </w:trPr>
        <w:tc>
          <w:tcPr>
            <w:tcW w:w="0" w:type="auto"/>
            <w:gridSpan w:val="3"/>
            <w:shd w:val="clear" w:color="auto" w:fill="auto"/>
            <w:tcMar>
              <w:top w:w="0" w:type="dxa"/>
              <w:left w:w="20" w:type="dxa"/>
              <w:bottom w:w="0" w:type="dxa"/>
              <w:right w:w="20" w:type="dxa"/>
            </w:tcMar>
            <w:vAlign w:val="bottom"/>
          </w:tcPr>
          <w:p w14:paraId="5902B62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24" w14:textId="77777777" w:rsidR="0084406A" w:rsidRDefault="002B18AF">
            <w:pPr>
              <w:jc w:val="right"/>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vAlign w:val="bottom"/>
          </w:tcPr>
          <w:p w14:paraId="5902B62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26" w14:textId="77777777" w:rsidR="0084406A" w:rsidRDefault="002B18AF">
            <w:pPr>
              <w:textAlignment w:val="top"/>
            </w:pPr>
            <w:hyperlink r:id="rId106" w:history="1">
              <w:r>
                <w:rPr>
                  <w:rStyle w:val="a5"/>
                  <w:rFonts w:ascii="Arial" w:eastAsia="宋体" w:hAnsi="Arial" w:cs="Arial"/>
                  <w:sz w:val="20"/>
                  <w:szCs w:val="20"/>
                </w:rPr>
                <w:t>2011 Executive Incentive Plan, filed as Exhibit 10.2 to AMD’s Quarterly Report on Form 10-Q for the period ended April 2, 2011, is hereby incorporated by reference.</w:t>
              </w:r>
            </w:hyperlink>
          </w:p>
        </w:tc>
      </w:tr>
      <w:tr w:rsidR="0084406A" w14:paraId="5902B62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2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2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2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2B" w14:textId="77777777" w:rsidR="0084406A" w:rsidRDefault="0084406A">
            <w:pPr>
              <w:rPr>
                <w:rFonts w:ascii="宋体"/>
              </w:rPr>
            </w:pPr>
          </w:p>
        </w:tc>
      </w:tr>
      <w:tr w:rsidR="0084406A" w14:paraId="5902B631" w14:textId="77777777">
        <w:trPr>
          <w:jc w:val="center"/>
        </w:trPr>
        <w:tc>
          <w:tcPr>
            <w:tcW w:w="0" w:type="auto"/>
            <w:gridSpan w:val="3"/>
            <w:shd w:val="clear" w:color="auto" w:fill="auto"/>
            <w:tcMar>
              <w:top w:w="0" w:type="dxa"/>
              <w:left w:w="20" w:type="dxa"/>
              <w:bottom w:w="0" w:type="dxa"/>
              <w:right w:w="20" w:type="dxa"/>
            </w:tcMar>
            <w:vAlign w:val="bottom"/>
          </w:tcPr>
          <w:p w14:paraId="5902B62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2E" w14:textId="77777777" w:rsidR="0084406A" w:rsidRDefault="002B18AF">
            <w:pPr>
              <w:jc w:val="right"/>
              <w:textAlignment w:val="top"/>
            </w:pPr>
            <w:r>
              <w:rPr>
                <w:rFonts w:ascii="Arial" w:eastAsia="宋体" w:hAnsi="Arial" w:cs="Arial"/>
                <w:color w:val="000000"/>
                <w:sz w:val="20"/>
                <w:szCs w:val="20"/>
              </w:rPr>
              <w:t>*10.2</w:t>
            </w:r>
          </w:p>
        </w:tc>
        <w:tc>
          <w:tcPr>
            <w:tcW w:w="0" w:type="auto"/>
            <w:gridSpan w:val="3"/>
            <w:shd w:val="clear" w:color="auto" w:fill="auto"/>
            <w:tcMar>
              <w:top w:w="0" w:type="dxa"/>
              <w:left w:w="20" w:type="dxa"/>
              <w:bottom w:w="0" w:type="dxa"/>
              <w:right w:w="20" w:type="dxa"/>
            </w:tcMar>
            <w:vAlign w:val="bottom"/>
          </w:tcPr>
          <w:p w14:paraId="5902B62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630" w14:textId="77777777" w:rsidR="0084406A" w:rsidRDefault="002B18AF">
            <w:pPr>
              <w:textAlignment w:val="bottom"/>
            </w:pPr>
            <w:hyperlink r:id="rId107" w:history="1">
              <w:r>
                <w:rPr>
                  <w:rStyle w:val="a5"/>
                  <w:rFonts w:ascii="Arial" w:eastAsia="宋体" w:hAnsi="Arial" w:cs="Arial"/>
                  <w:sz w:val="20"/>
                  <w:szCs w:val="20"/>
                </w:rPr>
                <w:t xml:space="preserve">SeaMicro, Inc. Amended and Restated 2007 Equity Incentive Plan, filed as Exhibit 10.1 on AMD’s Registration Statement on Form S-8, filed with </w:t>
              </w:r>
              <w:r>
                <w:rPr>
                  <w:rStyle w:val="a5"/>
                  <w:rFonts w:ascii="Arial" w:eastAsia="宋体" w:hAnsi="Arial" w:cs="Arial"/>
                  <w:sz w:val="20"/>
                  <w:szCs w:val="20"/>
                </w:rPr>
                <w:t>the SEC on March 23, 2012, is hereby incorporated by reference.</w:t>
              </w:r>
            </w:hyperlink>
          </w:p>
        </w:tc>
      </w:tr>
      <w:tr w:rsidR="0084406A" w14:paraId="5902B63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3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5" w14:textId="77777777" w:rsidR="0084406A" w:rsidRDefault="0084406A">
            <w:pPr>
              <w:rPr>
                <w:rFonts w:ascii="宋体"/>
              </w:rPr>
            </w:pPr>
          </w:p>
        </w:tc>
      </w:tr>
      <w:tr w:rsidR="0084406A" w14:paraId="5902B63B" w14:textId="77777777">
        <w:trPr>
          <w:jc w:val="center"/>
        </w:trPr>
        <w:tc>
          <w:tcPr>
            <w:tcW w:w="0" w:type="auto"/>
            <w:gridSpan w:val="3"/>
            <w:shd w:val="clear" w:color="auto" w:fill="auto"/>
            <w:tcMar>
              <w:top w:w="0" w:type="dxa"/>
              <w:left w:w="20" w:type="dxa"/>
              <w:bottom w:w="0" w:type="dxa"/>
              <w:right w:w="20" w:type="dxa"/>
            </w:tcMar>
            <w:vAlign w:val="bottom"/>
          </w:tcPr>
          <w:p w14:paraId="5902B63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38" w14:textId="77777777" w:rsidR="0084406A" w:rsidRDefault="002B18AF">
            <w:pPr>
              <w:jc w:val="right"/>
              <w:textAlignment w:val="top"/>
            </w:pPr>
            <w:r>
              <w:rPr>
                <w:rFonts w:ascii="Arial" w:eastAsia="宋体" w:hAnsi="Arial" w:cs="Arial"/>
                <w:color w:val="000000"/>
                <w:sz w:val="20"/>
                <w:szCs w:val="20"/>
              </w:rPr>
              <w:t>*10.3</w:t>
            </w:r>
          </w:p>
        </w:tc>
        <w:tc>
          <w:tcPr>
            <w:tcW w:w="0" w:type="auto"/>
            <w:gridSpan w:val="3"/>
            <w:shd w:val="clear" w:color="auto" w:fill="auto"/>
            <w:tcMar>
              <w:top w:w="0" w:type="dxa"/>
              <w:left w:w="20" w:type="dxa"/>
              <w:bottom w:w="0" w:type="dxa"/>
              <w:right w:w="20" w:type="dxa"/>
            </w:tcMar>
            <w:vAlign w:val="bottom"/>
          </w:tcPr>
          <w:p w14:paraId="5902B63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3A" w14:textId="77777777" w:rsidR="0084406A" w:rsidRDefault="002B18AF">
            <w:pPr>
              <w:textAlignment w:val="top"/>
            </w:pPr>
            <w:hyperlink r:id="rId108" w:history="1">
              <w:r>
                <w:rPr>
                  <w:rStyle w:val="a5"/>
                  <w:rFonts w:ascii="Arial" w:eastAsia="宋体" w:hAnsi="Arial" w:cs="Arial"/>
                  <w:sz w:val="20"/>
                  <w:szCs w:val="20"/>
                </w:rPr>
                <w:t>AMD Executive Severance Plan and Summary Plan Description for Senior Vice Presidents, effective June 1, 2013, filed as Exhibit 10.1 to AMD’s Current Report on For</w:t>
              </w:r>
              <w:r>
                <w:rPr>
                  <w:rStyle w:val="a5"/>
                  <w:rFonts w:ascii="Arial" w:eastAsia="宋体" w:hAnsi="Arial" w:cs="Arial"/>
                  <w:sz w:val="20"/>
                  <w:szCs w:val="20"/>
                </w:rPr>
                <w:t>m 8-K dated June 7, 2013, is hereby incorporated by reference.</w:t>
              </w:r>
            </w:hyperlink>
          </w:p>
        </w:tc>
      </w:tr>
      <w:tr w:rsidR="0084406A" w14:paraId="5902B64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3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3F" w14:textId="77777777" w:rsidR="0084406A" w:rsidRDefault="0084406A">
            <w:pPr>
              <w:rPr>
                <w:rFonts w:ascii="宋体"/>
              </w:rPr>
            </w:pPr>
          </w:p>
        </w:tc>
      </w:tr>
      <w:tr w:rsidR="0084406A" w14:paraId="5902B645" w14:textId="77777777">
        <w:trPr>
          <w:jc w:val="center"/>
        </w:trPr>
        <w:tc>
          <w:tcPr>
            <w:tcW w:w="0" w:type="auto"/>
            <w:gridSpan w:val="3"/>
            <w:shd w:val="clear" w:color="auto" w:fill="auto"/>
            <w:tcMar>
              <w:top w:w="0" w:type="dxa"/>
              <w:left w:w="20" w:type="dxa"/>
              <w:bottom w:w="0" w:type="dxa"/>
              <w:right w:w="20" w:type="dxa"/>
            </w:tcMar>
            <w:vAlign w:val="bottom"/>
          </w:tcPr>
          <w:p w14:paraId="5902B64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42" w14:textId="77777777" w:rsidR="0084406A" w:rsidRDefault="002B18AF">
            <w:pPr>
              <w:jc w:val="right"/>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5902B64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44" w14:textId="77777777" w:rsidR="0084406A" w:rsidRDefault="002B18AF">
            <w:pPr>
              <w:textAlignment w:val="top"/>
            </w:pPr>
            <w:hyperlink r:id="rId109" w:history="1">
              <w:r>
                <w:rPr>
                  <w:rStyle w:val="a5"/>
                  <w:rFonts w:ascii="Arial" w:eastAsia="宋体" w:hAnsi="Arial" w:cs="Arial"/>
                  <w:sz w:val="20"/>
                  <w:szCs w:val="20"/>
                </w:rPr>
                <w:t xml:space="preserve">AMD Deferred Income Account Plan, as amended and restated, effective January 1, </w:t>
              </w:r>
              <w:r>
                <w:rPr>
                  <w:rStyle w:val="a5"/>
                  <w:rFonts w:ascii="Arial" w:eastAsia="宋体" w:hAnsi="Arial" w:cs="Arial"/>
                  <w:sz w:val="20"/>
                  <w:szCs w:val="20"/>
                </w:rPr>
                <w:t>2008, filed as Exhibit 10.18 to AMD’s Annual Report on Form 10-K for the fiscal year ended December 29, 2007, is hereby incorporated by reference.</w:t>
              </w:r>
            </w:hyperlink>
          </w:p>
        </w:tc>
      </w:tr>
      <w:tr w:rsidR="0084406A" w14:paraId="5902B64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4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4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4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49" w14:textId="77777777" w:rsidR="0084406A" w:rsidRDefault="0084406A">
            <w:pPr>
              <w:rPr>
                <w:rFonts w:ascii="宋体"/>
              </w:rPr>
            </w:pPr>
          </w:p>
        </w:tc>
      </w:tr>
      <w:tr w:rsidR="0084406A" w14:paraId="5902B64F" w14:textId="77777777">
        <w:trPr>
          <w:jc w:val="center"/>
        </w:trPr>
        <w:tc>
          <w:tcPr>
            <w:tcW w:w="0" w:type="auto"/>
            <w:gridSpan w:val="3"/>
            <w:shd w:val="clear" w:color="auto" w:fill="auto"/>
            <w:tcMar>
              <w:top w:w="0" w:type="dxa"/>
              <w:left w:w="20" w:type="dxa"/>
              <w:bottom w:w="0" w:type="dxa"/>
              <w:right w:w="20" w:type="dxa"/>
            </w:tcMar>
            <w:vAlign w:val="bottom"/>
          </w:tcPr>
          <w:p w14:paraId="5902B64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4C" w14:textId="77777777" w:rsidR="0084406A" w:rsidRDefault="002B18AF">
            <w:pPr>
              <w:jc w:val="right"/>
              <w:textAlignment w:val="top"/>
            </w:pPr>
            <w:r>
              <w:rPr>
                <w:rFonts w:ascii="Arial" w:eastAsia="宋体" w:hAnsi="Arial" w:cs="Arial"/>
                <w:color w:val="000000"/>
                <w:sz w:val="20"/>
                <w:szCs w:val="20"/>
              </w:rPr>
              <w:t>*10.5</w:t>
            </w:r>
          </w:p>
        </w:tc>
        <w:tc>
          <w:tcPr>
            <w:tcW w:w="0" w:type="auto"/>
            <w:gridSpan w:val="3"/>
            <w:shd w:val="clear" w:color="auto" w:fill="auto"/>
            <w:tcMar>
              <w:top w:w="0" w:type="dxa"/>
              <w:left w:w="20" w:type="dxa"/>
              <w:bottom w:w="0" w:type="dxa"/>
              <w:right w:w="20" w:type="dxa"/>
            </w:tcMar>
            <w:vAlign w:val="bottom"/>
          </w:tcPr>
          <w:p w14:paraId="5902B64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4E" w14:textId="77777777" w:rsidR="0084406A" w:rsidRDefault="002B18AF">
            <w:pPr>
              <w:textAlignment w:val="top"/>
            </w:pPr>
            <w:hyperlink r:id="rId110" w:history="1">
              <w:r>
                <w:rPr>
                  <w:rStyle w:val="a5"/>
                  <w:rFonts w:ascii="Arial" w:eastAsia="宋体" w:hAnsi="Arial" w:cs="Arial"/>
                  <w:sz w:val="20"/>
                  <w:szCs w:val="20"/>
                </w:rPr>
                <w:t>Amendment No. 1 to the AMD Deferred Income Account Plan, as amended and restated, effective July 1, 2012, filed as Exhibit 10.16(a) to AMD’s Annual Report on Fo</w:t>
              </w:r>
              <w:r>
                <w:rPr>
                  <w:rStyle w:val="a5"/>
                  <w:rFonts w:ascii="Arial" w:eastAsia="宋体" w:hAnsi="Arial" w:cs="Arial"/>
                  <w:sz w:val="20"/>
                  <w:szCs w:val="20"/>
                </w:rPr>
                <w:t>rm 10-K for the period ended December 29, 2012, is hereby incorporated by reference.</w:t>
              </w:r>
            </w:hyperlink>
          </w:p>
        </w:tc>
      </w:tr>
      <w:tr w:rsidR="0084406A" w14:paraId="5902B65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5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3" w14:textId="77777777" w:rsidR="0084406A" w:rsidRDefault="0084406A">
            <w:pPr>
              <w:rPr>
                <w:rFonts w:ascii="宋体"/>
              </w:rPr>
            </w:pPr>
          </w:p>
        </w:tc>
      </w:tr>
      <w:tr w:rsidR="0084406A" w14:paraId="5902B659" w14:textId="77777777">
        <w:trPr>
          <w:jc w:val="center"/>
        </w:trPr>
        <w:tc>
          <w:tcPr>
            <w:tcW w:w="0" w:type="auto"/>
            <w:gridSpan w:val="3"/>
            <w:shd w:val="clear" w:color="auto" w:fill="auto"/>
            <w:tcMar>
              <w:top w:w="0" w:type="dxa"/>
              <w:left w:w="20" w:type="dxa"/>
              <w:bottom w:w="0" w:type="dxa"/>
              <w:right w:w="20" w:type="dxa"/>
            </w:tcMar>
            <w:vAlign w:val="bottom"/>
          </w:tcPr>
          <w:p w14:paraId="5902B65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56" w14:textId="77777777" w:rsidR="0084406A" w:rsidRDefault="002B18AF">
            <w:pPr>
              <w:jc w:val="right"/>
              <w:textAlignment w:val="top"/>
            </w:pPr>
            <w:r>
              <w:rPr>
                <w:rFonts w:ascii="Arial" w:eastAsia="宋体" w:hAnsi="Arial" w:cs="Arial"/>
                <w:color w:val="000000"/>
                <w:sz w:val="20"/>
                <w:szCs w:val="20"/>
              </w:rPr>
              <w:t>*10.6</w:t>
            </w:r>
          </w:p>
        </w:tc>
        <w:tc>
          <w:tcPr>
            <w:tcW w:w="0" w:type="auto"/>
            <w:gridSpan w:val="3"/>
            <w:shd w:val="clear" w:color="auto" w:fill="auto"/>
            <w:tcMar>
              <w:top w:w="0" w:type="dxa"/>
              <w:left w:w="20" w:type="dxa"/>
              <w:bottom w:w="0" w:type="dxa"/>
              <w:right w:w="20" w:type="dxa"/>
            </w:tcMar>
            <w:vAlign w:val="bottom"/>
          </w:tcPr>
          <w:p w14:paraId="5902B65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58" w14:textId="77777777" w:rsidR="0084406A" w:rsidRDefault="002B18AF">
            <w:pPr>
              <w:textAlignment w:val="top"/>
            </w:pPr>
            <w:hyperlink r:id="rId111" w:history="1">
              <w:r>
                <w:rPr>
                  <w:rStyle w:val="a5"/>
                  <w:rFonts w:ascii="Arial" w:eastAsia="宋体" w:hAnsi="Arial" w:cs="Arial"/>
                  <w:sz w:val="20"/>
                  <w:szCs w:val="20"/>
                </w:rPr>
                <w:t>Form of Indemnity Agreement, between Advanced Micro Devices, Inc. and its officers and directors, filed as Exhibit 10.1 to AMD’s Current Report on Form 8-K dated October</w:t>
              </w:r>
              <w:r>
                <w:rPr>
                  <w:rStyle w:val="a5"/>
                  <w:rFonts w:ascii="Arial" w:eastAsia="宋体" w:hAnsi="Arial" w:cs="Arial"/>
                  <w:sz w:val="20"/>
                  <w:szCs w:val="20"/>
                </w:rPr>
                <w:t xml:space="preserve"> 6, 2008, is hereby incorporated by reference.</w:t>
              </w:r>
            </w:hyperlink>
          </w:p>
        </w:tc>
      </w:tr>
      <w:tr w:rsidR="0084406A" w14:paraId="5902B65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5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5D" w14:textId="77777777" w:rsidR="0084406A" w:rsidRDefault="0084406A">
            <w:pPr>
              <w:rPr>
                <w:rFonts w:ascii="宋体"/>
              </w:rPr>
            </w:pPr>
          </w:p>
        </w:tc>
      </w:tr>
      <w:tr w:rsidR="0084406A" w14:paraId="5902B663" w14:textId="77777777">
        <w:trPr>
          <w:jc w:val="center"/>
        </w:trPr>
        <w:tc>
          <w:tcPr>
            <w:tcW w:w="0" w:type="auto"/>
            <w:gridSpan w:val="3"/>
            <w:shd w:val="clear" w:color="auto" w:fill="auto"/>
            <w:tcMar>
              <w:top w:w="0" w:type="dxa"/>
              <w:left w:w="20" w:type="dxa"/>
              <w:bottom w:w="0" w:type="dxa"/>
              <w:right w:w="20" w:type="dxa"/>
            </w:tcMar>
            <w:vAlign w:val="bottom"/>
          </w:tcPr>
          <w:p w14:paraId="5902B65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60" w14:textId="77777777" w:rsidR="0084406A" w:rsidRDefault="002B18AF">
            <w:pPr>
              <w:jc w:val="right"/>
              <w:textAlignment w:val="top"/>
            </w:pPr>
            <w:r>
              <w:rPr>
                <w:rFonts w:ascii="Arial" w:eastAsia="宋体" w:hAnsi="Arial" w:cs="Arial"/>
                <w:color w:val="000000"/>
                <w:sz w:val="20"/>
                <w:szCs w:val="20"/>
              </w:rPr>
              <w:t>*10.7</w:t>
            </w:r>
          </w:p>
        </w:tc>
        <w:tc>
          <w:tcPr>
            <w:tcW w:w="0" w:type="auto"/>
            <w:gridSpan w:val="3"/>
            <w:shd w:val="clear" w:color="auto" w:fill="auto"/>
            <w:tcMar>
              <w:top w:w="0" w:type="dxa"/>
              <w:left w:w="20" w:type="dxa"/>
              <w:bottom w:w="0" w:type="dxa"/>
              <w:right w:w="20" w:type="dxa"/>
            </w:tcMar>
            <w:vAlign w:val="bottom"/>
          </w:tcPr>
          <w:p w14:paraId="5902B66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62" w14:textId="77777777" w:rsidR="0084406A" w:rsidRDefault="002B18AF">
            <w:pPr>
              <w:textAlignment w:val="top"/>
            </w:pPr>
            <w:hyperlink r:id="rId112" w:history="1">
              <w:r>
                <w:rPr>
                  <w:rStyle w:val="a5"/>
                  <w:rFonts w:ascii="Arial" w:eastAsia="宋体" w:hAnsi="Arial" w:cs="Arial"/>
                  <w:sz w:val="20"/>
                  <w:szCs w:val="20"/>
                </w:rPr>
                <w:t xml:space="preserve">Form of Management Continuity Agreement, as amended and restated, filed as Exhibit 10.13(b) to </w:t>
              </w:r>
              <w:r>
                <w:rPr>
                  <w:rStyle w:val="a5"/>
                  <w:rFonts w:ascii="Arial" w:eastAsia="宋体" w:hAnsi="Arial" w:cs="Arial"/>
                  <w:sz w:val="20"/>
                  <w:szCs w:val="20"/>
                </w:rPr>
                <w:t>AMD’s Annual Report on Form 10-K for the fiscal year ended December 29, 2007, is hereby incorporated by reference.</w:t>
              </w:r>
            </w:hyperlink>
          </w:p>
        </w:tc>
      </w:tr>
      <w:tr w:rsidR="0084406A" w14:paraId="5902B66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6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6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6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67" w14:textId="77777777" w:rsidR="0084406A" w:rsidRDefault="0084406A">
            <w:pPr>
              <w:rPr>
                <w:rFonts w:ascii="宋体"/>
              </w:rPr>
            </w:pPr>
          </w:p>
        </w:tc>
      </w:tr>
      <w:tr w:rsidR="0084406A" w14:paraId="5902B66D" w14:textId="77777777">
        <w:trPr>
          <w:jc w:val="center"/>
        </w:trPr>
        <w:tc>
          <w:tcPr>
            <w:tcW w:w="0" w:type="auto"/>
            <w:gridSpan w:val="3"/>
            <w:shd w:val="clear" w:color="auto" w:fill="auto"/>
            <w:tcMar>
              <w:top w:w="0" w:type="dxa"/>
              <w:left w:w="20" w:type="dxa"/>
              <w:bottom w:w="0" w:type="dxa"/>
              <w:right w:w="20" w:type="dxa"/>
            </w:tcMar>
            <w:vAlign w:val="bottom"/>
          </w:tcPr>
          <w:p w14:paraId="5902B66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6A" w14:textId="77777777" w:rsidR="0084406A" w:rsidRDefault="002B18AF">
            <w:pPr>
              <w:jc w:val="right"/>
              <w:textAlignment w:val="top"/>
            </w:pPr>
            <w:r>
              <w:rPr>
                <w:rFonts w:ascii="Arial" w:eastAsia="宋体" w:hAnsi="Arial" w:cs="Arial"/>
                <w:color w:val="000000"/>
                <w:sz w:val="20"/>
                <w:szCs w:val="20"/>
              </w:rPr>
              <w:t>*10.8</w:t>
            </w:r>
          </w:p>
        </w:tc>
        <w:tc>
          <w:tcPr>
            <w:tcW w:w="0" w:type="auto"/>
            <w:gridSpan w:val="3"/>
            <w:shd w:val="clear" w:color="auto" w:fill="auto"/>
            <w:tcMar>
              <w:top w:w="0" w:type="dxa"/>
              <w:left w:w="20" w:type="dxa"/>
              <w:bottom w:w="0" w:type="dxa"/>
              <w:right w:w="20" w:type="dxa"/>
            </w:tcMar>
            <w:vAlign w:val="bottom"/>
          </w:tcPr>
          <w:p w14:paraId="5902B66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6C" w14:textId="77777777" w:rsidR="0084406A" w:rsidRDefault="002B18AF">
            <w:pPr>
              <w:textAlignment w:val="top"/>
            </w:pPr>
            <w:hyperlink r:id="rId113" w:history="1">
              <w:r>
                <w:rPr>
                  <w:rStyle w:val="a5"/>
                  <w:rFonts w:ascii="Arial" w:eastAsia="宋体" w:hAnsi="Arial" w:cs="Arial"/>
                  <w:sz w:val="20"/>
                  <w:szCs w:val="20"/>
                </w:rPr>
                <w:t>Form of Change in Control Agreement, filed as Exhibit 10.11 to AMD’s Annual Report on Form 10-K for the fiscal year ended December 26, 2009, is hereby incorporated by r</w:t>
              </w:r>
              <w:r>
                <w:rPr>
                  <w:rStyle w:val="a5"/>
                  <w:rFonts w:ascii="Arial" w:eastAsia="宋体" w:hAnsi="Arial" w:cs="Arial"/>
                  <w:sz w:val="20"/>
                  <w:szCs w:val="20"/>
                </w:rPr>
                <w:t>eference.</w:t>
              </w:r>
            </w:hyperlink>
          </w:p>
        </w:tc>
      </w:tr>
      <w:tr w:rsidR="0084406A" w14:paraId="5902B67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6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6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7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71" w14:textId="77777777" w:rsidR="0084406A" w:rsidRDefault="0084406A">
            <w:pPr>
              <w:rPr>
                <w:rFonts w:ascii="宋体"/>
              </w:rPr>
            </w:pPr>
          </w:p>
        </w:tc>
      </w:tr>
      <w:tr w:rsidR="0084406A" w14:paraId="5902B677" w14:textId="77777777">
        <w:trPr>
          <w:jc w:val="center"/>
        </w:trPr>
        <w:tc>
          <w:tcPr>
            <w:tcW w:w="0" w:type="auto"/>
            <w:gridSpan w:val="3"/>
            <w:shd w:val="clear" w:color="auto" w:fill="auto"/>
            <w:tcMar>
              <w:top w:w="0" w:type="dxa"/>
              <w:left w:w="20" w:type="dxa"/>
              <w:bottom w:w="0" w:type="dxa"/>
              <w:right w:w="20" w:type="dxa"/>
            </w:tcMar>
            <w:vAlign w:val="bottom"/>
          </w:tcPr>
          <w:p w14:paraId="5902B67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74" w14:textId="77777777" w:rsidR="0084406A" w:rsidRDefault="002B18AF">
            <w:pPr>
              <w:jc w:val="right"/>
              <w:textAlignment w:val="top"/>
            </w:pPr>
            <w:r>
              <w:rPr>
                <w:rFonts w:ascii="Arial" w:eastAsia="宋体" w:hAnsi="Arial" w:cs="Arial"/>
                <w:color w:val="000000"/>
                <w:sz w:val="20"/>
                <w:szCs w:val="20"/>
              </w:rPr>
              <w:t>*10.9</w:t>
            </w:r>
          </w:p>
        </w:tc>
        <w:tc>
          <w:tcPr>
            <w:tcW w:w="0" w:type="auto"/>
            <w:gridSpan w:val="3"/>
            <w:shd w:val="clear" w:color="auto" w:fill="auto"/>
            <w:tcMar>
              <w:top w:w="0" w:type="dxa"/>
              <w:left w:w="20" w:type="dxa"/>
              <w:bottom w:w="0" w:type="dxa"/>
              <w:right w:w="20" w:type="dxa"/>
            </w:tcMar>
            <w:vAlign w:val="bottom"/>
          </w:tcPr>
          <w:p w14:paraId="5902B67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76" w14:textId="77777777" w:rsidR="0084406A" w:rsidRDefault="002B18AF">
            <w:pPr>
              <w:textAlignment w:val="top"/>
            </w:pPr>
            <w:hyperlink r:id="rId114" w:history="1">
              <w:r>
                <w:rPr>
                  <w:rStyle w:val="a5"/>
                  <w:rFonts w:ascii="Arial" w:eastAsia="宋体" w:hAnsi="Arial" w:cs="Arial"/>
                  <w:sz w:val="20"/>
                  <w:szCs w:val="20"/>
                </w:rPr>
                <w:t xml:space="preserve">Amended and Restated Management Continuity Agreement, between Advanced Micro Devices, Inc. and Devinder Kumar, filed as Exhibit </w:t>
              </w:r>
              <w:r>
                <w:rPr>
                  <w:rStyle w:val="a5"/>
                  <w:rFonts w:ascii="Arial" w:eastAsia="宋体" w:hAnsi="Arial" w:cs="Arial"/>
                  <w:sz w:val="20"/>
                  <w:szCs w:val="20"/>
                </w:rPr>
                <w:t>10.3 to AMD’s Quarterly Report on Form 10-Q for the period ended September 29, 2012, is hereby incorporated by reference.</w:t>
              </w:r>
            </w:hyperlink>
          </w:p>
        </w:tc>
      </w:tr>
      <w:tr w:rsidR="0084406A" w14:paraId="5902B67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7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7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7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7B" w14:textId="77777777" w:rsidR="0084406A" w:rsidRDefault="0084406A">
            <w:pPr>
              <w:rPr>
                <w:rFonts w:ascii="宋体"/>
              </w:rPr>
            </w:pPr>
          </w:p>
        </w:tc>
      </w:tr>
      <w:tr w:rsidR="0084406A" w14:paraId="5902B681" w14:textId="77777777">
        <w:trPr>
          <w:jc w:val="center"/>
        </w:trPr>
        <w:tc>
          <w:tcPr>
            <w:tcW w:w="0" w:type="auto"/>
            <w:gridSpan w:val="3"/>
            <w:shd w:val="clear" w:color="auto" w:fill="auto"/>
            <w:tcMar>
              <w:top w:w="0" w:type="dxa"/>
              <w:left w:w="20" w:type="dxa"/>
              <w:bottom w:w="0" w:type="dxa"/>
              <w:right w:w="20" w:type="dxa"/>
            </w:tcMar>
            <w:vAlign w:val="bottom"/>
          </w:tcPr>
          <w:p w14:paraId="5902B67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7E" w14:textId="77777777" w:rsidR="0084406A" w:rsidRDefault="002B18AF">
            <w:pPr>
              <w:jc w:val="right"/>
              <w:textAlignment w:val="top"/>
            </w:pPr>
            <w:r>
              <w:rPr>
                <w:rFonts w:ascii="Arial" w:eastAsia="宋体" w:hAnsi="Arial" w:cs="Arial"/>
                <w:color w:val="000000"/>
                <w:sz w:val="20"/>
                <w:szCs w:val="20"/>
              </w:rPr>
              <w:t>*10.10</w:t>
            </w:r>
          </w:p>
        </w:tc>
        <w:tc>
          <w:tcPr>
            <w:tcW w:w="0" w:type="auto"/>
            <w:gridSpan w:val="3"/>
            <w:shd w:val="clear" w:color="auto" w:fill="auto"/>
            <w:tcMar>
              <w:top w:w="0" w:type="dxa"/>
              <w:left w:w="20" w:type="dxa"/>
              <w:bottom w:w="0" w:type="dxa"/>
              <w:right w:w="20" w:type="dxa"/>
            </w:tcMar>
            <w:vAlign w:val="bottom"/>
          </w:tcPr>
          <w:p w14:paraId="5902B67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80" w14:textId="77777777" w:rsidR="0084406A" w:rsidRDefault="002B18AF">
            <w:pPr>
              <w:textAlignment w:val="top"/>
            </w:pPr>
            <w:hyperlink r:id="rId115" w:history="1">
              <w:r>
                <w:rPr>
                  <w:rStyle w:val="a5"/>
                  <w:rFonts w:ascii="Arial" w:eastAsia="宋体" w:hAnsi="Arial" w:cs="Arial"/>
                  <w:sz w:val="20"/>
                  <w:szCs w:val="20"/>
                </w:rPr>
                <w:t>Offer Letter, between Advanced Micro Devices, Inc. and Mark D. Papermaster, dated October 7, 2011, filed as Exhibit 10.63 to AMD’s Annual Report on Form 10-K for</w:t>
              </w:r>
              <w:r>
                <w:rPr>
                  <w:rStyle w:val="a5"/>
                  <w:rFonts w:ascii="Arial" w:eastAsia="宋体" w:hAnsi="Arial" w:cs="Arial"/>
                  <w:sz w:val="20"/>
                  <w:szCs w:val="20"/>
                </w:rPr>
                <w:t xml:space="preserve"> the period ended December 31, 2011, is hereby incorporated by reference.</w:t>
              </w:r>
            </w:hyperlink>
          </w:p>
        </w:tc>
      </w:tr>
      <w:tr w:rsidR="0084406A" w14:paraId="5902B68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8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8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8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85" w14:textId="77777777" w:rsidR="0084406A" w:rsidRDefault="0084406A">
            <w:pPr>
              <w:rPr>
                <w:rFonts w:ascii="宋体"/>
              </w:rPr>
            </w:pPr>
          </w:p>
        </w:tc>
      </w:tr>
      <w:tr w:rsidR="0084406A" w14:paraId="5902B68C" w14:textId="77777777">
        <w:trPr>
          <w:jc w:val="center"/>
        </w:trPr>
        <w:tc>
          <w:tcPr>
            <w:tcW w:w="0" w:type="auto"/>
            <w:gridSpan w:val="3"/>
            <w:shd w:val="clear" w:color="auto" w:fill="auto"/>
            <w:tcMar>
              <w:top w:w="0" w:type="dxa"/>
              <w:left w:w="20" w:type="dxa"/>
              <w:bottom w:w="0" w:type="dxa"/>
              <w:right w:w="20" w:type="dxa"/>
            </w:tcMar>
            <w:vAlign w:val="bottom"/>
          </w:tcPr>
          <w:p w14:paraId="5902B687"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688" w14:textId="77777777" w:rsidR="0084406A" w:rsidRDefault="002B18AF">
            <w:pPr>
              <w:jc w:val="right"/>
              <w:textAlignment w:val="top"/>
            </w:pPr>
            <w:r>
              <w:rPr>
                <w:rFonts w:ascii="Arial" w:eastAsia="宋体" w:hAnsi="Arial" w:cs="Arial"/>
                <w:color w:val="000000"/>
                <w:sz w:val="20"/>
                <w:szCs w:val="20"/>
              </w:rPr>
              <w:t>10.11 </w:t>
            </w:r>
          </w:p>
        </w:tc>
        <w:tc>
          <w:tcPr>
            <w:tcW w:w="0" w:type="auto"/>
            <w:shd w:val="clear" w:color="auto" w:fill="auto"/>
            <w:tcMar>
              <w:top w:w="40" w:type="dxa"/>
              <w:left w:w="0" w:type="dxa"/>
              <w:bottom w:w="40" w:type="dxa"/>
              <w:right w:w="20" w:type="dxa"/>
            </w:tcMar>
          </w:tcPr>
          <w:p w14:paraId="5902B689"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68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8B" w14:textId="77777777" w:rsidR="0084406A" w:rsidRDefault="002B18AF">
            <w:pPr>
              <w:textAlignment w:val="top"/>
            </w:pPr>
            <w:hyperlink r:id="rId116" w:history="1">
              <w:r>
                <w:rPr>
                  <w:rStyle w:val="a5"/>
                  <w:rFonts w:ascii="Arial" w:eastAsia="宋体" w:hAnsi="Arial" w:cs="Arial"/>
                  <w:sz w:val="20"/>
                  <w:szCs w:val="20"/>
                </w:rPr>
                <w:t>Settlement Agreement, between Advanced Micro Devices, Inc. and Intel Corporation, dated November 11, 2009, filed as Exhibit 10.1 to AMD’s Current Report on Form 8-K date</w:t>
              </w:r>
              <w:r>
                <w:rPr>
                  <w:rStyle w:val="a5"/>
                  <w:rFonts w:ascii="Arial" w:eastAsia="宋体" w:hAnsi="Arial" w:cs="Arial"/>
                  <w:sz w:val="20"/>
                  <w:szCs w:val="20"/>
                </w:rPr>
                <w:t>d November 11, 2009, is hereby incorporated by reference.</w:t>
              </w:r>
            </w:hyperlink>
          </w:p>
        </w:tc>
      </w:tr>
      <w:tr w:rsidR="0084406A" w14:paraId="5902B691"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8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8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8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90" w14:textId="77777777" w:rsidR="0084406A" w:rsidRDefault="0084406A">
            <w:pPr>
              <w:rPr>
                <w:rFonts w:ascii="宋体"/>
              </w:rPr>
            </w:pPr>
          </w:p>
        </w:tc>
      </w:tr>
      <w:tr w:rsidR="0084406A" w14:paraId="5902B696" w14:textId="77777777">
        <w:trPr>
          <w:jc w:val="center"/>
        </w:trPr>
        <w:tc>
          <w:tcPr>
            <w:tcW w:w="0" w:type="auto"/>
            <w:gridSpan w:val="3"/>
            <w:shd w:val="clear" w:color="auto" w:fill="auto"/>
            <w:tcMar>
              <w:top w:w="0" w:type="dxa"/>
              <w:left w:w="20" w:type="dxa"/>
              <w:bottom w:w="0" w:type="dxa"/>
              <w:right w:w="20" w:type="dxa"/>
            </w:tcMar>
            <w:vAlign w:val="bottom"/>
          </w:tcPr>
          <w:p w14:paraId="5902B69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93" w14:textId="77777777" w:rsidR="0084406A" w:rsidRDefault="002B18AF">
            <w:pPr>
              <w:jc w:val="right"/>
              <w:textAlignment w:val="top"/>
            </w:pPr>
            <w:r>
              <w:rPr>
                <w:rFonts w:ascii="Arial" w:eastAsia="宋体" w:hAnsi="Arial" w:cs="Arial"/>
                <w:color w:val="000000"/>
                <w:sz w:val="20"/>
                <w:szCs w:val="20"/>
              </w:rPr>
              <w:t>**10.12</w:t>
            </w:r>
          </w:p>
        </w:tc>
        <w:tc>
          <w:tcPr>
            <w:tcW w:w="0" w:type="auto"/>
            <w:gridSpan w:val="3"/>
            <w:shd w:val="clear" w:color="auto" w:fill="auto"/>
            <w:tcMar>
              <w:top w:w="0" w:type="dxa"/>
              <w:left w:w="20" w:type="dxa"/>
              <w:bottom w:w="0" w:type="dxa"/>
              <w:right w:w="20" w:type="dxa"/>
            </w:tcMar>
            <w:vAlign w:val="bottom"/>
          </w:tcPr>
          <w:p w14:paraId="5902B69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95" w14:textId="77777777" w:rsidR="0084406A" w:rsidRDefault="002B18AF">
            <w:pPr>
              <w:textAlignment w:val="top"/>
            </w:pPr>
            <w:hyperlink r:id="rId117" w:history="1">
              <w:r>
                <w:rPr>
                  <w:rStyle w:val="a5"/>
                  <w:rFonts w:ascii="Arial" w:eastAsia="宋体" w:hAnsi="Arial" w:cs="Arial"/>
                  <w:sz w:val="20"/>
                  <w:szCs w:val="20"/>
                </w:rPr>
                <w:t xml:space="preserve">Patent Cross License Agreement, between Advanced Micro Devices, Inc. and Intel </w:t>
              </w:r>
              <w:r>
                <w:rPr>
                  <w:rStyle w:val="a5"/>
                  <w:rFonts w:ascii="Arial" w:eastAsia="宋体" w:hAnsi="Arial" w:cs="Arial"/>
                  <w:sz w:val="20"/>
                  <w:szCs w:val="20"/>
                </w:rPr>
                <w:t>Corporation filed, dated November 11, 2009, as Exhibit 10.2 to AMD’s Current Report on Form 8-K dated November 17, 2009, is hereby incorporated by reference.</w:t>
              </w:r>
            </w:hyperlink>
          </w:p>
        </w:tc>
      </w:tr>
      <w:tr w:rsidR="0084406A" w14:paraId="5902B69B"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9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9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9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9A" w14:textId="77777777" w:rsidR="0084406A" w:rsidRDefault="0084406A">
            <w:pPr>
              <w:rPr>
                <w:rFonts w:ascii="宋体"/>
              </w:rPr>
            </w:pPr>
          </w:p>
        </w:tc>
      </w:tr>
      <w:tr w:rsidR="0084406A" w14:paraId="5902B6A0" w14:textId="77777777">
        <w:trPr>
          <w:jc w:val="center"/>
        </w:trPr>
        <w:tc>
          <w:tcPr>
            <w:tcW w:w="0" w:type="auto"/>
            <w:gridSpan w:val="3"/>
            <w:shd w:val="clear" w:color="auto" w:fill="auto"/>
            <w:tcMar>
              <w:top w:w="0" w:type="dxa"/>
              <w:left w:w="20" w:type="dxa"/>
              <w:bottom w:w="0" w:type="dxa"/>
              <w:right w:w="20" w:type="dxa"/>
            </w:tcMar>
            <w:vAlign w:val="bottom"/>
          </w:tcPr>
          <w:p w14:paraId="5902B69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9D" w14:textId="77777777" w:rsidR="0084406A" w:rsidRDefault="002B18AF">
            <w:pPr>
              <w:jc w:val="right"/>
              <w:textAlignment w:val="top"/>
            </w:pPr>
            <w:r>
              <w:rPr>
                <w:rFonts w:ascii="Arial" w:eastAsia="宋体" w:hAnsi="Arial" w:cs="Arial"/>
                <w:color w:val="000000"/>
                <w:sz w:val="20"/>
                <w:szCs w:val="20"/>
              </w:rPr>
              <w:t>10.13</w:t>
            </w:r>
          </w:p>
        </w:tc>
        <w:tc>
          <w:tcPr>
            <w:tcW w:w="0" w:type="auto"/>
            <w:gridSpan w:val="3"/>
            <w:shd w:val="clear" w:color="auto" w:fill="auto"/>
            <w:tcMar>
              <w:top w:w="0" w:type="dxa"/>
              <w:left w:w="20" w:type="dxa"/>
              <w:bottom w:w="0" w:type="dxa"/>
              <w:right w:w="20" w:type="dxa"/>
            </w:tcMar>
            <w:vAlign w:val="bottom"/>
          </w:tcPr>
          <w:p w14:paraId="5902B69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9F" w14:textId="77777777" w:rsidR="0084406A" w:rsidRDefault="002B18AF">
            <w:pPr>
              <w:textAlignment w:val="top"/>
            </w:pPr>
            <w:hyperlink r:id="rId118" w:history="1">
              <w:r>
                <w:rPr>
                  <w:rStyle w:val="a5"/>
                  <w:rFonts w:ascii="Arial" w:eastAsia="宋体" w:hAnsi="Arial" w:cs="Arial"/>
                  <w:sz w:val="20"/>
                  <w:szCs w:val="20"/>
                </w:rPr>
                <w:t>Sublease Agreement, between Lantana HP, LTD and Advanced Micro Devices, Inc., dated March 26, 2013, filed as Exhibit 10.2 to AMD’s Quarterly Report on Form 10-Q f</w:t>
              </w:r>
              <w:r>
                <w:rPr>
                  <w:rStyle w:val="a5"/>
                  <w:rFonts w:ascii="Arial" w:eastAsia="宋体" w:hAnsi="Arial" w:cs="Arial"/>
                  <w:sz w:val="20"/>
                  <w:szCs w:val="20"/>
                </w:rPr>
                <w:t>or the period ended March 30, 2013, is hereby incorporated by reference.</w:t>
              </w:r>
            </w:hyperlink>
          </w:p>
        </w:tc>
      </w:tr>
      <w:tr w:rsidR="0084406A" w14:paraId="5902B6A5"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A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4" w14:textId="77777777" w:rsidR="0084406A" w:rsidRDefault="0084406A">
            <w:pPr>
              <w:rPr>
                <w:rFonts w:ascii="宋体"/>
              </w:rPr>
            </w:pPr>
          </w:p>
        </w:tc>
      </w:tr>
      <w:tr w:rsidR="0084406A" w14:paraId="5902B6AA" w14:textId="77777777">
        <w:trPr>
          <w:jc w:val="center"/>
        </w:trPr>
        <w:tc>
          <w:tcPr>
            <w:tcW w:w="0" w:type="auto"/>
            <w:gridSpan w:val="3"/>
            <w:shd w:val="clear" w:color="auto" w:fill="auto"/>
            <w:tcMar>
              <w:top w:w="0" w:type="dxa"/>
              <w:left w:w="20" w:type="dxa"/>
              <w:bottom w:w="0" w:type="dxa"/>
              <w:right w:w="20" w:type="dxa"/>
            </w:tcMar>
            <w:vAlign w:val="bottom"/>
          </w:tcPr>
          <w:p w14:paraId="5902B6A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A7" w14:textId="77777777" w:rsidR="0084406A" w:rsidRDefault="002B18AF">
            <w:pPr>
              <w:jc w:val="right"/>
              <w:textAlignment w:val="top"/>
            </w:pPr>
            <w:r>
              <w:rPr>
                <w:rFonts w:ascii="Arial" w:eastAsia="宋体" w:hAnsi="Arial" w:cs="Arial"/>
                <w:color w:val="000000"/>
                <w:sz w:val="20"/>
                <w:szCs w:val="20"/>
              </w:rPr>
              <w:t>10.14</w:t>
            </w:r>
          </w:p>
        </w:tc>
        <w:tc>
          <w:tcPr>
            <w:tcW w:w="0" w:type="auto"/>
            <w:gridSpan w:val="3"/>
            <w:shd w:val="clear" w:color="auto" w:fill="auto"/>
            <w:tcMar>
              <w:top w:w="0" w:type="dxa"/>
              <w:left w:w="20" w:type="dxa"/>
              <w:bottom w:w="0" w:type="dxa"/>
              <w:right w:w="20" w:type="dxa"/>
            </w:tcMar>
            <w:vAlign w:val="bottom"/>
          </w:tcPr>
          <w:p w14:paraId="5902B6A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A9" w14:textId="77777777" w:rsidR="0084406A" w:rsidRDefault="002B18AF">
            <w:pPr>
              <w:textAlignment w:val="top"/>
            </w:pPr>
            <w:hyperlink r:id="rId119" w:history="1">
              <w:r>
                <w:rPr>
                  <w:rStyle w:val="a5"/>
                  <w:rFonts w:ascii="Arial" w:eastAsia="宋体" w:hAnsi="Arial" w:cs="Arial"/>
                  <w:sz w:val="20"/>
                  <w:szCs w:val="20"/>
                </w:rPr>
                <w:t>Master Landlord’s Consent to Sublease, between 7171 Southwest Parkway Holdings, L.P., Lantana HP, Ltd. and Advanced Micro Devices, Inc., dated March 26, 2013, fil</w:t>
              </w:r>
              <w:r>
                <w:rPr>
                  <w:rStyle w:val="a5"/>
                  <w:rFonts w:ascii="Arial" w:eastAsia="宋体" w:hAnsi="Arial" w:cs="Arial"/>
                  <w:sz w:val="20"/>
                  <w:szCs w:val="20"/>
                </w:rPr>
                <w:t>ed as Exhibit 10.3 to AMD’s Quarterly Report on Form 10-Q for the period ended March 30, 2013, is hereby incorporated by reference.</w:t>
              </w:r>
            </w:hyperlink>
          </w:p>
        </w:tc>
      </w:tr>
      <w:tr w:rsidR="0084406A" w14:paraId="5902B6AF"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A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AE" w14:textId="77777777" w:rsidR="0084406A" w:rsidRDefault="0084406A">
            <w:pPr>
              <w:rPr>
                <w:rFonts w:ascii="宋体"/>
              </w:rPr>
            </w:pPr>
          </w:p>
        </w:tc>
      </w:tr>
      <w:tr w:rsidR="0084406A" w14:paraId="5902B6B4" w14:textId="77777777">
        <w:trPr>
          <w:jc w:val="center"/>
        </w:trPr>
        <w:tc>
          <w:tcPr>
            <w:tcW w:w="0" w:type="auto"/>
            <w:gridSpan w:val="3"/>
            <w:shd w:val="clear" w:color="auto" w:fill="auto"/>
            <w:tcMar>
              <w:top w:w="0" w:type="dxa"/>
              <w:left w:w="20" w:type="dxa"/>
              <w:bottom w:w="0" w:type="dxa"/>
              <w:right w:w="20" w:type="dxa"/>
            </w:tcMar>
            <w:vAlign w:val="bottom"/>
          </w:tcPr>
          <w:p w14:paraId="5902B6B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B1" w14:textId="77777777" w:rsidR="0084406A" w:rsidRDefault="002B18AF">
            <w:pPr>
              <w:jc w:val="right"/>
              <w:textAlignment w:val="top"/>
            </w:pPr>
            <w:r>
              <w:rPr>
                <w:rFonts w:ascii="Arial" w:eastAsia="宋体" w:hAnsi="Arial" w:cs="Arial"/>
                <w:color w:val="000000"/>
                <w:sz w:val="20"/>
                <w:szCs w:val="20"/>
              </w:rPr>
              <w:t>10.15</w:t>
            </w:r>
          </w:p>
        </w:tc>
        <w:tc>
          <w:tcPr>
            <w:tcW w:w="0" w:type="auto"/>
            <w:gridSpan w:val="3"/>
            <w:shd w:val="clear" w:color="auto" w:fill="auto"/>
            <w:tcMar>
              <w:top w:w="0" w:type="dxa"/>
              <w:left w:w="20" w:type="dxa"/>
              <w:bottom w:w="0" w:type="dxa"/>
              <w:right w:w="20" w:type="dxa"/>
            </w:tcMar>
            <w:vAlign w:val="bottom"/>
          </w:tcPr>
          <w:p w14:paraId="5902B6B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B3" w14:textId="77777777" w:rsidR="0084406A" w:rsidRDefault="002B18AF">
            <w:pPr>
              <w:textAlignment w:val="top"/>
            </w:pPr>
            <w:hyperlink r:id="rId120" w:history="1">
              <w:r>
                <w:rPr>
                  <w:rStyle w:val="a5"/>
                  <w:rFonts w:ascii="Arial" w:eastAsia="宋体" w:hAnsi="Arial" w:cs="Arial"/>
                  <w:sz w:val="20"/>
                  <w:szCs w:val="20"/>
                </w:rPr>
                <w:t>Lease Agreement, between 7171 Southwest Parkway Holdings, L.P. and Lantana HP, Ltd., dated March 26, 2013, filed as Exhibit 10.4 to AMD’s Quarterly Report on Form</w:t>
              </w:r>
              <w:r>
                <w:rPr>
                  <w:rStyle w:val="a5"/>
                  <w:rFonts w:ascii="Arial" w:eastAsia="宋体" w:hAnsi="Arial" w:cs="Arial"/>
                  <w:sz w:val="20"/>
                  <w:szCs w:val="20"/>
                </w:rPr>
                <w:t xml:space="preserve"> 10-Q for the period ended March 30, 2013, is hereby incorporated by reference.</w:t>
              </w:r>
            </w:hyperlink>
          </w:p>
        </w:tc>
      </w:tr>
      <w:tr w:rsidR="0084406A" w14:paraId="5902B6B9"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B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B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B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B8" w14:textId="77777777" w:rsidR="0084406A" w:rsidRDefault="0084406A">
            <w:pPr>
              <w:rPr>
                <w:rFonts w:ascii="宋体"/>
              </w:rPr>
            </w:pPr>
          </w:p>
        </w:tc>
      </w:tr>
      <w:tr w:rsidR="0084406A" w14:paraId="5902B6BE" w14:textId="77777777">
        <w:trPr>
          <w:jc w:val="center"/>
        </w:trPr>
        <w:tc>
          <w:tcPr>
            <w:tcW w:w="0" w:type="auto"/>
            <w:gridSpan w:val="3"/>
            <w:shd w:val="clear" w:color="auto" w:fill="auto"/>
            <w:tcMar>
              <w:top w:w="0" w:type="dxa"/>
              <w:left w:w="20" w:type="dxa"/>
              <w:bottom w:w="0" w:type="dxa"/>
              <w:right w:w="20" w:type="dxa"/>
            </w:tcMar>
            <w:vAlign w:val="bottom"/>
          </w:tcPr>
          <w:p w14:paraId="5902B6B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BB" w14:textId="77777777" w:rsidR="0084406A" w:rsidRDefault="002B18AF">
            <w:pPr>
              <w:jc w:val="right"/>
              <w:textAlignment w:val="top"/>
            </w:pPr>
            <w:r>
              <w:rPr>
                <w:rFonts w:ascii="Arial" w:eastAsia="宋体" w:hAnsi="Arial" w:cs="Arial"/>
                <w:color w:val="000000"/>
                <w:sz w:val="20"/>
                <w:szCs w:val="20"/>
              </w:rPr>
              <w:t>*10.16</w:t>
            </w:r>
          </w:p>
        </w:tc>
        <w:tc>
          <w:tcPr>
            <w:tcW w:w="0" w:type="auto"/>
            <w:gridSpan w:val="3"/>
            <w:shd w:val="clear" w:color="auto" w:fill="auto"/>
            <w:tcMar>
              <w:top w:w="0" w:type="dxa"/>
              <w:left w:w="20" w:type="dxa"/>
              <w:bottom w:w="0" w:type="dxa"/>
              <w:right w:w="20" w:type="dxa"/>
            </w:tcMar>
            <w:vAlign w:val="bottom"/>
          </w:tcPr>
          <w:p w14:paraId="5902B6B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BD" w14:textId="77777777" w:rsidR="0084406A" w:rsidRDefault="002B18AF">
            <w:pPr>
              <w:textAlignment w:val="top"/>
            </w:pPr>
            <w:hyperlink r:id="rId121" w:history="1">
              <w:r>
                <w:rPr>
                  <w:rStyle w:val="a5"/>
                  <w:rFonts w:ascii="Arial" w:eastAsia="宋体" w:hAnsi="Arial" w:cs="Arial"/>
                  <w:sz w:val="20"/>
                  <w:szCs w:val="20"/>
                </w:rPr>
                <w:t>Employment Agreement by and between Lisa T. Su and Advanced Micro Devices, Inc. effective October 8, 2014, filed as Exhibit 10.2 to AMD’s Current Report on Form 8</w:t>
              </w:r>
              <w:r>
                <w:rPr>
                  <w:rStyle w:val="a5"/>
                  <w:rFonts w:ascii="Arial" w:eastAsia="宋体" w:hAnsi="Arial" w:cs="Arial"/>
                  <w:sz w:val="20"/>
                  <w:szCs w:val="20"/>
                </w:rPr>
                <w:t>-K/A dated October 14, 2014, is hereby incorporated by reference.</w:t>
              </w:r>
            </w:hyperlink>
          </w:p>
        </w:tc>
      </w:tr>
    </w:tbl>
    <w:p w14:paraId="5902B6BF" w14:textId="77777777" w:rsidR="0084406A" w:rsidRDefault="002B18AF">
      <w:pPr>
        <w:jc w:val="center"/>
      </w:pPr>
      <w:r>
        <w:rPr>
          <w:rFonts w:ascii="Arial" w:eastAsia="宋体" w:hAnsi="Arial" w:cs="Arial"/>
          <w:color w:val="000000"/>
          <w:sz w:val="20"/>
          <w:szCs w:val="20"/>
        </w:rPr>
        <w:t>89</w:t>
      </w:r>
    </w:p>
    <w:p w14:paraId="5902B6C0" w14:textId="77777777" w:rsidR="0084406A" w:rsidRDefault="002B18AF">
      <w:r>
        <w:pict w14:anchorId="5902BB4F">
          <v:rect id="_x0000_i1116" style="width:415.3pt;height:1.5pt" o:hralign="center" o:hrstd="t" o:hr="t" fillcolor="#a0a0a0" stroked="f"/>
        </w:pict>
      </w:r>
    </w:p>
    <w:p w14:paraId="5902B6C1" w14:textId="77777777" w:rsidR="0084406A" w:rsidRDefault="0084406A"/>
    <w:tbl>
      <w:tblPr>
        <w:tblW w:w="4613" w:type="pct"/>
        <w:jc w:val="center"/>
        <w:tblCellMar>
          <w:top w:w="15" w:type="dxa"/>
          <w:left w:w="15" w:type="dxa"/>
          <w:bottom w:w="15" w:type="dxa"/>
          <w:right w:w="15" w:type="dxa"/>
        </w:tblCellMar>
        <w:tblLook w:val="04A0" w:firstRow="1" w:lastRow="0" w:firstColumn="1" w:lastColumn="0" w:noHBand="0" w:noVBand="1"/>
      </w:tblPr>
      <w:tblGrid>
        <w:gridCol w:w="56"/>
        <w:gridCol w:w="150"/>
        <w:gridCol w:w="36"/>
        <w:gridCol w:w="57"/>
        <w:gridCol w:w="733"/>
        <w:gridCol w:w="36"/>
        <w:gridCol w:w="36"/>
        <w:gridCol w:w="74"/>
        <w:gridCol w:w="36"/>
        <w:gridCol w:w="57"/>
        <w:gridCol w:w="6382"/>
        <w:gridCol w:w="38"/>
      </w:tblGrid>
      <w:tr w:rsidR="0084406A" w14:paraId="5902B6CE" w14:textId="77777777">
        <w:trPr>
          <w:jc w:val="center"/>
        </w:trPr>
        <w:tc>
          <w:tcPr>
            <w:tcW w:w="50" w:type="pct"/>
            <w:shd w:val="clear" w:color="auto" w:fill="auto"/>
            <w:vAlign w:val="bottom"/>
          </w:tcPr>
          <w:p w14:paraId="5902B6C2" w14:textId="77777777" w:rsidR="0084406A" w:rsidRDefault="0084406A">
            <w:pPr>
              <w:rPr>
                <w:rFonts w:ascii="宋体"/>
              </w:rPr>
            </w:pPr>
          </w:p>
        </w:tc>
        <w:tc>
          <w:tcPr>
            <w:tcW w:w="111" w:type="pct"/>
            <w:shd w:val="clear" w:color="auto" w:fill="auto"/>
            <w:vAlign w:val="bottom"/>
          </w:tcPr>
          <w:p w14:paraId="5902B6C3" w14:textId="77777777" w:rsidR="0084406A" w:rsidRDefault="0084406A">
            <w:pPr>
              <w:rPr>
                <w:rFonts w:ascii="宋体"/>
              </w:rPr>
            </w:pPr>
          </w:p>
        </w:tc>
        <w:tc>
          <w:tcPr>
            <w:tcW w:w="5" w:type="pct"/>
            <w:shd w:val="clear" w:color="auto" w:fill="auto"/>
            <w:vAlign w:val="bottom"/>
          </w:tcPr>
          <w:p w14:paraId="5902B6C4" w14:textId="77777777" w:rsidR="0084406A" w:rsidRDefault="0084406A">
            <w:pPr>
              <w:rPr>
                <w:rFonts w:ascii="宋体"/>
              </w:rPr>
            </w:pPr>
          </w:p>
        </w:tc>
        <w:tc>
          <w:tcPr>
            <w:tcW w:w="50" w:type="pct"/>
            <w:shd w:val="clear" w:color="auto" w:fill="auto"/>
            <w:vAlign w:val="bottom"/>
          </w:tcPr>
          <w:p w14:paraId="5902B6C5" w14:textId="77777777" w:rsidR="0084406A" w:rsidRDefault="0084406A">
            <w:pPr>
              <w:rPr>
                <w:rFonts w:ascii="宋体"/>
              </w:rPr>
            </w:pPr>
          </w:p>
        </w:tc>
        <w:tc>
          <w:tcPr>
            <w:tcW w:w="491" w:type="pct"/>
            <w:shd w:val="clear" w:color="auto" w:fill="auto"/>
            <w:vAlign w:val="bottom"/>
          </w:tcPr>
          <w:p w14:paraId="5902B6C6" w14:textId="77777777" w:rsidR="0084406A" w:rsidRDefault="0084406A">
            <w:pPr>
              <w:rPr>
                <w:rFonts w:ascii="宋体"/>
              </w:rPr>
            </w:pPr>
          </w:p>
        </w:tc>
        <w:tc>
          <w:tcPr>
            <w:tcW w:w="5" w:type="pct"/>
            <w:shd w:val="clear" w:color="auto" w:fill="auto"/>
            <w:vAlign w:val="bottom"/>
          </w:tcPr>
          <w:p w14:paraId="5902B6C7" w14:textId="77777777" w:rsidR="0084406A" w:rsidRDefault="0084406A">
            <w:pPr>
              <w:rPr>
                <w:rFonts w:ascii="宋体"/>
              </w:rPr>
            </w:pPr>
          </w:p>
        </w:tc>
        <w:tc>
          <w:tcPr>
            <w:tcW w:w="5" w:type="pct"/>
            <w:shd w:val="clear" w:color="auto" w:fill="auto"/>
            <w:vAlign w:val="bottom"/>
          </w:tcPr>
          <w:p w14:paraId="5902B6C8" w14:textId="77777777" w:rsidR="0084406A" w:rsidRDefault="0084406A">
            <w:pPr>
              <w:rPr>
                <w:rFonts w:ascii="宋体"/>
              </w:rPr>
            </w:pPr>
          </w:p>
        </w:tc>
        <w:tc>
          <w:tcPr>
            <w:tcW w:w="61" w:type="pct"/>
            <w:shd w:val="clear" w:color="auto" w:fill="auto"/>
            <w:vAlign w:val="bottom"/>
          </w:tcPr>
          <w:p w14:paraId="5902B6C9" w14:textId="77777777" w:rsidR="0084406A" w:rsidRDefault="0084406A">
            <w:pPr>
              <w:rPr>
                <w:rFonts w:ascii="宋体"/>
              </w:rPr>
            </w:pPr>
          </w:p>
        </w:tc>
        <w:tc>
          <w:tcPr>
            <w:tcW w:w="5" w:type="pct"/>
            <w:shd w:val="clear" w:color="auto" w:fill="auto"/>
            <w:vAlign w:val="bottom"/>
          </w:tcPr>
          <w:p w14:paraId="5902B6CA" w14:textId="77777777" w:rsidR="0084406A" w:rsidRDefault="0084406A">
            <w:pPr>
              <w:rPr>
                <w:rFonts w:ascii="宋体"/>
              </w:rPr>
            </w:pPr>
          </w:p>
        </w:tc>
        <w:tc>
          <w:tcPr>
            <w:tcW w:w="50" w:type="pct"/>
            <w:shd w:val="clear" w:color="auto" w:fill="auto"/>
            <w:vAlign w:val="bottom"/>
          </w:tcPr>
          <w:p w14:paraId="5902B6CB" w14:textId="77777777" w:rsidR="0084406A" w:rsidRDefault="0084406A">
            <w:pPr>
              <w:rPr>
                <w:rFonts w:ascii="宋体"/>
              </w:rPr>
            </w:pPr>
          </w:p>
        </w:tc>
        <w:tc>
          <w:tcPr>
            <w:tcW w:w="4160" w:type="pct"/>
            <w:shd w:val="clear" w:color="auto" w:fill="auto"/>
            <w:vAlign w:val="bottom"/>
          </w:tcPr>
          <w:p w14:paraId="5902B6CC" w14:textId="77777777" w:rsidR="0084406A" w:rsidRDefault="0084406A">
            <w:pPr>
              <w:rPr>
                <w:rFonts w:ascii="宋体"/>
              </w:rPr>
            </w:pPr>
          </w:p>
        </w:tc>
        <w:tc>
          <w:tcPr>
            <w:tcW w:w="5" w:type="pct"/>
            <w:shd w:val="clear" w:color="auto" w:fill="auto"/>
            <w:vAlign w:val="bottom"/>
          </w:tcPr>
          <w:p w14:paraId="5902B6CD" w14:textId="77777777" w:rsidR="0084406A" w:rsidRDefault="0084406A">
            <w:pPr>
              <w:rPr>
                <w:rFonts w:ascii="宋体"/>
              </w:rPr>
            </w:pPr>
          </w:p>
        </w:tc>
      </w:tr>
      <w:tr w:rsidR="0084406A" w14:paraId="5902B6D3"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C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2" w14:textId="77777777" w:rsidR="0084406A" w:rsidRDefault="0084406A">
            <w:pPr>
              <w:rPr>
                <w:rFonts w:ascii="宋体"/>
              </w:rPr>
            </w:pPr>
          </w:p>
        </w:tc>
      </w:tr>
      <w:tr w:rsidR="0084406A" w14:paraId="5902B6D8" w14:textId="77777777">
        <w:trPr>
          <w:jc w:val="center"/>
        </w:trPr>
        <w:tc>
          <w:tcPr>
            <w:tcW w:w="0" w:type="auto"/>
            <w:gridSpan w:val="3"/>
            <w:shd w:val="clear" w:color="auto" w:fill="auto"/>
            <w:tcMar>
              <w:top w:w="0" w:type="dxa"/>
              <w:left w:w="20" w:type="dxa"/>
              <w:bottom w:w="0" w:type="dxa"/>
              <w:right w:w="20" w:type="dxa"/>
            </w:tcMar>
            <w:vAlign w:val="bottom"/>
          </w:tcPr>
          <w:p w14:paraId="5902B6D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D5" w14:textId="77777777" w:rsidR="0084406A" w:rsidRDefault="002B18AF">
            <w:pPr>
              <w:jc w:val="right"/>
              <w:textAlignment w:val="top"/>
            </w:pPr>
            <w:r>
              <w:rPr>
                <w:rFonts w:ascii="Arial" w:eastAsia="宋体" w:hAnsi="Arial" w:cs="Arial"/>
                <w:color w:val="000000"/>
                <w:sz w:val="20"/>
                <w:szCs w:val="20"/>
              </w:rPr>
              <w:t>*10.17</w:t>
            </w:r>
          </w:p>
        </w:tc>
        <w:tc>
          <w:tcPr>
            <w:tcW w:w="0" w:type="auto"/>
            <w:gridSpan w:val="3"/>
            <w:shd w:val="clear" w:color="auto" w:fill="auto"/>
            <w:tcMar>
              <w:top w:w="0" w:type="dxa"/>
              <w:left w:w="20" w:type="dxa"/>
              <w:bottom w:w="0" w:type="dxa"/>
              <w:right w:w="20" w:type="dxa"/>
            </w:tcMar>
            <w:vAlign w:val="bottom"/>
          </w:tcPr>
          <w:p w14:paraId="5902B6D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D7" w14:textId="77777777" w:rsidR="0084406A" w:rsidRDefault="002B18AF">
            <w:pPr>
              <w:textAlignment w:val="top"/>
            </w:pPr>
            <w:hyperlink r:id="rId122" w:history="1">
              <w:r>
                <w:rPr>
                  <w:rStyle w:val="a5"/>
                  <w:rFonts w:ascii="Arial" w:eastAsia="宋体" w:hAnsi="Arial" w:cs="Arial"/>
                  <w:sz w:val="20"/>
                  <w:szCs w:val="20"/>
                </w:rPr>
                <w:t xml:space="preserve">Form of Stock Option Agreement for Senior Vice Presidents and Above under the 2004 Equity Incentive Plan, filed as Exhibit 10.1 to AMD’s Quarterly Report on Form </w:t>
              </w:r>
              <w:r>
                <w:rPr>
                  <w:rStyle w:val="a5"/>
                  <w:rFonts w:ascii="Arial" w:eastAsia="宋体" w:hAnsi="Arial" w:cs="Arial"/>
                  <w:sz w:val="20"/>
                  <w:szCs w:val="20"/>
                </w:rPr>
                <w:t xml:space="preserve">10-Q for the fiscal quarter ended September 27, 2014, is hereby incorporated by reference. </w:t>
              </w:r>
            </w:hyperlink>
          </w:p>
        </w:tc>
      </w:tr>
      <w:tr w:rsidR="0084406A" w14:paraId="5902B6DD"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D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DC" w14:textId="77777777" w:rsidR="0084406A" w:rsidRDefault="0084406A">
            <w:pPr>
              <w:rPr>
                <w:rFonts w:ascii="宋体"/>
              </w:rPr>
            </w:pPr>
          </w:p>
        </w:tc>
      </w:tr>
      <w:tr w:rsidR="0084406A" w14:paraId="5902B6E2" w14:textId="77777777">
        <w:trPr>
          <w:jc w:val="center"/>
        </w:trPr>
        <w:tc>
          <w:tcPr>
            <w:tcW w:w="0" w:type="auto"/>
            <w:gridSpan w:val="3"/>
            <w:shd w:val="clear" w:color="auto" w:fill="auto"/>
            <w:tcMar>
              <w:top w:w="0" w:type="dxa"/>
              <w:left w:w="20" w:type="dxa"/>
              <w:bottom w:w="0" w:type="dxa"/>
              <w:right w:w="20" w:type="dxa"/>
            </w:tcMar>
            <w:vAlign w:val="bottom"/>
          </w:tcPr>
          <w:p w14:paraId="5902B6D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DF" w14:textId="77777777" w:rsidR="0084406A" w:rsidRDefault="002B18AF">
            <w:pPr>
              <w:jc w:val="right"/>
              <w:textAlignment w:val="top"/>
            </w:pPr>
            <w:r>
              <w:rPr>
                <w:rFonts w:ascii="Arial" w:eastAsia="宋体" w:hAnsi="Arial" w:cs="Arial"/>
                <w:color w:val="000000"/>
                <w:sz w:val="20"/>
                <w:szCs w:val="20"/>
              </w:rPr>
              <w:t>*10.18</w:t>
            </w:r>
          </w:p>
        </w:tc>
        <w:tc>
          <w:tcPr>
            <w:tcW w:w="0" w:type="auto"/>
            <w:gridSpan w:val="3"/>
            <w:shd w:val="clear" w:color="auto" w:fill="auto"/>
            <w:tcMar>
              <w:top w:w="0" w:type="dxa"/>
              <w:left w:w="20" w:type="dxa"/>
              <w:bottom w:w="0" w:type="dxa"/>
              <w:right w:w="20" w:type="dxa"/>
            </w:tcMar>
            <w:vAlign w:val="bottom"/>
          </w:tcPr>
          <w:p w14:paraId="5902B6E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E1" w14:textId="77777777" w:rsidR="0084406A" w:rsidRDefault="002B18AF">
            <w:pPr>
              <w:textAlignment w:val="top"/>
            </w:pPr>
            <w:hyperlink r:id="rId123" w:history="1">
              <w:r>
                <w:rPr>
                  <w:rStyle w:val="a5"/>
                  <w:rFonts w:ascii="Arial" w:eastAsia="宋体" w:hAnsi="Arial" w:cs="Arial"/>
                  <w:sz w:val="20"/>
                  <w:szCs w:val="20"/>
                </w:rPr>
                <w:t xml:space="preserve">Offer Letter, between Advanced Micro Devices, Inc. and Forrest E. Norrod, dated October 20, 2014, filed as Exhibit 10.66 to AMD’s Annual Report on Form 10-K for </w:t>
              </w:r>
              <w:r>
                <w:rPr>
                  <w:rStyle w:val="a5"/>
                  <w:rFonts w:ascii="Arial" w:eastAsia="宋体" w:hAnsi="Arial" w:cs="Arial"/>
                  <w:sz w:val="20"/>
                  <w:szCs w:val="20"/>
                </w:rPr>
                <w:t>the fiscal year ended December 27, 2014, is hereby incorporated by reference.</w:t>
              </w:r>
            </w:hyperlink>
          </w:p>
        </w:tc>
      </w:tr>
      <w:tr w:rsidR="0084406A" w14:paraId="5902B6E7"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E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E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E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E6" w14:textId="77777777" w:rsidR="0084406A" w:rsidRDefault="0084406A">
            <w:pPr>
              <w:rPr>
                <w:rFonts w:ascii="宋体"/>
              </w:rPr>
            </w:pPr>
          </w:p>
        </w:tc>
      </w:tr>
      <w:tr w:rsidR="0084406A" w14:paraId="5902B6EC" w14:textId="77777777">
        <w:trPr>
          <w:jc w:val="center"/>
        </w:trPr>
        <w:tc>
          <w:tcPr>
            <w:tcW w:w="0" w:type="auto"/>
            <w:gridSpan w:val="3"/>
            <w:shd w:val="clear" w:color="auto" w:fill="auto"/>
            <w:tcMar>
              <w:top w:w="0" w:type="dxa"/>
              <w:left w:w="20" w:type="dxa"/>
              <w:bottom w:w="0" w:type="dxa"/>
              <w:right w:w="20" w:type="dxa"/>
            </w:tcMar>
            <w:vAlign w:val="bottom"/>
          </w:tcPr>
          <w:p w14:paraId="5902B6E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E9" w14:textId="77777777" w:rsidR="0084406A" w:rsidRDefault="002B18AF">
            <w:pPr>
              <w:jc w:val="right"/>
              <w:textAlignment w:val="top"/>
            </w:pPr>
            <w:r>
              <w:rPr>
                <w:rFonts w:ascii="Arial" w:eastAsia="宋体" w:hAnsi="Arial" w:cs="Arial"/>
                <w:color w:val="000000"/>
                <w:sz w:val="20"/>
                <w:szCs w:val="20"/>
              </w:rPr>
              <w:t>*10.19</w:t>
            </w:r>
          </w:p>
        </w:tc>
        <w:tc>
          <w:tcPr>
            <w:tcW w:w="0" w:type="auto"/>
            <w:gridSpan w:val="3"/>
            <w:shd w:val="clear" w:color="auto" w:fill="auto"/>
            <w:tcMar>
              <w:top w:w="0" w:type="dxa"/>
              <w:left w:w="20" w:type="dxa"/>
              <w:bottom w:w="0" w:type="dxa"/>
              <w:right w:w="20" w:type="dxa"/>
            </w:tcMar>
            <w:vAlign w:val="bottom"/>
          </w:tcPr>
          <w:p w14:paraId="5902B6E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EB" w14:textId="77777777" w:rsidR="0084406A" w:rsidRDefault="002B18AF">
            <w:pPr>
              <w:textAlignment w:val="top"/>
            </w:pPr>
            <w:hyperlink r:id="rId124" w:history="1">
              <w:r>
                <w:rPr>
                  <w:rStyle w:val="a5"/>
                  <w:rFonts w:ascii="Arial" w:eastAsia="宋体" w:hAnsi="Arial" w:cs="Arial"/>
                  <w:sz w:val="20"/>
                  <w:szCs w:val="20"/>
                </w:rPr>
                <w:t xml:space="preserve">Advanced Micro Devices, Inc. Executive Severance Plan and Summary Plan Description for Senior Vice Presidents effective December 31, 2014, filed as </w:t>
              </w:r>
              <w:r>
                <w:rPr>
                  <w:rStyle w:val="a5"/>
                  <w:rFonts w:ascii="Arial" w:eastAsia="宋体" w:hAnsi="Arial" w:cs="Arial"/>
                  <w:sz w:val="20"/>
                  <w:szCs w:val="20"/>
                </w:rPr>
                <w:t>Exhibit 10.68 to AMD’s Annual Report on Form 10-K for the fiscal year ended December 27, 2014, is hereby incorporated by reference.</w:t>
              </w:r>
            </w:hyperlink>
          </w:p>
        </w:tc>
      </w:tr>
      <w:tr w:rsidR="0084406A" w14:paraId="5902B6F1"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E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E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E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F0" w14:textId="77777777" w:rsidR="0084406A" w:rsidRDefault="0084406A">
            <w:pPr>
              <w:rPr>
                <w:rFonts w:ascii="宋体"/>
              </w:rPr>
            </w:pPr>
          </w:p>
        </w:tc>
      </w:tr>
      <w:tr w:rsidR="0084406A" w14:paraId="5902B6F6" w14:textId="77777777">
        <w:trPr>
          <w:jc w:val="center"/>
        </w:trPr>
        <w:tc>
          <w:tcPr>
            <w:tcW w:w="0" w:type="auto"/>
            <w:gridSpan w:val="3"/>
            <w:shd w:val="clear" w:color="auto" w:fill="auto"/>
            <w:tcMar>
              <w:top w:w="0" w:type="dxa"/>
              <w:left w:w="20" w:type="dxa"/>
              <w:bottom w:w="0" w:type="dxa"/>
              <w:right w:w="20" w:type="dxa"/>
            </w:tcMar>
            <w:vAlign w:val="bottom"/>
          </w:tcPr>
          <w:p w14:paraId="5902B6F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F3" w14:textId="77777777" w:rsidR="0084406A" w:rsidRDefault="002B18AF">
            <w:pPr>
              <w:jc w:val="right"/>
              <w:textAlignment w:val="top"/>
            </w:pPr>
            <w:r>
              <w:rPr>
                <w:rFonts w:ascii="Arial" w:eastAsia="宋体" w:hAnsi="Arial" w:cs="Arial"/>
                <w:color w:val="000000"/>
                <w:sz w:val="20"/>
                <w:szCs w:val="20"/>
              </w:rPr>
              <w:t>*10.20</w:t>
            </w:r>
          </w:p>
        </w:tc>
        <w:tc>
          <w:tcPr>
            <w:tcW w:w="0" w:type="auto"/>
            <w:gridSpan w:val="3"/>
            <w:shd w:val="clear" w:color="auto" w:fill="auto"/>
            <w:tcMar>
              <w:top w:w="0" w:type="dxa"/>
              <w:left w:w="20" w:type="dxa"/>
              <w:bottom w:w="0" w:type="dxa"/>
              <w:right w:w="20" w:type="dxa"/>
            </w:tcMar>
            <w:vAlign w:val="bottom"/>
          </w:tcPr>
          <w:p w14:paraId="5902B6F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6F5" w14:textId="77777777" w:rsidR="0084406A" w:rsidRDefault="002B18AF">
            <w:pPr>
              <w:textAlignment w:val="top"/>
            </w:pPr>
            <w:hyperlink r:id="rId125" w:history="1">
              <w:r>
                <w:rPr>
                  <w:rStyle w:val="a5"/>
                  <w:rFonts w:ascii="Arial" w:eastAsia="宋体" w:hAnsi="Arial" w:cs="Arial"/>
                  <w:sz w:val="20"/>
                  <w:szCs w:val="20"/>
                </w:rPr>
                <w:t>Form of Stock Option Agreement for Senior Vice Presidents and Above under the 2004 Equity Incentive Plan, filed as Exhibit 10.1 to AMD’s Quarterly Re</w:t>
              </w:r>
              <w:r>
                <w:rPr>
                  <w:rStyle w:val="a5"/>
                  <w:rFonts w:ascii="Arial" w:eastAsia="宋体" w:hAnsi="Arial" w:cs="Arial"/>
                  <w:sz w:val="20"/>
                  <w:szCs w:val="20"/>
                </w:rPr>
                <w:t>port on Form 10-Q for the fiscal quarter ended September 26, 2015, is hereby incorporated by reference.</w:t>
              </w:r>
            </w:hyperlink>
          </w:p>
        </w:tc>
      </w:tr>
      <w:tr w:rsidR="0084406A" w14:paraId="5902B6FB"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6F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F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F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6FA" w14:textId="77777777" w:rsidR="0084406A" w:rsidRDefault="0084406A">
            <w:pPr>
              <w:rPr>
                <w:rFonts w:ascii="宋体"/>
              </w:rPr>
            </w:pPr>
          </w:p>
        </w:tc>
      </w:tr>
      <w:tr w:rsidR="0084406A" w14:paraId="5902B701" w14:textId="77777777">
        <w:trPr>
          <w:jc w:val="center"/>
        </w:trPr>
        <w:tc>
          <w:tcPr>
            <w:tcW w:w="0" w:type="auto"/>
            <w:gridSpan w:val="3"/>
            <w:shd w:val="clear" w:color="auto" w:fill="auto"/>
            <w:tcMar>
              <w:top w:w="0" w:type="dxa"/>
              <w:left w:w="20" w:type="dxa"/>
              <w:bottom w:w="0" w:type="dxa"/>
              <w:right w:w="20" w:type="dxa"/>
            </w:tcMar>
            <w:vAlign w:val="bottom"/>
          </w:tcPr>
          <w:p w14:paraId="5902B6FC"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6FD" w14:textId="77777777" w:rsidR="0084406A" w:rsidRDefault="002B18AF">
            <w:pPr>
              <w:jc w:val="right"/>
              <w:textAlignment w:val="top"/>
            </w:pPr>
            <w:r>
              <w:rPr>
                <w:rFonts w:ascii="Arial" w:eastAsia="宋体" w:hAnsi="Arial" w:cs="Arial"/>
                <w:color w:val="000000"/>
                <w:sz w:val="20"/>
                <w:szCs w:val="20"/>
              </w:rPr>
              <w:t>10.21 </w:t>
            </w:r>
          </w:p>
        </w:tc>
        <w:tc>
          <w:tcPr>
            <w:tcW w:w="0" w:type="auto"/>
            <w:shd w:val="clear" w:color="auto" w:fill="auto"/>
            <w:tcMar>
              <w:top w:w="40" w:type="dxa"/>
              <w:left w:w="0" w:type="dxa"/>
              <w:bottom w:w="40" w:type="dxa"/>
              <w:right w:w="20" w:type="dxa"/>
            </w:tcMar>
          </w:tcPr>
          <w:p w14:paraId="5902B6FE"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6F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00" w14:textId="77777777" w:rsidR="0084406A" w:rsidRDefault="002B18AF">
            <w:pPr>
              <w:textAlignment w:val="top"/>
            </w:pPr>
            <w:hyperlink r:id="rId126" w:history="1">
              <w:r>
                <w:rPr>
                  <w:rStyle w:val="a5"/>
                  <w:rFonts w:ascii="Arial" w:eastAsia="宋体" w:hAnsi="Arial" w:cs="Arial"/>
                  <w:sz w:val="20"/>
                  <w:szCs w:val="20"/>
                </w:rPr>
                <w:t>Equity Interest Purchase Agreement by and between Advanced Micro Devices, Inc. and Nantong Fujitsu Microelectronics Co., Ltd. dated as of October 15, 2015, filed as Exhib</w:t>
              </w:r>
              <w:r>
                <w:rPr>
                  <w:rStyle w:val="a5"/>
                  <w:rFonts w:ascii="Arial" w:eastAsia="宋体" w:hAnsi="Arial" w:cs="Arial"/>
                  <w:sz w:val="20"/>
                  <w:szCs w:val="20"/>
                </w:rPr>
                <w:t>it 10.1 to AMD’s Current Report on Form 8-K dated October 15, 2015, is hereby incorporated by reference.</w:t>
              </w:r>
            </w:hyperlink>
          </w:p>
        </w:tc>
      </w:tr>
      <w:tr w:rsidR="0084406A" w14:paraId="5902B70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0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5" w14:textId="77777777" w:rsidR="0084406A" w:rsidRDefault="0084406A">
            <w:pPr>
              <w:rPr>
                <w:rFonts w:ascii="宋体"/>
              </w:rPr>
            </w:pPr>
          </w:p>
        </w:tc>
      </w:tr>
      <w:tr w:rsidR="0084406A" w14:paraId="5902B70B" w14:textId="77777777">
        <w:trPr>
          <w:jc w:val="center"/>
        </w:trPr>
        <w:tc>
          <w:tcPr>
            <w:tcW w:w="0" w:type="auto"/>
            <w:gridSpan w:val="3"/>
            <w:shd w:val="clear" w:color="auto" w:fill="auto"/>
            <w:tcMar>
              <w:top w:w="0" w:type="dxa"/>
              <w:left w:w="20" w:type="dxa"/>
              <w:bottom w:w="0" w:type="dxa"/>
              <w:right w:w="20" w:type="dxa"/>
            </w:tcMar>
            <w:vAlign w:val="bottom"/>
          </w:tcPr>
          <w:p w14:paraId="5902B70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08" w14:textId="77777777" w:rsidR="0084406A" w:rsidRDefault="002B18AF">
            <w:pPr>
              <w:jc w:val="right"/>
              <w:textAlignment w:val="top"/>
            </w:pPr>
            <w:r>
              <w:rPr>
                <w:rFonts w:ascii="Arial" w:eastAsia="宋体" w:hAnsi="Arial" w:cs="Arial"/>
                <w:color w:val="000000"/>
                <w:sz w:val="20"/>
                <w:szCs w:val="20"/>
              </w:rPr>
              <w:t>*10.22</w:t>
            </w:r>
          </w:p>
        </w:tc>
        <w:tc>
          <w:tcPr>
            <w:tcW w:w="0" w:type="auto"/>
            <w:gridSpan w:val="3"/>
            <w:shd w:val="clear" w:color="auto" w:fill="auto"/>
            <w:tcMar>
              <w:top w:w="0" w:type="dxa"/>
              <w:left w:w="20" w:type="dxa"/>
              <w:bottom w:w="0" w:type="dxa"/>
              <w:right w:w="20" w:type="dxa"/>
            </w:tcMar>
            <w:vAlign w:val="bottom"/>
          </w:tcPr>
          <w:p w14:paraId="5902B70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0A" w14:textId="77777777" w:rsidR="0084406A" w:rsidRDefault="002B18AF">
            <w:pPr>
              <w:textAlignment w:val="top"/>
            </w:pPr>
            <w:hyperlink r:id="rId127" w:history="1">
              <w:r>
                <w:rPr>
                  <w:rStyle w:val="a5"/>
                  <w:rFonts w:ascii="Arial" w:eastAsia="宋体" w:hAnsi="Arial" w:cs="Arial"/>
                  <w:sz w:val="20"/>
                  <w:szCs w:val="20"/>
                </w:rPr>
                <w:t>Form of Stock Option Agreement for Senior Vice Presidents and Above under the 2004 Equity Incentive Plan, filed as Exhibit 10.78 to AMD's Annual Repo</w:t>
              </w:r>
              <w:r>
                <w:rPr>
                  <w:rStyle w:val="a5"/>
                  <w:rFonts w:ascii="Arial" w:eastAsia="宋体" w:hAnsi="Arial" w:cs="Arial"/>
                  <w:sz w:val="20"/>
                  <w:szCs w:val="20"/>
                </w:rPr>
                <w:t>rt on Form 10-K for the fiscal year ended December 26, 2015, is hereby incorporated by reference.</w:t>
              </w:r>
            </w:hyperlink>
          </w:p>
        </w:tc>
      </w:tr>
      <w:tr w:rsidR="0084406A" w14:paraId="5902B71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0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0F" w14:textId="77777777" w:rsidR="0084406A" w:rsidRDefault="0084406A">
            <w:pPr>
              <w:rPr>
                <w:rFonts w:ascii="宋体"/>
              </w:rPr>
            </w:pPr>
          </w:p>
        </w:tc>
      </w:tr>
      <w:tr w:rsidR="0084406A" w14:paraId="5902B715" w14:textId="77777777">
        <w:trPr>
          <w:jc w:val="center"/>
        </w:trPr>
        <w:tc>
          <w:tcPr>
            <w:tcW w:w="0" w:type="auto"/>
            <w:gridSpan w:val="3"/>
            <w:shd w:val="clear" w:color="auto" w:fill="auto"/>
            <w:tcMar>
              <w:top w:w="0" w:type="dxa"/>
              <w:left w:w="20" w:type="dxa"/>
              <w:bottom w:w="0" w:type="dxa"/>
              <w:right w:w="20" w:type="dxa"/>
            </w:tcMar>
            <w:vAlign w:val="bottom"/>
          </w:tcPr>
          <w:p w14:paraId="5902B71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12" w14:textId="77777777" w:rsidR="0084406A" w:rsidRDefault="002B18AF">
            <w:pPr>
              <w:jc w:val="right"/>
              <w:textAlignment w:val="top"/>
            </w:pPr>
            <w:r>
              <w:rPr>
                <w:rFonts w:ascii="Arial" w:eastAsia="宋体" w:hAnsi="Arial" w:cs="Arial"/>
                <w:color w:val="000000"/>
                <w:sz w:val="20"/>
                <w:szCs w:val="20"/>
              </w:rPr>
              <w:t>*10.23</w:t>
            </w:r>
          </w:p>
        </w:tc>
        <w:tc>
          <w:tcPr>
            <w:tcW w:w="0" w:type="auto"/>
            <w:gridSpan w:val="3"/>
            <w:shd w:val="clear" w:color="auto" w:fill="auto"/>
            <w:tcMar>
              <w:top w:w="0" w:type="dxa"/>
              <w:left w:w="20" w:type="dxa"/>
              <w:bottom w:w="0" w:type="dxa"/>
              <w:right w:w="20" w:type="dxa"/>
            </w:tcMar>
            <w:vAlign w:val="bottom"/>
          </w:tcPr>
          <w:p w14:paraId="5902B71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714" w14:textId="77777777" w:rsidR="0084406A" w:rsidRDefault="002B18AF">
            <w:pPr>
              <w:textAlignment w:val="bottom"/>
            </w:pPr>
            <w:hyperlink r:id="rId128" w:history="1">
              <w:r>
                <w:rPr>
                  <w:rStyle w:val="a5"/>
                  <w:rFonts w:ascii="Arial" w:eastAsia="宋体" w:hAnsi="Arial" w:cs="Arial"/>
                  <w:sz w:val="20"/>
                  <w:szCs w:val="20"/>
                </w:rPr>
                <w:t>Form of Restricted Stock Unit Agreement for Senior Vice Presidents and Above under the 2004 Equity Incentive Plan, filed as Exhibit 10.79 to AMD's An</w:t>
              </w:r>
              <w:r>
                <w:rPr>
                  <w:rStyle w:val="a5"/>
                  <w:rFonts w:ascii="Arial" w:eastAsia="宋体" w:hAnsi="Arial" w:cs="Arial"/>
                  <w:sz w:val="20"/>
                  <w:szCs w:val="20"/>
                </w:rPr>
                <w:t>nual Report on Form 10-K for the fiscal year ended December 26, 2015, is hereby incorporated by reference.</w:t>
              </w:r>
            </w:hyperlink>
          </w:p>
        </w:tc>
      </w:tr>
      <w:tr w:rsidR="0084406A" w14:paraId="5902B71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1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1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1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19" w14:textId="77777777" w:rsidR="0084406A" w:rsidRDefault="0084406A">
            <w:pPr>
              <w:rPr>
                <w:rFonts w:ascii="宋体"/>
              </w:rPr>
            </w:pPr>
          </w:p>
        </w:tc>
      </w:tr>
      <w:tr w:rsidR="0084406A" w14:paraId="5902B71F" w14:textId="77777777">
        <w:trPr>
          <w:jc w:val="center"/>
        </w:trPr>
        <w:tc>
          <w:tcPr>
            <w:tcW w:w="0" w:type="auto"/>
            <w:gridSpan w:val="3"/>
            <w:shd w:val="clear" w:color="auto" w:fill="auto"/>
            <w:tcMar>
              <w:top w:w="0" w:type="dxa"/>
              <w:left w:w="20" w:type="dxa"/>
              <w:bottom w:w="0" w:type="dxa"/>
              <w:right w:w="20" w:type="dxa"/>
            </w:tcMar>
            <w:vAlign w:val="bottom"/>
          </w:tcPr>
          <w:p w14:paraId="5902B71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1C" w14:textId="77777777" w:rsidR="0084406A" w:rsidRDefault="002B18AF">
            <w:pPr>
              <w:jc w:val="right"/>
              <w:textAlignment w:val="top"/>
            </w:pPr>
            <w:r>
              <w:rPr>
                <w:rFonts w:ascii="Arial" w:eastAsia="宋体" w:hAnsi="Arial" w:cs="Arial"/>
                <w:color w:val="000000"/>
                <w:sz w:val="20"/>
                <w:szCs w:val="20"/>
              </w:rPr>
              <w:t>*10.24</w:t>
            </w:r>
          </w:p>
        </w:tc>
        <w:tc>
          <w:tcPr>
            <w:tcW w:w="0" w:type="auto"/>
            <w:gridSpan w:val="3"/>
            <w:shd w:val="clear" w:color="auto" w:fill="auto"/>
            <w:tcMar>
              <w:top w:w="0" w:type="dxa"/>
              <w:left w:w="20" w:type="dxa"/>
              <w:bottom w:w="0" w:type="dxa"/>
              <w:right w:w="20" w:type="dxa"/>
            </w:tcMar>
            <w:vAlign w:val="bottom"/>
          </w:tcPr>
          <w:p w14:paraId="5902B71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1E" w14:textId="77777777" w:rsidR="0084406A" w:rsidRDefault="002B18AF">
            <w:pPr>
              <w:textAlignment w:val="top"/>
            </w:pPr>
            <w:hyperlink r:id="rId129" w:history="1">
              <w:r>
                <w:rPr>
                  <w:rStyle w:val="a5"/>
                  <w:rFonts w:ascii="Arial" w:eastAsia="宋体" w:hAnsi="Arial" w:cs="Arial"/>
                  <w:sz w:val="20"/>
                  <w:szCs w:val="20"/>
                </w:rPr>
                <w:t>Form of Performance-Based Restricted Stock Unit Agreement for Senior Vice Presidents and Above under the 2004 Equity Incentive Plan, filed as Exhibit</w:t>
              </w:r>
              <w:r>
                <w:rPr>
                  <w:rStyle w:val="a5"/>
                  <w:rFonts w:ascii="Arial" w:eastAsia="宋体" w:hAnsi="Arial" w:cs="Arial"/>
                  <w:sz w:val="20"/>
                  <w:szCs w:val="20"/>
                </w:rPr>
                <w:t xml:space="preserve"> 10.80 to AMD's Annual Report on Form 10-K for the fiscal year ended December 26, 2015, is hereby incorporated by reference.</w:t>
              </w:r>
            </w:hyperlink>
          </w:p>
        </w:tc>
      </w:tr>
      <w:tr w:rsidR="0084406A" w14:paraId="5902B72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2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3" w14:textId="77777777" w:rsidR="0084406A" w:rsidRDefault="0084406A">
            <w:pPr>
              <w:rPr>
                <w:rFonts w:ascii="宋体"/>
              </w:rPr>
            </w:pPr>
          </w:p>
        </w:tc>
      </w:tr>
      <w:tr w:rsidR="0084406A" w14:paraId="5902B729" w14:textId="77777777">
        <w:trPr>
          <w:jc w:val="center"/>
        </w:trPr>
        <w:tc>
          <w:tcPr>
            <w:tcW w:w="0" w:type="auto"/>
            <w:gridSpan w:val="3"/>
            <w:shd w:val="clear" w:color="auto" w:fill="auto"/>
            <w:tcMar>
              <w:top w:w="0" w:type="dxa"/>
              <w:left w:w="20" w:type="dxa"/>
              <w:bottom w:w="0" w:type="dxa"/>
              <w:right w:w="20" w:type="dxa"/>
            </w:tcMar>
            <w:vAlign w:val="bottom"/>
          </w:tcPr>
          <w:p w14:paraId="5902B72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26" w14:textId="77777777" w:rsidR="0084406A" w:rsidRDefault="002B18AF">
            <w:pPr>
              <w:jc w:val="right"/>
              <w:textAlignment w:val="top"/>
            </w:pPr>
            <w:r>
              <w:rPr>
                <w:rFonts w:ascii="Arial" w:eastAsia="宋体" w:hAnsi="Arial" w:cs="Arial"/>
                <w:color w:val="000000"/>
                <w:sz w:val="20"/>
                <w:szCs w:val="20"/>
              </w:rPr>
              <w:t>*10.25</w:t>
            </w:r>
          </w:p>
        </w:tc>
        <w:tc>
          <w:tcPr>
            <w:tcW w:w="0" w:type="auto"/>
            <w:gridSpan w:val="3"/>
            <w:shd w:val="clear" w:color="auto" w:fill="auto"/>
            <w:tcMar>
              <w:top w:w="0" w:type="dxa"/>
              <w:left w:w="20" w:type="dxa"/>
              <w:bottom w:w="0" w:type="dxa"/>
              <w:right w:w="20" w:type="dxa"/>
            </w:tcMar>
            <w:vAlign w:val="bottom"/>
          </w:tcPr>
          <w:p w14:paraId="5902B72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28" w14:textId="77777777" w:rsidR="0084406A" w:rsidRDefault="002B18AF">
            <w:pPr>
              <w:textAlignment w:val="top"/>
            </w:pPr>
            <w:hyperlink r:id="rId130" w:history="1">
              <w:r>
                <w:rPr>
                  <w:rStyle w:val="a5"/>
                  <w:rFonts w:ascii="Arial" w:eastAsia="宋体" w:hAnsi="Arial" w:cs="Arial"/>
                  <w:sz w:val="20"/>
                  <w:szCs w:val="20"/>
                </w:rPr>
                <w:t>Form of Stock Option Agreement for Senior Vice Presidents and Above under the 2004 Equity Incentive Plan, filed as Exhibit 10.88 to AMD’s Annual Repo</w:t>
              </w:r>
              <w:r>
                <w:rPr>
                  <w:rStyle w:val="a5"/>
                  <w:rFonts w:ascii="Arial" w:eastAsia="宋体" w:hAnsi="Arial" w:cs="Arial"/>
                  <w:sz w:val="20"/>
                  <w:szCs w:val="20"/>
                </w:rPr>
                <w:t>rt on Form 10-K for the fiscal year ended December 31, 2016, is hereby incorporated by reference.</w:t>
              </w:r>
            </w:hyperlink>
          </w:p>
        </w:tc>
      </w:tr>
      <w:tr w:rsidR="0084406A" w14:paraId="5902B72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2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2D" w14:textId="77777777" w:rsidR="0084406A" w:rsidRDefault="0084406A">
            <w:pPr>
              <w:rPr>
                <w:rFonts w:ascii="宋体"/>
              </w:rPr>
            </w:pPr>
          </w:p>
        </w:tc>
      </w:tr>
      <w:tr w:rsidR="0084406A" w14:paraId="5902B733" w14:textId="77777777">
        <w:trPr>
          <w:jc w:val="center"/>
        </w:trPr>
        <w:tc>
          <w:tcPr>
            <w:tcW w:w="0" w:type="auto"/>
            <w:gridSpan w:val="3"/>
            <w:shd w:val="clear" w:color="auto" w:fill="auto"/>
            <w:tcMar>
              <w:top w:w="0" w:type="dxa"/>
              <w:left w:w="20" w:type="dxa"/>
              <w:bottom w:w="0" w:type="dxa"/>
              <w:right w:w="20" w:type="dxa"/>
            </w:tcMar>
            <w:vAlign w:val="bottom"/>
          </w:tcPr>
          <w:p w14:paraId="5902B72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30" w14:textId="77777777" w:rsidR="0084406A" w:rsidRDefault="002B18AF">
            <w:pPr>
              <w:jc w:val="right"/>
              <w:textAlignment w:val="top"/>
            </w:pPr>
            <w:r>
              <w:rPr>
                <w:rFonts w:ascii="Arial" w:eastAsia="宋体" w:hAnsi="Arial" w:cs="Arial"/>
                <w:color w:val="000000"/>
                <w:sz w:val="20"/>
                <w:szCs w:val="20"/>
              </w:rPr>
              <w:t>*10.26</w:t>
            </w:r>
          </w:p>
        </w:tc>
        <w:tc>
          <w:tcPr>
            <w:tcW w:w="0" w:type="auto"/>
            <w:gridSpan w:val="3"/>
            <w:shd w:val="clear" w:color="auto" w:fill="auto"/>
            <w:tcMar>
              <w:top w:w="0" w:type="dxa"/>
              <w:left w:w="20" w:type="dxa"/>
              <w:bottom w:w="0" w:type="dxa"/>
              <w:right w:w="20" w:type="dxa"/>
            </w:tcMar>
            <w:vAlign w:val="bottom"/>
          </w:tcPr>
          <w:p w14:paraId="5902B73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32" w14:textId="77777777" w:rsidR="0084406A" w:rsidRDefault="002B18AF">
            <w:pPr>
              <w:textAlignment w:val="top"/>
            </w:pPr>
            <w:hyperlink r:id="rId131" w:history="1">
              <w:r>
                <w:rPr>
                  <w:rStyle w:val="a5"/>
                  <w:rFonts w:ascii="Arial" w:eastAsia="宋体" w:hAnsi="Arial" w:cs="Arial"/>
                  <w:sz w:val="20"/>
                  <w:szCs w:val="20"/>
                </w:rPr>
                <w:t>Form of Restricted Stock Unit Agreement for Senior Vice Presidents and Above under the 2004 Equity Plan, filed as Exhibit 10.89 to AMD’s Annual Repor</w:t>
              </w:r>
              <w:r>
                <w:rPr>
                  <w:rStyle w:val="a5"/>
                  <w:rFonts w:ascii="Arial" w:eastAsia="宋体" w:hAnsi="Arial" w:cs="Arial"/>
                  <w:sz w:val="20"/>
                  <w:szCs w:val="20"/>
                </w:rPr>
                <w:t>t on Form 10-K for the fiscal year ended December 31, 2016, is hereby incorporated by reference.</w:t>
              </w:r>
            </w:hyperlink>
          </w:p>
        </w:tc>
      </w:tr>
      <w:tr w:rsidR="0084406A" w14:paraId="5902B73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3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3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3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37" w14:textId="77777777" w:rsidR="0084406A" w:rsidRDefault="0084406A">
            <w:pPr>
              <w:rPr>
                <w:rFonts w:ascii="宋体"/>
              </w:rPr>
            </w:pPr>
          </w:p>
        </w:tc>
      </w:tr>
      <w:tr w:rsidR="0084406A" w14:paraId="5902B73D" w14:textId="77777777">
        <w:trPr>
          <w:jc w:val="center"/>
        </w:trPr>
        <w:tc>
          <w:tcPr>
            <w:tcW w:w="0" w:type="auto"/>
            <w:gridSpan w:val="3"/>
            <w:shd w:val="clear" w:color="auto" w:fill="auto"/>
            <w:tcMar>
              <w:top w:w="0" w:type="dxa"/>
              <w:left w:w="20" w:type="dxa"/>
              <w:bottom w:w="0" w:type="dxa"/>
              <w:right w:w="20" w:type="dxa"/>
            </w:tcMar>
            <w:vAlign w:val="bottom"/>
          </w:tcPr>
          <w:p w14:paraId="5902B73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3A" w14:textId="77777777" w:rsidR="0084406A" w:rsidRDefault="002B18AF">
            <w:pPr>
              <w:jc w:val="right"/>
              <w:textAlignment w:val="top"/>
            </w:pPr>
            <w:r>
              <w:rPr>
                <w:rFonts w:ascii="Arial" w:eastAsia="宋体" w:hAnsi="Arial" w:cs="Arial"/>
                <w:color w:val="000000"/>
                <w:sz w:val="20"/>
                <w:szCs w:val="20"/>
              </w:rPr>
              <w:t>*10.27</w:t>
            </w:r>
          </w:p>
        </w:tc>
        <w:tc>
          <w:tcPr>
            <w:tcW w:w="0" w:type="auto"/>
            <w:gridSpan w:val="3"/>
            <w:shd w:val="clear" w:color="auto" w:fill="auto"/>
            <w:tcMar>
              <w:top w:w="0" w:type="dxa"/>
              <w:left w:w="20" w:type="dxa"/>
              <w:bottom w:w="0" w:type="dxa"/>
              <w:right w:w="20" w:type="dxa"/>
            </w:tcMar>
            <w:vAlign w:val="bottom"/>
          </w:tcPr>
          <w:p w14:paraId="5902B73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3C" w14:textId="77777777" w:rsidR="0084406A" w:rsidRDefault="002B18AF">
            <w:pPr>
              <w:textAlignment w:val="top"/>
            </w:pPr>
            <w:hyperlink r:id="rId132" w:history="1">
              <w:r>
                <w:rPr>
                  <w:rStyle w:val="a5"/>
                  <w:rFonts w:ascii="Arial" w:eastAsia="宋体" w:hAnsi="Arial" w:cs="Arial"/>
                  <w:sz w:val="20"/>
                  <w:szCs w:val="20"/>
                </w:rPr>
                <w:t>Form of Performance-Based Restricted Stock Unit Agreement for Senior Vice Presidents and Above under the 2004 Equity Incentive Plan, filed as Exhibit</w:t>
              </w:r>
              <w:r>
                <w:rPr>
                  <w:rStyle w:val="a5"/>
                  <w:rFonts w:ascii="Arial" w:eastAsia="宋体" w:hAnsi="Arial" w:cs="Arial"/>
                  <w:sz w:val="20"/>
                  <w:szCs w:val="20"/>
                </w:rPr>
                <w:t xml:space="preserve"> 10.90 to AMD’s Annual Report on Form 10-K for the fiscal year ended December 31, 2016, is hereby incorporated by reference. </w:t>
              </w:r>
            </w:hyperlink>
          </w:p>
        </w:tc>
      </w:tr>
      <w:tr w:rsidR="0084406A" w14:paraId="5902B74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3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3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4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41" w14:textId="77777777" w:rsidR="0084406A" w:rsidRDefault="0084406A">
            <w:pPr>
              <w:rPr>
                <w:rFonts w:ascii="宋体"/>
              </w:rPr>
            </w:pPr>
          </w:p>
        </w:tc>
      </w:tr>
      <w:tr w:rsidR="0084406A" w14:paraId="5902B747" w14:textId="77777777">
        <w:trPr>
          <w:jc w:val="center"/>
        </w:trPr>
        <w:tc>
          <w:tcPr>
            <w:tcW w:w="0" w:type="auto"/>
            <w:gridSpan w:val="3"/>
            <w:shd w:val="clear" w:color="auto" w:fill="auto"/>
            <w:tcMar>
              <w:top w:w="0" w:type="dxa"/>
              <w:left w:w="20" w:type="dxa"/>
              <w:bottom w:w="0" w:type="dxa"/>
              <w:right w:w="20" w:type="dxa"/>
            </w:tcMar>
            <w:vAlign w:val="bottom"/>
          </w:tcPr>
          <w:p w14:paraId="5902B74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44" w14:textId="77777777" w:rsidR="0084406A" w:rsidRDefault="002B18AF">
            <w:pPr>
              <w:jc w:val="right"/>
              <w:textAlignment w:val="top"/>
            </w:pPr>
            <w:r>
              <w:rPr>
                <w:rFonts w:ascii="Arial" w:eastAsia="宋体" w:hAnsi="Arial" w:cs="Arial"/>
                <w:color w:val="000000"/>
                <w:sz w:val="20"/>
                <w:szCs w:val="20"/>
              </w:rPr>
              <w:t>*10.28</w:t>
            </w:r>
          </w:p>
        </w:tc>
        <w:tc>
          <w:tcPr>
            <w:tcW w:w="0" w:type="auto"/>
            <w:gridSpan w:val="3"/>
            <w:shd w:val="clear" w:color="auto" w:fill="auto"/>
            <w:tcMar>
              <w:top w:w="0" w:type="dxa"/>
              <w:left w:w="20" w:type="dxa"/>
              <w:bottom w:w="0" w:type="dxa"/>
              <w:right w:w="20" w:type="dxa"/>
            </w:tcMar>
            <w:vAlign w:val="bottom"/>
          </w:tcPr>
          <w:p w14:paraId="5902B74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46" w14:textId="77777777" w:rsidR="0084406A" w:rsidRDefault="002B18AF">
            <w:pPr>
              <w:textAlignment w:val="top"/>
            </w:pPr>
            <w:hyperlink r:id="rId133" w:history="1">
              <w:r>
                <w:rPr>
                  <w:rStyle w:val="a5"/>
                  <w:rFonts w:ascii="Arial" w:eastAsia="宋体" w:hAnsi="Arial" w:cs="Arial"/>
                  <w:sz w:val="20"/>
                  <w:szCs w:val="20"/>
                </w:rPr>
                <w:t>Form of Stock Option Agreement for Senior Vice Presidents and Above under the 2004 Equity Incentive Plan, filed as Exhibit 10.2 to AMD’s Quarterly Re</w:t>
              </w:r>
              <w:r>
                <w:rPr>
                  <w:rStyle w:val="a5"/>
                  <w:rFonts w:ascii="Arial" w:eastAsia="宋体" w:hAnsi="Arial" w:cs="Arial"/>
                  <w:sz w:val="20"/>
                  <w:szCs w:val="20"/>
                </w:rPr>
                <w:t>port on Form 10-Q for the fiscal quarter ended April 4, 2017, is hereby incorporated by reference.</w:t>
              </w:r>
            </w:hyperlink>
          </w:p>
        </w:tc>
      </w:tr>
      <w:tr w:rsidR="0084406A" w14:paraId="5902B74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4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4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4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4B" w14:textId="77777777" w:rsidR="0084406A" w:rsidRDefault="0084406A">
            <w:pPr>
              <w:rPr>
                <w:rFonts w:ascii="宋体"/>
              </w:rPr>
            </w:pPr>
          </w:p>
        </w:tc>
      </w:tr>
      <w:tr w:rsidR="0084406A" w14:paraId="5902B751" w14:textId="77777777">
        <w:trPr>
          <w:jc w:val="center"/>
        </w:trPr>
        <w:tc>
          <w:tcPr>
            <w:tcW w:w="0" w:type="auto"/>
            <w:gridSpan w:val="3"/>
            <w:shd w:val="clear" w:color="auto" w:fill="auto"/>
            <w:tcMar>
              <w:top w:w="0" w:type="dxa"/>
              <w:left w:w="20" w:type="dxa"/>
              <w:bottom w:w="0" w:type="dxa"/>
              <w:right w:w="20" w:type="dxa"/>
            </w:tcMar>
            <w:vAlign w:val="bottom"/>
          </w:tcPr>
          <w:p w14:paraId="5902B74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4E" w14:textId="77777777" w:rsidR="0084406A" w:rsidRDefault="002B18AF">
            <w:pPr>
              <w:jc w:val="right"/>
              <w:textAlignment w:val="top"/>
            </w:pPr>
            <w:r>
              <w:rPr>
                <w:rFonts w:ascii="Arial" w:eastAsia="宋体" w:hAnsi="Arial" w:cs="Arial"/>
                <w:color w:val="000000"/>
                <w:sz w:val="20"/>
                <w:szCs w:val="20"/>
              </w:rPr>
              <w:t>*10.29</w:t>
            </w:r>
          </w:p>
        </w:tc>
        <w:tc>
          <w:tcPr>
            <w:tcW w:w="0" w:type="auto"/>
            <w:gridSpan w:val="3"/>
            <w:shd w:val="clear" w:color="auto" w:fill="auto"/>
            <w:tcMar>
              <w:top w:w="0" w:type="dxa"/>
              <w:left w:w="20" w:type="dxa"/>
              <w:bottom w:w="0" w:type="dxa"/>
              <w:right w:w="20" w:type="dxa"/>
            </w:tcMar>
            <w:vAlign w:val="bottom"/>
          </w:tcPr>
          <w:p w14:paraId="5902B74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50" w14:textId="77777777" w:rsidR="0084406A" w:rsidRDefault="002B18AF">
            <w:pPr>
              <w:textAlignment w:val="top"/>
            </w:pPr>
            <w:hyperlink r:id="rId134" w:history="1">
              <w:r>
                <w:rPr>
                  <w:rStyle w:val="a5"/>
                  <w:rFonts w:ascii="Arial" w:eastAsia="宋体" w:hAnsi="Arial" w:cs="Arial"/>
                  <w:sz w:val="20"/>
                  <w:szCs w:val="20"/>
                </w:rPr>
                <w:t>2004 Equity Incentive Plan, as amended and restated, filed as Exhibit 10.1 to AMD’s Registration Statement on Form S-8 filed with the SEC on May 8, 2</w:t>
              </w:r>
              <w:r>
                <w:rPr>
                  <w:rStyle w:val="a5"/>
                  <w:rFonts w:ascii="Arial" w:eastAsia="宋体" w:hAnsi="Arial" w:cs="Arial"/>
                  <w:sz w:val="20"/>
                  <w:szCs w:val="20"/>
                </w:rPr>
                <w:t>017, is hereby incorporated by reference.</w:t>
              </w:r>
            </w:hyperlink>
          </w:p>
        </w:tc>
      </w:tr>
      <w:tr w:rsidR="0084406A" w14:paraId="5902B75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5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5" w14:textId="77777777" w:rsidR="0084406A" w:rsidRDefault="0084406A">
            <w:pPr>
              <w:rPr>
                <w:rFonts w:ascii="宋体"/>
              </w:rPr>
            </w:pPr>
          </w:p>
        </w:tc>
      </w:tr>
      <w:tr w:rsidR="0084406A" w14:paraId="5902B75B" w14:textId="77777777">
        <w:trPr>
          <w:jc w:val="center"/>
        </w:trPr>
        <w:tc>
          <w:tcPr>
            <w:tcW w:w="0" w:type="auto"/>
            <w:gridSpan w:val="3"/>
            <w:shd w:val="clear" w:color="auto" w:fill="auto"/>
            <w:tcMar>
              <w:top w:w="0" w:type="dxa"/>
              <w:left w:w="20" w:type="dxa"/>
              <w:bottom w:w="0" w:type="dxa"/>
              <w:right w:w="20" w:type="dxa"/>
            </w:tcMar>
            <w:vAlign w:val="bottom"/>
          </w:tcPr>
          <w:p w14:paraId="5902B75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58" w14:textId="77777777" w:rsidR="0084406A" w:rsidRDefault="002B18AF">
            <w:pPr>
              <w:jc w:val="right"/>
              <w:textAlignment w:val="top"/>
            </w:pPr>
            <w:r>
              <w:rPr>
                <w:rFonts w:ascii="Arial" w:eastAsia="宋体" w:hAnsi="Arial" w:cs="Arial"/>
                <w:color w:val="000000"/>
                <w:sz w:val="20"/>
                <w:szCs w:val="20"/>
              </w:rPr>
              <w:t>*10.30</w:t>
            </w:r>
          </w:p>
        </w:tc>
        <w:tc>
          <w:tcPr>
            <w:tcW w:w="0" w:type="auto"/>
            <w:gridSpan w:val="3"/>
            <w:shd w:val="clear" w:color="auto" w:fill="auto"/>
            <w:tcMar>
              <w:top w:w="0" w:type="dxa"/>
              <w:left w:w="20" w:type="dxa"/>
              <w:bottom w:w="0" w:type="dxa"/>
              <w:right w:w="20" w:type="dxa"/>
            </w:tcMar>
            <w:vAlign w:val="bottom"/>
          </w:tcPr>
          <w:p w14:paraId="5902B75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75A" w14:textId="77777777" w:rsidR="0084406A" w:rsidRDefault="002B18AF">
            <w:pPr>
              <w:textAlignment w:val="bottom"/>
            </w:pPr>
            <w:hyperlink r:id="rId135" w:history="1">
              <w:r>
                <w:rPr>
                  <w:rStyle w:val="a5"/>
                  <w:rFonts w:ascii="Arial" w:eastAsia="宋体" w:hAnsi="Arial" w:cs="Arial"/>
                  <w:sz w:val="20"/>
                  <w:szCs w:val="20"/>
                </w:rPr>
                <w:t>Amended and Restated 2017 Employee Stock Purchase Plan dated August 23, 2018, filed as Exhibit 10.1 to AMD's Quarterly Report on Form 10-Q for the fis</w:t>
              </w:r>
              <w:r>
                <w:rPr>
                  <w:rStyle w:val="a5"/>
                  <w:rFonts w:ascii="Arial" w:eastAsia="宋体" w:hAnsi="Arial" w:cs="Arial"/>
                  <w:sz w:val="20"/>
                  <w:szCs w:val="20"/>
                </w:rPr>
                <w:t xml:space="preserve">cal quarter ended September 29, 2018, is hereby incorporated by reference. </w:t>
              </w:r>
            </w:hyperlink>
          </w:p>
        </w:tc>
      </w:tr>
      <w:tr w:rsidR="0084406A" w14:paraId="5902B76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5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5F" w14:textId="77777777" w:rsidR="0084406A" w:rsidRDefault="0084406A">
            <w:pPr>
              <w:rPr>
                <w:rFonts w:ascii="宋体"/>
              </w:rPr>
            </w:pPr>
          </w:p>
        </w:tc>
      </w:tr>
      <w:tr w:rsidR="0084406A" w14:paraId="5902B765" w14:textId="77777777">
        <w:trPr>
          <w:jc w:val="center"/>
        </w:trPr>
        <w:tc>
          <w:tcPr>
            <w:tcW w:w="0" w:type="auto"/>
            <w:gridSpan w:val="3"/>
            <w:shd w:val="clear" w:color="auto" w:fill="auto"/>
            <w:tcMar>
              <w:top w:w="0" w:type="dxa"/>
              <w:left w:w="20" w:type="dxa"/>
              <w:bottom w:w="0" w:type="dxa"/>
              <w:right w:w="20" w:type="dxa"/>
            </w:tcMar>
            <w:vAlign w:val="bottom"/>
          </w:tcPr>
          <w:p w14:paraId="5902B76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62" w14:textId="77777777" w:rsidR="0084406A" w:rsidRDefault="002B18AF">
            <w:pPr>
              <w:jc w:val="right"/>
              <w:textAlignment w:val="top"/>
            </w:pPr>
            <w:r>
              <w:rPr>
                <w:rFonts w:ascii="Arial" w:eastAsia="宋体" w:hAnsi="Arial" w:cs="Arial"/>
                <w:color w:val="000000"/>
                <w:sz w:val="20"/>
                <w:szCs w:val="20"/>
              </w:rPr>
              <w:t>*10.31</w:t>
            </w:r>
          </w:p>
        </w:tc>
        <w:tc>
          <w:tcPr>
            <w:tcW w:w="0" w:type="auto"/>
            <w:gridSpan w:val="3"/>
            <w:shd w:val="clear" w:color="auto" w:fill="auto"/>
            <w:tcMar>
              <w:top w:w="0" w:type="dxa"/>
              <w:left w:w="20" w:type="dxa"/>
              <w:bottom w:w="0" w:type="dxa"/>
              <w:right w:w="20" w:type="dxa"/>
            </w:tcMar>
            <w:vAlign w:val="bottom"/>
          </w:tcPr>
          <w:p w14:paraId="5902B76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64" w14:textId="77777777" w:rsidR="0084406A" w:rsidRDefault="002B18AF">
            <w:pPr>
              <w:textAlignment w:val="top"/>
            </w:pPr>
            <w:hyperlink r:id="rId136" w:history="1">
              <w:r>
                <w:rPr>
                  <w:rStyle w:val="a5"/>
                  <w:rFonts w:ascii="Arial" w:eastAsia="宋体" w:hAnsi="Arial" w:cs="Arial"/>
                  <w:sz w:val="20"/>
                  <w:szCs w:val="20"/>
                </w:rPr>
                <w:t>2017 Employee Stock Purchase Plan, as amended and restated October 12, 2017, filed as Exhibit 10.98 to AMD's Annual Report on Form 10-K for the fiscal year ended</w:t>
              </w:r>
              <w:r>
                <w:rPr>
                  <w:rStyle w:val="a5"/>
                  <w:rFonts w:ascii="Arial" w:eastAsia="宋体" w:hAnsi="Arial" w:cs="Arial"/>
                  <w:sz w:val="20"/>
                  <w:szCs w:val="20"/>
                </w:rPr>
                <w:t xml:space="preserve"> December 30, 2017, is hereby incorporated by reference.</w:t>
              </w:r>
            </w:hyperlink>
          </w:p>
        </w:tc>
      </w:tr>
      <w:tr w:rsidR="0084406A" w14:paraId="5902B76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6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6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6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69" w14:textId="77777777" w:rsidR="0084406A" w:rsidRDefault="0084406A">
            <w:pPr>
              <w:rPr>
                <w:rFonts w:ascii="宋体"/>
              </w:rPr>
            </w:pPr>
          </w:p>
        </w:tc>
      </w:tr>
      <w:tr w:rsidR="0084406A" w14:paraId="5902B76F" w14:textId="77777777">
        <w:trPr>
          <w:jc w:val="center"/>
        </w:trPr>
        <w:tc>
          <w:tcPr>
            <w:tcW w:w="0" w:type="auto"/>
            <w:gridSpan w:val="3"/>
            <w:shd w:val="clear" w:color="auto" w:fill="auto"/>
            <w:tcMar>
              <w:top w:w="0" w:type="dxa"/>
              <w:left w:w="20" w:type="dxa"/>
              <w:bottom w:w="0" w:type="dxa"/>
              <w:right w:w="20" w:type="dxa"/>
            </w:tcMar>
            <w:vAlign w:val="bottom"/>
          </w:tcPr>
          <w:p w14:paraId="5902B76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6C" w14:textId="77777777" w:rsidR="0084406A" w:rsidRDefault="002B18AF">
            <w:pPr>
              <w:jc w:val="right"/>
              <w:textAlignment w:val="top"/>
            </w:pPr>
            <w:r>
              <w:rPr>
                <w:rFonts w:ascii="Arial" w:eastAsia="宋体" w:hAnsi="Arial" w:cs="Arial"/>
                <w:color w:val="000000"/>
                <w:sz w:val="20"/>
                <w:szCs w:val="20"/>
              </w:rPr>
              <w:t>*10.32</w:t>
            </w:r>
          </w:p>
        </w:tc>
        <w:tc>
          <w:tcPr>
            <w:tcW w:w="0" w:type="auto"/>
            <w:gridSpan w:val="3"/>
            <w:shd w:val="clear" w:color="auto" w:fill="auto"/>
            <w:tcMar>
              <w:top w:w="0" w:type="dxa"/>
              <w:left w:w="20" w:type="dxa"/>
              <w:bottom w:w="0" w:type="dxa"/>
              <w:right w:w="20" w:type="dxa"/>
            </w:tcMar>
            <w:vAlign w:val="bottom"/>
          </w:tcPr>
          <w:p w14:paraId="5902B76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6E" w14:textId="77777777" w:rsidR="0084406A" w:rsidRDefault="002B18AF">
            <w:pPr>
              <w:textAlignment w:val="top"/>
            </w:pPr>
            <w:hyperlink r:id="rId137" w:history="1">
              <w:r>
                <w:rPr>
                  <w:rStyle w:val="a5"/>
                  <w:rFonts w:ascii="Arial" w:eastAsia="宋体" w:hAnsi="Arial" w:cs="Arial"/>
                  <w:sz w:val="20"/>
                  <w:szCs w:val="20"/>
                  <w:shd w:val="clear" w:color="auto" w:fill="FFFFFF"/>
                </w:rPr>
                <w:t>Form of Stock Option Agreement for Senior Vice Presidents and Above under the 2004 Equity Incentive Plan, filed as Exhibit 10.99 to AMD's Annual Report on Form 1</w:t>
              </w:r>
              <w:r>
                <w:rPr>
                  <w:rStyle w:val="a5"/>
                  <w:rFonts w:ascii="Arial" w:eastAsia="宋体" w:hAnsi="Arial" w:cs="Arial"/>
                  <w:sz w:val="20"/>
                  <w:szCs w:val="20"/>
                  <w:shd w:val="clear" w:color="auto" w:fill="FFFFFF"/>
                </w:rPr>
                <w:t>0-K for the fiscal year ended December 30, 2017, is hereby incorporated by reference.</w:t>
              </w:r>
            </w:hyperlink>
          </w:p>
        </w:tc>
      </w:tr>
      <w:tr w:rsidR="0084406A" w14:paraId="5902B77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7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7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7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73" w14:textId="77777777" w:rsidR="0084406A" w:rsidRDefault="0084406A">
            <w:pPr>
              <w:rPr>
                <w:rFonts w:ascii="宋体"/>
              </w:rPr>
            </w:pPr>
          </w:p>
        </w:tc>
      </w:tr>
    </w:tbl>
    <w:p w14:paraId="5902B775" w14:textId="77777777" w:rsidR="0084406A" w:rsidRDefault="002B18AF">
      <w:pPr>
        <w:jc w:val="center"/>
      </w:pPr>
      <w:r>
        <w:rPr>
          <w:rFonts w:ascii="Arial" w:eastAsia="宋体" w:hAnsi="Arial" w:cs="Arial"/>
          <w:color w:val="000000"/>
          <w:sz w:val="20"/>
          <w:szCs w:val="20"/>
        </w:rPr>
        <w:t>90</w:t>
      </w:r>
    </w:p>
    <w:p w14:paraId="5902B776" w14:textId="77777777" w:rsidR="0084406A" w:rsidRDefault="002B18AF">
      <w:r>
        <w:pict w14:anchorId="5902BB50">
          <v:rect id="_x0000_i1117" style="width:415.3pt;height:1.5pt" o:hralign="center" o:hrstd="t" o:hr="t" fillcolor="#a0a0a0" stroked="f"/>
        </w:pict>
      </w:r>
    </w:p>
    <w:p w14:paraId="5902B777" w14:textId="77777777" w:rsidR="0084406A" w:rsidRDefault="0084406A"/>
    <w:tbl>
      <w:tblPr>
        <w:tblW w:w="4613" w:type="pct"/>
        <w:jc w:val="center"/>
        <w:tblCellMar>
          <w:top w:w="15" w:type="dxa"/>
          <w:left w:w="15" w:type="dxa"/>
          <w:bottom w:w="15" w:type="dxa"/>
          <w:right w:w="15" w:type="dxa"/>
        </w:tblCellMar>
        <w:tblLook w:val="04A0" w:firstRow="1" w:lastRow="0" w:firstColumn="1" w:lastColumn="0" w:noHBand="0" w:noVBand="1"/>
      </w:tblPr>
      <w:tblGrid>
        <w:gridCol w:w="56"/>
        <w:gridCol w:w="150"/>
        <w:gridCol w:w="36"/>
        <w:gridCol w:w="57"/>
        <w:gridCol w:w="734"/>
        <w:gridCol w:w="36"/>
        <w:gridCol w:w="36"/>
        <w:gridCol w:w="74"/>
        <w:gridCol w:w="36"/>
        <w:gridCol w:w="57"/>
        <w:gridCol w:w="6382"/>
        <w:gridCol w:w="37"/>
      </w:tblGrid>
      <w:tr w:rsidR="0084406A" w14:paraId="5902B784" w14:textId="77777777">
        <w:trPr>
          <w:jc w:val="center"/>
        </w:trPr>
        <w:tc>
          <w:tcPr>
            <w:tcW w:w="50" w:type="pct"/>
            <w:shd w:val="clear" w:color="auto" w:fill="auto"/>
            <w:vAlign w:val="bottom"/>
          </w:tcPr>
          <w:p w14:paraId="5902B778" w14:textId="77777777" w:rsidR="0084406A" w:rsidRDefault="0084406A">
            <w:pPr>
              <w:rPr>
                <w:rFonts w:ascii="宋体"/>
              </w:rPr>
            </w:pPr>
          </w:p>
        </w:tc>
        <w:tc>
          <w:tcPr>
            <w:tcW w:w="111" w:type="pct"/>
            <w:shd w:val="clear" w:color="auto" w:fill="auto"/>
            <w:vAlign w:val="bottom"/>
          </w:tcPr>
          <w:p w14:paraId="5902B779" w14:textId="77777777" w:rsidR="0084406A" w:rsidRDefault="0084406A">
            <w:pPr>
              <w:rPr>
                <w:rFonts w:ascii="宋体"/>
              </w:rPr>
            </w:pPr>
          </w:p>
        </w:tc>
        <w:tc>
          <w:tcPr>
            <w:tcW w:w="5" w:type="pct"/>
            <w:shd w:val="clear" w:color="auto" w:fill="auto"/>
            <w:vAlign w:val="bottom"/>
          </w:tcPr>
          <w:p w14:paraId="5902B77A" w14:textId="77777777" w:rsidR="0084406A" w:rsidRDefault="0084406A">
            <w:pPr>
              <w:rPr>
                <w:rFonts w:ascii="宋体"/>
              </w:rPr>
            </w:pPr>
          </w:p>
        </w:tc>
        <w:tc>
          <w:tcPr>
            <w:tcW w:w="50" w:type="pct"/>
            <w:shd w:val="clear" w:color="auto" w:fill="auto"/>
            <w:vAlign w:val="bottom"/>
          </w:tcPr>
          <w:p w14:paraId="5902B77B" w14:textId="77777777" w:rsidR="0084406A" w:rsidRDefault="0084406A">
            <w:pPr>
              <w:rPr>
                <w:rFonts w:ascii="宋体"/>
              </w:rPr>
            </w:pPr>
          </w:p>
        </w:tc>
        <w:tc>
          <w:tcPr>
            <w:tcW w:w="491" w:type="pct"/>
            <w:shd w:val="clear" w:color="auto" w:fill="auto"/>
            <w:vAlign w:val="bottom"/>
          </w:tcPr>
          <w:p w14:paraId="5902B77C" w14:textId="77777777" w:rsidR="0084406A" w:rsidRDefault="0084406A">
            <w:pPr>
              <w:rPr>
                <w:rFonts w:ascii="宋体"/>
              </w:rPr>
            </w:pPr>
          </w:p>
        </w:tc>
        <w:tc>
          <w:tcPr>
            <w:tcW w:w="5" w:type="pct"/>
            <w:shd w:val="clear" w:color="auto" w:fill="auto"/>
            <w:vAlign w:val="bottom"/>
          </w:tcPr>
          <w:p w14:paraId="5902B77D" w14:textId="77777777" w:rsidR="0084406A" w:rsidRDefault="0084406A">
            <w:pPr>
              <w:rPr>
                <w:rFonts w:ascii="宋体"/>
              </w:rPr>
            </w:pPr>
          </w:p>
        </w:tc>
        <w:tc>
          <w:tcPr>
            <w:tcW w:w="5" w:type="pct"/>
            <w:shd w:val="clear" w:color="auto" w:fill="auto"/>
            <w:vAlign w:val="bottom"/>
          </w:tcPr>
          <w:p w14:paraId="5902B77E" w14:textId="77777777" w:rsidR="0084406A" w:rsidRDefault="0084406A">
            <w:pPr>
              <w:rPr>
                <w:rFonts w:ascii="宋体"/>
              </w:rPr>
            </w:pPr>
          </w:p>
        </w:tc>
        <w:tc>
          <w:tcPr>
            <w:tcW w:w="61" w:type="pct"/>
            <w:shd w:val="clear" w:color="auto" w:fill="auto"/>
            <w:vAlign w:val="bottom"/>
          </w:tcPr>
          <w:p w14:paraId="5902B77F" w14:textId="77777777" w:rsidR="0084406A" w:rsidRDefault="0084406A">
            <w:pPr>
              <w:rPr>
                <w:rFonts w:ascii="宋体"/>
              </w:rPr>
            </w:pPr>
          </w:p>
        </w:tc>
        <w:tc>
          <w:tcPr>
            <w:tcW w:w="5" w:type="pct"/>
            <w:shd w:val="clear" w:color="auto" w:fill="auto"/>
            <w:vAlign w:val="bottom"/>
          </w:tcPr>
          <w:p w14:paraId="5902B780" w14:textId="77777777" w:rsidR="0084406A" w:rsidRDefault="0084406A">
            <w:pPr>
              <w:rPr>
                <w:rFonts w:ascii="宋体"/>
              </w:rPr>
            </w:pPr>
          </w:p>
        </w:tc>
        <w:tc>
          <w:tcPr>
            <w:tcW w:w="50" w:type="pct"/>
            <w:shd w:val="clear" w:color="auto" w:fill="auto"/>
            <w:vAlign w:val="bottom"/>
          </w:tcPr>
          <w:p w14:paraId="5902B781" w14:textId="77777777" w:rsidR="0084406A" w:rsidRDefault="0084406A">
            <w:pPr>
              <w:rPr>
                <w:rFonts w:ascii="宋体"/>
              </w:rPr>
            </w:pPr>
          </w:p>
        </w:tc>
        <w:tc>
          <w:tcPr>
            <w:tcW w:w="4160" w:type="pct"/>
            <w:shd w:val="clear" w:color="auto" w:fill="auto"/>
            <w:vAlign w:val="bottom"/>
          </w:tcPr>
          <w:p w14:paraId="5902B782" w14:textId="77777777" w:rsidR="0084406A" w:rsidRDefault="0084406A">
            <w:pPr>
              <w:rPr>
                <w:rFonts w:ascii="宋体"/>
              </w:rPr>
            </w:pPr>
          </w:p>
        </w:tc>
        <w:tc>
          <w:tcPr>
            <w:tcW w:w="5" w:type="pct"/>
            <w:shd w:val="clear" w:color="auto" w:fill="auto"/>
            <w:vAlign w:val="bottom"/>
          </w:tcPr>
          <w:p w14:paraId="5902B783" w14:textId="77777777" w:rsidR="0084406A" w:rsidRDefault="0084406A">
            <w:pPr>
              <w:rPr>
                <w:rFonts w:ascii="宋体"/>
              </w:rPr>
            </w:pPr>
          </w:p>
        </w:tc>
      </w:tr>
      <w:tr w:rsidR="0084406A" w14:paraId="5902B789" w14:textId="77777777">
        <w:trPr>
          <w:jc w:val="center"/>
        </w:trPr>
        <w:tc>
          <w:tcPr>
            <w:tcW w:w="0" w:type="auto"/>
            <w:gridSpan w:val="3"/>
            <w:shd w:val="clear" w:color="auto" w:fill="auto"/>
            <w:tcMar>
              <w:top w:w="0" w:type="dxa"/>
              <w:left w:w="20" w:type="dxa"/>
              <w:bottom w:w="0" w:type="dxa"/>
              <w:right w:w="20" w:type="dxa"/>
            </w:tcMar>
            <w:vAlign w:val="bottom"/>
          </w:tcPr>
          <w:p w14:paraId="5902B78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86" w14:textId="77777777" w:rsidR="0084406A" w:rsidRDefault="002B18AF">
            <w:pPr>
              <w:jc w:val="right"/>
              <w:textAlignment w:val="top"/>
            </w:pPr>
            <w:r>
              <w:rPr>
                <w:rFonts w:ascii="Arial" w:eastAsia="宋体" w:hAnsi="Arial" w:cs="Arial"/>
                <w:color w:val="000000"/>
                <w:sz w:val="20"/>
                <w:szCs w:val="20"/>
              </w:rPr>
              <w:t>*10.33</w:t>
            </w:r>
          </w:p>
        </w:tc>
        <w:tc>
          <w:tcPr>
            <w:tcW w:w="0" w:type="auto"/>
            <w:gridSpan w:val="3"/>
            <w:shd w:val="clear" w:color="auto" w:fill="auto"/>
            <w:tcMar>
              <w:top w:w="0" w:type="dxa"/>
              <w:left w:w="20" w:type="dxa"/>
              <w:bottom w:w="0" w:type="dxa"/>
              <w:right w:w="20" w:type="dxa"/>
            </w:tcMar>
            <w:vAlign w:val="bottom"/>
          </w:tcPr>
          <w:p w14:paraId="5902B78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88" w14:textId="77777777" w:rsidR="0084406A" w:rsidRDefault="002B18AF">
            <w:pPr>
              <w:textAlignment w:val="top"/>
            </w:pPr>
            <w:hyperlink r:id="rId138" w:history="1">
              <w:r>
                <w:rPr>
                  <w:rStyle w:val="a5"/>
                  <w:rFonts w:ascii="Arial" w:eastAsia="宋体" w:hAnsi="Arial" w:cs="Arial"/>
                  <w:sz w:val="20"/>
                  <w:szCs w:val="20"/>
                </w:rPr>
                <w:t>Form of Restricted Stock Unit Award Agreement for Senior Vice Presidents and Above under the 2004 Equity Incentive Plan, filed as Exhibit 10.100 to AMD's Annual</w:t>
              </w:r>
              <w:r>
                <w:rPr>
                  <w:rStyle w:val="a5"/>
                  <w:rFonts w:ascii="Arial" w:eastAsia="宋体" w:hAnsi="Arial" w:cs="Arial"/>
                  <w:sz w:val="20"/>
                  <w:szCs w:val="20"/>
                </w:rPr>
                <w:t xml:space="preserve"> Report on Form 10-K for the fiscal year ended December 30, 2017, is hereby incorporated by reference.</w:t>
              </w:r>
            </w:hyperlink>
          </w:p>
        </w:tc>
      </w:tr>
      <w:tr w:rsidR="0084406A" w14:paraId="5902B78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8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8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8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8D" w14:textId="77777777" w:rsidR="0084406A" w:rsidRDefault="0084406A">
            <w:pPr>
              <w:rPr>
                <w:rFonts w:ascii="宋体"/>
              </w:rPr>
            </w:pPr>
          </w:p>
        </w:tc>
      </w:tr>
      <w:tr w:rsidR="0084406A" w14:paraId="5902B793" w14:textId="77777777">
        <w:trPr>
          <w:jc w:val="center"/>
        </w:trPr>
        <w:tc>
          <w:tcPr>
            <w:tcW w:w="0" w:type="auto"/>
            <w:gridSpan w:val="3"/>
            <w:shd w:val="clear" w:color="auto" w:fill="auto"/>
            <w:tcMar>
              <w:top w:w="0" w:type="dxa"/>
              <w:left w:w="20" w:type="dxa"/>
              <w:bottom w:w="0" w:type="dxa"/>
              <w:right w:w="20" w:type="dxa"/>
            </w:tcMar>
            <w:vAlign w:val="bottom"/>
          </w:tcPr>
          <w:p w14:paraId="5902B78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90" w14:textId="77777777" w:rsidR="0084406A" w:rsidRDefault="002B18AF">
            <w:pPr>
              <w:jc w:val="right"/>
              <w:textAlignment w:val="top"/>
            </w:pPr>
            <w:r>
              <w:rPr>
                <w:rFonts w:ascii="Arial" w:eastAsia="宋体" w:hAnsi="Arial" w:cs="Arial"/>
                <w:color w:val="000000"/>
                <w:sz w:val="20"/>
                <w:szCs w:val="20"/>
              </w:rPr>
              <w:t>*10.34</w:t>
            </w:r>
          </w:p>
        </w:tc>
        <w:tc>
          <w:tcPr>
            <w:tcW w:w="0" w:type="auto"/>
            <w:gridSpan w:val="3"/>
            <w:shd w:val="clear" w:color="auto" w:fill="auto"/>
            <w:tcMar>
              <w:top w:w="0" w:type="dxa"/>
              <w:left w:w="20" w:type="dxa"/>
              <w:bottom w:w="0" w:type="dxa"/>
              <w:right w:w="20" w:type="dxa"/>
            </w:tcMar>
            <w:vAlign w:val="bottom"/>
          </w:tcPr>
          <w:p w14:paraId="5902B79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92" w14:textId="77777777" w:rsidR="0084406A" w:rsidRDefault="002B18AF">
            <w:pPr>
              <w:textAlignment w:val="top"/>
            </w:pPr>
            <w:hyperlink r:id="rId139" w:history="1">
              <w:r>
                <w:rPr>
                  <w:rStyle w:val="a5"/>
                  <w:rFonts w:ascii="Arial" w:eastAsia="宋体" w:hAnsi="Arial" w:cs="Arial"/>
                  <w:sz w:val="20"/>
                  <w:szCs w:val="20"/>
                </w:rPr>
                <w:t>Form of Performance-Based Restricted Stock Unit Agreement for Senior Vice Presidents and Above under the 2004 Equity Incentive Plan filed as Exhibit 10.101 to A</w:t>
              </w:r>
              <w:r>
                <w:rPr>
                  <w:rStyle w:val="a5"/>
                  <w:rFonts w:ascii="Arial" w:eastAsia="宋体" w:hAnsi="Arial" w:cs="Arial"/>
                  <w:sz w:val="20"/>
                  <w:szCs w:val="20"/>
                </w:rPr>
                <w:t>MD's Annual Report on Form 10-K for the fiscal year ended December 30, 2017, is hereby incorporated by reference.</w:t>
              </w:r>
            </w:hyperlink>
          </w:p>
        </w:tc>
      </w:tr>
      <w:tr w:rsidR="0084406A" w14:paraId="5902B79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9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9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9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97" w14:textId="77777777" w:rsidR="0084406A" w:rsidRDefault="0084406A">
            <w:pPr>
              <w:rPr>
                <w:rFonts w:ascii="宋体"/>
              </w:rPr>
            </w:pPr>
          </w:p>
        </w:tc>
      </w:tr>
      <w:tr w:rsidR="0084406A" w14:paraId="5902B79D" w14:textId="77777777">
        <w:trPr>
          <w:jc w:val="center"/>
        </w:trPr>
        <w:tc>
          <w:tcPr>
            <w:tcW w:w="0" w:type="auto"/>
            <w:gridSpan w:val="3"/>
            <w:shd w:val="clear" w:color="auto" w:fill="auto"/>
            <w:tcMar>
              <w:top w:w="0" w:type="dxa"/>
              <w:left w:w="20" w:type="dxa"/>
              <w:bottom w:w="0" w:type="dxa"/>
              <w:right w:w="20" w:type="dxa"/>
            </w:tcMar>
            <w:vAlign w:val="bottom"/>
          </w:tcPr>
          <w:p w14:paraId="5902B79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9A" w14:textId="77777777" w:rsidR="0084406A" w:rsidRDefault="002B18AF">
            <w:pPr>
              <w:jc w:val="right"/>
              <w:textAlignment w:val="top"/>
            </w:pPr>
            <w:r>
              <w:rPr>
                <w:rFonts w:ascii="Arial" w:eastAsia="宋体" w:hAnsi="Arial" w:cs="Arial"/>
                <w:color w:val="000000"/>
                <w:sz w:val="20"/>
                <w:szCs w:val="20"/>
              </w:rPr>
              <w:t>*10.35</w:t>
            </w:r>
          </w:p>
        </w:tc>
        <w:tc>
          <w:tcPr>
            <w:tcW w:w="0" w:type="auto"/>
            <w:gridSpan w:val="3"/>
            <w:shd w:val="clear" w:color="auto" w:fill="auto"/>
            <w:tcMar>
              <w:top w:w="0" w:type="dxa"/>
              <w:left w:w="20" w:type="dxa"/>
              <w:bottom w:w="0" w:type="dxa"/>
              <w:right w:w="20" w:type="dxa"/>
            </w:tcMar>
            <w:vAlign w:val="bottom"/>
          </w:tcPr>
          <w:p w14:paraId="5902B79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9C" w14:textId="77777777" w:rsidR="0084406A" w:rsidRDefault="002B18AF">
            <w:pPr>
              <w:textAlignment w:val="top"/>
            </w:pPr>
            <w:hyperlink r:id="rId140" w:history="1">
              <w:r>
                <w:rPr>
                  <w:rStyle w:val="a5"/>
                  <w:rFonts w:ascii="Arial" w:eastAsia="宋体" w:hAnsi="Arial" w:cs="Arial"/>
                  <w:sz w:val="20"/>
                  <w:szCs w:val="20"/>
                </w:rPr>
                <w:t>Amendment to Advanced Micro Devices, Inc. Executive Incentive Plan dated as of February 8, 2018, filed as Exhibit 10.1 to AMD's Quarterly Report on Form</w:t>
              </w:r>
              <w:r>
                <w:rPr>
                  <w:rStyle w:val="a5"/>
                  <w:rFonts w:ascii="Arial" w:eastAsia="宋体" w:hAnsi="Arial" w:cs="Arial"/>
                  <w:sz w:val="20"/>
                  <w:szCs w:val="20"/>
                </w:rPr>
                <w:t xml:space="preserve"> 10-Q for the fiscal quarter ended March 31, 2018, is hereby incorporated by reference.</w:t>
              </w:r>
            </w:hyperlink>
          </w:p>
        </w:tc>
      </w:tr>
      <w:tr w:rsidR="0084406A" w14:paraId="5902B7A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9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9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A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A1" w14:textId="77777777" w:rsidR="0084406A" w:rsidRDefault="0084406A">
            <w:pPr>
              <w:rPr>
                <w:rFonts w:ascii="宋体"/>
              </w:rPr>
            </w:pPr>
          </w:p>
        </w:tc>
      </w:tr>
      <w:tr w:rsidR="0084406A" w14:paraId="5902B7A7" w14:textId="77777777">
        <w:trPr>
          <w:jc w:val="center"/>
        </w:trPr>
        <w:tc>
          <w:tcPr>
            <w:tcW w:w="0" w:type="auto"/>
            <w:gridSpan w:val="3"/>
            <w:shd w:val="clear" w:color="auto" w:fill="auto"/>
            <w:tcMar>
              <w:top w:w="0" w:type="dxa"/>
              <w:left w:w="20" w:type="dxa"/>
              <w:bottom w:w="0" w:type="dxa"/>
              <w:right w:w="20" w:type="dxa"/>
            </w:tcMar>
            <w:vAlign w:val="bottom"/>
          </w:tcPr>
          <w:p w14:paraId="5902B7A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A4" w14:textId="77777777" w:rsidR="0084406A" w:rsidRDefault="002B18AF">
            <w:pPr>
              <w:jc w:val="right"/>
              <w:textAlignment w:val="top"/>
            </w:pPr>
            <w:r>
              <w:rPr>
                <w:rFonts w:ascii="Arial" w:eastAsia="宋体" w:hAnsi="Arial" w:cs="Arial"/>
                <w:color w:val="000000"/>
                <w:sz w:val="20"/>
                <w:szCs w:val="20"/>
              </w:rPr>
              <w:t>*10.36</w:t>
            </w:r>
          </w:p>
        </w:tc>
        <w:tc>
          <w:tcPr>
            <w:tcW w:w="0" w:type="auto"/>
            <w:gridSpan w:val="3"/>
            <w:shd w:val="clear" w:color="auto" w:fill="auto"/>
            <w:tcMar>
              <w:top w:w="0" w:type="dxa"/>
              <w:left w:w="20" w:type="dxa"/>
              <w:bottom w:w="0" w:type="dxa"/>
              <w:right w:w="20" w:type="dxa"/>
            </w:tcMar>
            <w:vAlign w:val="bottom"/>
          </w:tcPr>
          <w:p w14:paraId="5902B7A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A6" w14:textId="77777777" w:rsidR="0084406A" w:rsidRDefault="002B18AF">
            <w:pPr>
              <w:textAlignment w:val="top"/>
            </w:pPr>
            <w:hyperlink r:id="rId141" w:history="1">
              <w:r>
                <w:rPr>
                  <w:rStyle w:val="a5"/>
                  <w:rFonts w:ascii="Arial" w:eastAsia="宋体" w:hAnsi="Arial" w:cs="Arial"/>
                  <w:sz w:val="20"/>
                  <w:szCs w:val="20"/>
                </w:rPr>
                <w:t>Form of Stock Option Agreement for Senior Vice Presidents and Above under the 2004 Equity Incentive plan, filed as Exhibit 10.103 to AMD’s Annual Report on For</w:t>
              </w:r>
              <w:r>
                <w:rPr>
                  <w:rStyle w:val="a5"/>
                  <w:rFonts w:ascii="Arial" w:eastAsia="宋体" w:hAnsi="Arial" w:cs="Arial"/>
                  <w:sz w:val="20"/>
                  <w:szCs w:val="20"/>
                </w:rPr>
                <w:t>m 10-K for the fiscal year ended December 29, 2018, is hereby incorporated by reference.</w:t>
              </w:r>
            </w:hyperlink>
          </w:p>
        </w:tc>
      </w:tr>
      <w:tr w:rsidR="0084406A" w14:paraId="5902B7A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A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A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A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AB" w14:textId="77777777" w:rsidR="0084406A" w:rsidRDefault="0084406A">
            <w:pPr>
              <w:rPr>
                <w:rFonts w:ascii="宋体"/>
              </w:rPr>
            </w:pPr>
          </w:p>
        </w:tc>
      </w:tr>
      <w:tr w:rsidR="0084406A" w14:paraId="5902B7B1" w14:textId="77777777">
        <w:trPr>
          <w:jc w:val="center"/>
        </w:trPr>
        <w:tc>
          <w:tcPr>
            <w:tcW w:w="0" w:type="auto"/>
            <w:gridSpan w:val="3"/>
            <w:shd w:val="clear" w:color="auto" w:fill="auto"/>
            <w:tcMar>
              <w:top w:w="0" w:type="dxa"/>
              <w:left w:w="20" w:type="dxa"/>
              <w:bottom w:w="0" w:type="dxa"/>
              <w:right w:w="20" w:type="dxa"/>
            </w:tcMar>
            <w:vAlign w:val="bottom"/>
          </w:tcPr>
          <w:p w14:paraId="5902B7A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AE" w14:textId="77777777" w:rsidR="0084406A" w:rsidRDefault="002B18AF">
            <w:pPr>
              <w:jc w:val="right"/>
              <w:textAlignment w:val="top"/>
            </w:pPr>
            <w:r>
              <w:rPr>
                <w:rFonts w:ascii="Arial" w:eastAsia="宋体" w:hAnsi="Arial" w:cs="Arial"/>
                <w:color w:val="000000"/>
                <w:sz w:val="20"/>
                <w:szCs w:val="20"/>
              </w:rPr>
              <w:t>*10.37</w:t>
            </w:r>
          </w:p>
        </w:tc>
        <w:tc>
          <w:tcPr>
            <w:tcW w:w="0" w:type="auto"/>
            <w:gridSpan w:val="3"/>
            <w:shd w:val="clear" w:color="auto" w:fill="auto"/>
            <w:tcMar>
              <w:top w:w="0" w:type="dxa"/>
              <w:left w:w="20" w:type="dxa"/>
              <w:bottom w:w="0" w:type="dxa"/>
              <w:right w:w="20" w:type="dxa"/>
            </w:tcMar>
            <w:vAlign w:val="bottom"/>
          </w:tcPr>
          <w:p w14:paraId="5902B7A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B0" w14:textId="77777777" w:rsidR="0084406A" w:rsidRDefault="002B18AF">
            <w:pPr>
              <w:textAlignment w:val="top"/>
            </w:pPr>
            <w:hyperlink r:id="rId142" w:history="1">
              <w:r>
                <w:rPr>
                  <w:rStyle w:val="a5"/>
                  <w:rFonts w:ascii="Arial" w:eastAsia="宋体" w:hAnsi="Arial" w:cs="Arial"/>
                  <w:sz w:val="20"/>
                  <w:szCs w:val="20"/>
                </w:rPr>
                <w:t>Form of Performance-based Restricted Stock Unit Agreement for Senior Vice Presidents and Above under the 2004 Equity Incentive Plan, filed as Exhibit 10.104 to</w:t>
              </w:r>
              <w:r>
                <w:rPr>
                  <w:rStyle w:val="a5"/>
                  <w:rFonts w:ascii="Arial" w:eastAsia="宋体" w:hAnsi="Arial" w:cs="Arial"/>
                  <w:sz w:val="20"/>
                  <w:szCs w:val="20"/>
                </w:rPr>
                <w:t xml:space="preserve"> AMD’s Annual Report on Form 10-K for the fiscal year ended December 29, 2018, is hereby incorporated by reference.</w:t>
              </w:r>
            </w:hyperlink>
          </w:p>
        </w:tc>
      </w:tr>
      <w:tr w:rsidR="0084406A" w14:paraId="5902B7B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B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5" w14:textId="77777777" w:rsidR="0084406A" w:rsidRDefault="0084406A">
            <w:pPr>
              <w:rPr>
                <w:rFonts w:ascii="宋体"/>
              </w:rPr>
            </w:pPr>
          </w:p>
        </w:tc>
      </w:tr>
      <w:tr w:rsidR="0084406A" w14:paraId="5902B7BB" w14:textId="77777777">
        <w:trPr>
          <w:jc w:val="center"/>
        </w:trPr>
        <w:tc>
          <w:tcPr>
            <w:tcW w:w="0" w:type="auto"/>
            <w:gridSpan w:val="3"/>
            <w:shd w:val="clear" w:color="auto" w:fill="auto"/>
            <w:tcMar>
              <w:top w:w="0" w:type="dxa"/>
              <w:left w:w="20" w:type="dxa"/>
              <w:bottom w:w="0" w:type="dxa"/>
              <w:right w:w="20" w:type="dxa"/>
            </w:tcMar>
            <w:vAlign w:val="bottom"/>
          </w:tcPr>
          <w:p w14:paraId="5902B7B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B8" w14:textId="77777777" w:rsidR="0084406A" w:rsidRDefault="002B18AF">
            <w:pPr>
              <w:jc w:val="right"/>
              <w:textAlignment w:val="top"/>
            </w:pPr>
            <w:r>
              <w:rPr>
                <w:rFonts w:ascii="Arial" w:eastAsia="宋体" w:hAnsi="Arial" w:cs="Arial"/>
                <w:color w:val="000000"/>
                <w:sz w:val="20"/>
                <w:szCs w:val="20"/>
              </w:rPr>
              <w:t>*10.38</w:t>
            </w:r>
          </w:p>
        </w:tc>
        <w:tc>
          <w:tcPr>
            <w:tcW w:w="0" w:type="auto"/>
            <w:gridSpan w:val="3"/>
            <w:shd w:val="clear" w:color="auto" w:fill="auto"/>
            <w:tcMar>
              <w:top w:w="0" w:type="dxa"/>
              <w:left w:w="20" w:type="dxa"/>
              <w:bottom w:w="0" w:type="dxa"/>
              <w:right w:w="20" w:type="dxa"/>
            </w:tcMar>
            <w:vAlign w:val="bottom"/>
          </w:tcPr>
          <w:p w14:paraId="5902B7B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BA" w14:textId="77777777" w:rsidR="0084406A" w:rsidRDefault="002B18AF">
            <w:pPr>
              <w:textAlignment w:val="top"/>
            </w:pPr>
            <w:hyperlink r:id="rId143" w:history="1">
              <w:r>
                <w:rPr>
                  <w:rStyle w:val="a5"/>
                  <w:rFonts w:ascii="Arial" w:eastAsia="宋体" w:hAnsi="Arial" w:cs="Arial"/>
                  <w:sz w:val="20"/>
                  <w:szCs w:val="20"/>
                </w:rPr>
                <w:t>Form of Restricted Stock Unit Agreement for Senior Vice Presidents and Above under the 2004 Equity Incentive Plan, filed as Exhibit 10.105 to AMD’s Annual Repo</w:t>
              </w:r>
              <w:r>
                <w:rPr>
                  <w:rStyle w:val="a5"/>
                  <w:rFonts w:ascii="Arial" w:eastAsia="宋体" w:hAnsi="Arial" w:cs="Arial"/>
                  <w:sz w:val="20"/>
                  <w:szCs w:val="20"/>
                </w:rPr>
                <w:t>rt on Form 10-K for the fiscal year ended December 29, 2018, is hereby incorporated by reference.</w:t>
              </w:r>
            </w:hyperlink>
          </w:p>
        </w:tc>
      </w:tr>
      <w:tr w:rsidR="0084406A" w14:paraId="5902B7C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B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BF" w14:textId="77777777" w:rsidR="0084406A" w:rsidRDefault="0084406A">
            <w:pPr>
              <w:rPr>
                <w:rFonts w:ascii="宋体"/>
              </w:rPr>
            </w:pPr>
          </w:p>
        </w:tc>
      </w:tr>
      <w:tr w:rsidR="0084406A" w14:paraId="5902B7C5" w14:textId="77777777">
        <w:trPr>
          <w:jc w:val="center"/>
        </w:trPr>
        <w:tc>
          <w:tcPr>
            <w:tcW w:w="0" w:type="auto"/>
            <w:gridSpan w:val="3"/>
            <w:shd w:val="clear" w:color="auto" w:fill="auto"/>
            <w:tcMar>
              <w:top w:w="0" w:type="dxa"/>
              <w:left w:w="20" w:type="dxa"/>
              <w:bottom w:w="0" w:type="dxa"/>
              <w:right w:w="20" w:type="dxa"/>
            </w:tcMar>
            <w:vAlign w:val="bottom"/>
          </w:tcPr>
          <w:p w14:paraId="5902B7C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C2" w14:textId="77777777" w:rsidR="0084406A" w:rsidRDefault="002B18AF">
            <w:pPr>
              <w:jc w:val="right"/>
              <w:textAlignment w:val="top"/>
            </w:pPr>
            <w:r>
              <w:rPr>
                <w:rFonts w:ascii="Arial" w:eastAsia="宋体" w:hAnsi="Arial" w:cs="Arial"/>
                <w:color w:val="000000"/>
                <w:sz w:val="20"/>
                <w:szCs w:val="20"/>
              </w:rPr>
              <w:t>10.39</w:t>
            </w:r>
          </w:p>
        </w:tc>
        <w:tc>
          <w:tcPr>
            <w:tcW w:w="0" w:type="auto"/>
            <w:gridSpan w:val="3"/>
            <w:shd w:val="clear" w:color="auto" w:fill="auto"/>
            <w:tcMar>
              <w:top w:w="0" w:type="dxa"/>
              <w:left w:w="20" w:type="dxa"/>
              <w:bottom w:w="0" w:type="dxa"/>
              <w:right w:w="20" w:type="dxa"/>
            </w:tcMar>
            <w:vAlign w:val="bottom"/>
          </w:tcPr>
          <w:p w14:paraId="5902B7C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C4" w14:textId="77777777" w:rsidR="0084406A" w:rsidRDefault="002B18AF">
            <w:pPr>
              <w:textAlignment w:val="top"/>
            </w:pPr>
            <w:hyperlink r:id="rId144" w:history="1">
              <w:r>
                <w:rPr>
                  <w:rStyle w:val="a5"/>
                  <w:rFonts w:ascii="Arial" w:eastAsia="宋体" w:hAnsi="Arial" w:cs="Arial"/>
                  <w:sz w:val="20"/>
                  <w:szCs w:val="20"/>
                </w:rPr>
                <w:t>Credit Agreement dated as of June 7, 2019 by and among Advanced Micro Devices, Inc., as borrower, the lenders as referred to therein, as lenders, an</w:t>
              </w:r>
              <w:r>
                <w:rPr>
                  <w:rStyle w:val="a5"/>
                  <w:rFonts w:ascii="Arial" w:eastAsia="宋体" w:hAnsi="Arial" w:cs="Arial"/>
                  <w:sz w:val="20"/>
                  <w:szCs w:val="20"/>
                </w:rPr>
                <w:t>d Wells Fargo Bank, National Association, as administrative agent, swingline agent and an issuing lender, filed as Exhibit 10.1 to AMD’s Current Report on Form 8-K dated June 10, 2019, is hereby incorporated by reference.</w:t>
              </w:r>
            </w:hyperlink>
          </w:p>
        </w:tc>
      </w:tr>
      <w:tr w:rsidR="0084406A" w14:paraId="5902B7C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C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C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C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C9" w14:textId="77777777" w:rsidR="0084406A" w:rsidRDefault="0084406A">
            <w:pPr>
              <w:rPr>
                <w:rFonts w:ascii="宋体"/>
              </w:rPr>
            </w:pPr>
          </w:p>
        </w:tc>
      </w:tr>
      <w:tr w:rsidR="0084406A" w14:paraId="5902B7CF" w14:textId="77777777">
        <w:trPr>
          <w:jc w:val="center"/>
        </w:trPr>
        <w:tc>
          <w:tcPr>
            <w:tcW w:w="0" w:type="auto"/>
            <w:gridSpan w:val="3"/>
            <w:shd w:val="clear" w:color="auto" w:fill="auto"/>
            <w:tcMar>
              <w:top w:w="0" w:type="dxa"/>
              <w:left w:w="20" w:type="dxa"/>
              <w:bottom w:w="0" w:type="dxa"/>
              <w:right w:w="20" w:type="dxa"/>
            </w:tcMar>
            <w:vAlign w:val="bottom"/>
          </w:tcPr>
          <w:p w14:paraId="5902B7C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CC" w14:textId="77777777" w:rsidR="0084406A" w:rsidRDefault="002B18AF">
            <w:pPr>
              <w:jc w:val="right"/>
              <w:textAlignment w:val="top"/>
            </w:pPr>
            <w:r>
              <w:rPr>
                <w:rFonts w:ascii="Arial" w:eastAsia="宋体" w:hAnsi="Arial" w:cs="Arial"/>
                <w:color w:val="000000"/>
                <w:sz w:val="20"/>
                <w:szCs w:val="20"/>
              </w:rPr>
              <w:t>*10.40</w:t>
            </w:r>
          </w:p>
        </w:tc>
        <w:tc>
          <w:tcPr>
            <w:tcW w:w="0" w:type="auto"/>
            <w:gridSpan w:val="3"/>
            <w:shd w:val="clear" w:color="auto" w:fill="auto"/>
            <w:tcMar>
              <w:top w:w="0" w:type="dxa"/>
              <w:left w:w="20" w:type="dxa"/>
              <w:bottom w:w="0" w:type="dxa"/>
              <w:right w:w="20" w:type="dxa"/>
            </w:tcMar>
            <w:vAlign w:val="bottom"/>
          </w:tcPr>
          <w:p w14:paraId="5902B7C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CE" w14:textId="77777777" w:rsidR="0084406A" w:rsidRDefault="002B18AF">
            <w:pPr>
              <w:textAlignment w:val="top"/>
            </w:pPr>
            <w:hyperlink r:id="rId145" w:history="1">
              <w:r>
                <w:rPr>
                  <w:rStyle w:val="a5"/>
                  <w:rFonts w:ascii="Arial" w:eastAsia="宋体" w:hAnsi="Arial" w:cs="Arial"/>
                  <w:sz w:val="20"/>
                  <w:szCs w:val="20"/>
                </w:rPr>
                <w:t>Offer Letter between Advanced Micro Devices, Inc. and Rick Bergman dated August 1, 2019, filed as Exhibit 10.1 to AMD’s Quarterly Report on Form 10-Q for</w:t>
              </w:r>
              <w:r>
                <w:rPr>
                  <w:rStyle w:val="a5"/>
                  <w:rFonts w:ascii="Arial" w:eastAsia="宋体" w:hAnsi="Arial" w:cs="Arial"/>
                  <w:sz w:val="20"/>
                  <w:szCs w:val="20"/>
                </w:rPr>
                <w:t xml:space="preserve"> the fiscal quarter ended September 28, 2019, is hereby incorporated by reference.</w:t>
              </w:r>
            </w:hyperlink>
          </w:p>
        </w:tc>
      </w:tr>
      <w:tr w:rsidR="0084406A" w14:paraId="5902B7D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D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3" w14:textId="77777777" w:rsidR="0084406A" w:rsidRDefault="0084406A">
            <w:pPr>
              <w:rPr>
                <w:rFonts w:ascii="宋体"/>
              </w:rPr>
            </w:pPr>
          </w:p>
        </w:tc>
      </w:tr>
      <w:tr w:rsidR="0084406A" w14:paraId="5902B7D9" w14:textId="77777777">
        <w:trPr>
          <w:jc w:val="center"/>
        </w:trPr>
        <w:tc>
          <w:tcPr>
            <w:tcW w:w="0" w:type="auto"/>
            <w:gridSpan w:val="3"/>
            <w:shd w:val="clear" w:color="auto" w:fill="auto"/>
            <w:tcMar>
              <w:top w:w="0" w:type="dxa"/>
              <w:left w:w="20" w:type="dxa"/>
              <w:bottom w:w="0" w:type="dxa"/>
              <w:right w:w="20" w:type="dxa"/>
            </w:tcMar>
            <w:vAlign w:val="bottom"/>
          </w:tcPr>
          <w:p w14:paraId="5902B7D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D6" w14:textId="77777777" w:rsidR="0084406A" w:rsidRDefault="002B18AF">
            <w:pPr>
              <w:jc w:val="right"/>
              <w:textAlignment w:val="top"/>
            </w:pPr>
            <w:r>
              <w:rPr>
                <w:rFonts w:ascii="Arial" w:eastAsia="宋体" w:hAnsi="Arial" w:cs="Arial"/>
                <w:color w:val="000000"/>
                <w:sz w:val="20"/>
                <w:szCs w:val="20"/>
              </w:rPr>
              <w:t>*10.41</w:t>
            </w:r>
          </w:p>
        </w:tc>
        <w:tc>
          <w:tcPr>
            <w:tcW w:w="0" w:type="auto"/>
            <w:gridSpan w:val="3"/>
            <w:shd w:val="clear" w:color="auto" w:fill="auto"/>
            <w:tcMar>
              <w:top w:w="0" w:type="dxa"/>
              <w:left w:w="20" w:type="dxa"/>
              <w:bottom w:w="0" w:type="dxa"/>
              <w:right w:w="20" w:type="dxa"/>
            </w:tcMar>
            <w:vAlign w:val="bottom"/>
          </w:tcPr>
          <w:p w14:paraId="5902B7D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D8" w14:textId="77777777" w:rsidR="0084406A" w:rsidRDefault="002B18AF">
            <w:pPr>
              <w:textAlignment w:val="top"/>
            </w:pPr>
            <w:hyperlink r:id="rId146" w:history="1">
              <w:r>
                <w:rPr>
                  <w:rStyle w:val="a5"/>
                  <w:rFonts w:ascii="Arial" w:eastAsia="宋体" w:hAnsi="Arial" w:cs="Arial"/>
                  <w:sz w:val="20"/>
                  <w:szCs w:val="20"/>
                </w:rPr>
                <w:t>Sign-On Bonus Letter between Advanced Micro Devices, Inc. and Rick Bergman dated August 1, 2019, filed as Exhibit 10.2 to AMD’s Quarterly Report on Form</w:t>
              </w:r>
              <w:r>
                <w:rPr>
                  <w:rStyle w:val="a5"/>
                  <w:rFonts w:ascii="Arial" w:eastAsia="宋体" w:hAnsi="Arial" w:cs="Arial"/>
                  <w:sz w:val="20"/>
                  <w:szCs w:val="20"/>
                </w:rPr>
                <w:t xml:space="preserve"> 10-Q for the fiscal quarter ended September 28, 2019, is hereby incorporated by reference.</w:t>
              </w:r>
            </w:hyperlink>
          </w:p>
        </w:tc>
      </w:tr>
      <w:tr w:rsidR="0084406A" w14:paraId="5902B7D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D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DD" w14:textId="77777777" w:rsidR="0084406A" w:rsidRDefault="0084406A">
            <w:pPr>
              <w:rPr>
                <w:rFonts w:ascii="宋体"/>
              </w:rPr>
            </w:pPr>
          </w:p>
        </w:tc>
      </w:tr>
      <w:tr w:rsidR="0084406A" w14:paraId="5902B7E3" w14:textId="77777777">
        <w:trPr>
          <w:jc w:val="center"/>
        </w:trPr>
        <w:tc>
          <w:tcPr>
            <w:tcW w:w="0" w:type="auto"/>
            <w:gridSpan w:val="3"/>
            <w:shd w:val="clear" w:color="auto" w:fill="auto"/>
            <w:tcMar>
              <w:top w:w="0" w:type="dxa"/>
              <w:left w:w="20" w:type="dxa"/>
              <w:bottom w:w="0" w:type="dxa"/>
              <w:right w:w="20" w:type="dxa"/>
            </w:tcMar>
            <w:vAlign w:val="bottom"/>
          </w:tcPr>
          <w:p w14:paraId="5902B7D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E0" w14:textId="77777777" w:rsidR="0084406A" w:rsidRDefault="002B18AF">
            <w:pPr>
              <w:jc w:val="right"/>
              <w:textAlignment w:val="top"/>
            </w:pPr>
            <w:r>
              <w:rPr>
                <w:rFonts w:ascii="Arial" w:eastAsia="宋体" w:hAnsi="Arial" w:cs="Arial"/>
                <w:color w:val="000000"/>
                <w:sz w:val="20"/>
                <w:szCs w:val="20"/>
              </w:rPr>
              <w:t>*10.42</w:t>
            </w:r>
          </w:p>
        </w:tc>
        <w:tc>
          <w:tcPr>
            <w:tcW w:w="0" w:type="auto"/>
            <w:gridSpan w:val="3"/>
            <w:shd w:val="clear" w:color="auto" w:fill="auto"/>
            <w:tcMar>
              <w:top w:w="0" w:type="dxa"/>
              <w:left w:w="20" w:type="dxa"/>
              <w:bottom w:w="0" w:type="dxa"/>
              <w:right w:w="20" w:type="dxa"/>
            </w:tcMar>
            <w:vAlign w:val="bottom"/>
          </w:tcPr>
          <w:p w14:paraId="5902B7E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E2" w14:textId="77777777" w:rsidR="0084406A" w:rsidRDefault="002B18AF">
            <w:pPr>
              <w:textAlignment w:val="top"/>
            </w:pPr>
            <w:hyperlink r:id="rId147" w:history="1">
              <w:r>
                <w:rPr>
                  <w:rStyle w:val="a5"/>
                  <w:rFonts w:ascii="Arial" w:eastAsia="宋体" w:hAnsi="Arial" w:cs="Arial"/>
                  <w:sz w:val="20"/>
                  <w:szCs w:val="20"/>
                </w:rPr>
                <w:t xml:space="preserve">Value Creation Performance-Based Restricted Stock Unit Grant Notice between Advanced Micro Devices, Inc. and Lisa T. Su, dated August 9, 2019, filed as </w:t>
              </w:r>
              <w:r>
                <w:rPr>
                  <w:rStyle w:val="a5"/>
                  <w:rFonts w:ascii="Arial" w:eastAsia="宋体" w:hAnsi="Arial" w:cs="Arial"/>
                  <w:sz w:val="20"/>
                  <w:szCs w:val="20"/>
                </w:rPr>
                <w:t>Exhibit 10.3 to AMD’s Quarterly Report on Form 10-Q for the fiscal quarter ended September 28, 2019, is hereby incorporated by reference.</w:t>
              </w:r>
            </w:hyperlink>
          </w:p>
        </w:tc>
      </w:tr>
      <w:tr w:rsidR="0084406A" w14:paraId="5902B7E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E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E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E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E7" w14:textId="77777777" w:rsidR="0084406A" w:rsidRDefault="0084406A">
            <w:pPr>
              <w:rPr>
                <w:rFonts w:ascii="宋体"/>
              </w:rPr>
            </w:pPr>
          </w:p>
        </w:tc>
      </w:tr>
      <w:tr w:rsidR="0084406A" w14:paraId="5902B7ED" w14:textId="77777777">
        <w:trPr>
          <w:jc w:val="center"/>
        </w:trPr>
        <w:tc>
          <w:tcPr>
            <w:tcW w:w="0" w:type="auto"/>
            <w:gridSpan w:val="3"/>
            <w:shd w:val="clear" w:color="auto" w:fill="auto"/>
            <w:tcMar>
              <w:top w:w="0" w:type="dxa"/>
              <w:left w:w="20" w:type="dxa"/>
              <w:bottom w:w="0" w:type="dxa"/>
              <w:right w:w="20" w:type="dxa"/>
            </w:tcMar>
            <w:vAlign w:val="bottom"/>
          </w:tcPr>
          <w:p w14:paraId="5902B7E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EA" w14:textId="77777777" w:rsidR="0084406A" w:rsidRDefault="002B18AF">
            <w:pPr>
              <w:jc w:val="right"/>
              <w:textAlignment w:val="top"/>
            </w:pPr>
            <w:r>
              <w:rPr>
                <w:rFonts w:ascii="Arial" w:eastAsia="宋体" w:hAnsi="Arial" w:cs="Arial"/>
                <w:color w:val="000000"/>
                <w:sz w:val="20"/>
                <w:szCs w:val="20"/>
              </w:rPr>
              <w:t>*10.43</w:t>
            </w:r>
          </w:p>
        </w:tc>
        <w:tc>
          <w:tcPr>
            <w:tcW w:w="0" w:type="auto"/>
            <w:gridSpan w:val="3"/>
            <w:shd w:val="clear" w:color="auto" w:fill="auto"/>
            <w:tcMar>
              <w:top w:w="0" w:type="dxa"/>
              <w:left w:w="20" w:type="dxa"/>
              <w:bottom w:w="0" w:type="dxa"/>
              <w:right w:w="20" w:type="dxa"/>
            </w:tcMar>
            <w:vAlign w:val="bottom"/>
          </w:tcPr>
          <w:p w14:paraId="5902B7E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EC" w14:textId="77777777" w:rsidR="0084406A" w:rsidRDefault="002B18AF">
            <w:pPr>
              <w:textAlignment w:val="top"/>
            </w:pPr>
            <w:hyperlink r:id="rId148" w:history="1">
              <w:r>
                <w:rPr>
                  <w:rStyle w:val="a5"/>
                  <w:rFonts w:ascii="Arial" w:eastAsia="宋体" w:hAnsi="Arial" w:cs="Arial"/>
                  <w:sz w:val="20"/>
                  <w:szCs w:val="20"/>
                </w:rPr>
                <w:t>Value Creation Performance-Based Restricted Stock Unit Grant Notice between Advanced Micro Devices, Inc. and Mark Papermaster, dated August 9, 2019, fil</w:t>
              </w:r>
              <w:r>
                <w:rPr>
                  <w:rStyle w:val="a5"/>
                  <w:rFonts w:ascii="Arial" w:eastAsia="宋体" w:hAnsi="Arial" w:cs="Arial"/>
                  <w:sz w:val="20"/>
                  <w:szCs w:val="20"/>
                </w:rPr>
                <w:t>ed as Exhibit 10.4 to AMD’s Quarterly Report on Form 10-Q for the fiscal quarter ended September 28, 2019, is hereby incorporated by reference.</w:t>
              </w:r>
            </w:hyperlink>
          </w:p>
        </w:tc>
      </w:tr>
      <w:tr w:rsidR="0084406A" w14:paraId="5902B7F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E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E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F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F1" w14:textId="77777777" w:rsidR="0084406A" w:rsidRDefault="0084406A">
            <w:pPr>
              <w:rPr>
                <w:rFonts w:ascii="宋体"/>
              </w:rPr>
            </w:pPr>
          </w:p>
        </w:tc>
      </w:tr>
      <w:tr w:rsidR="0084406A" w14:paraId="5902B7F7" w14:textId="77777777">
        <w:trPr>
          <w:jc w:val="center"/>
        </w:trPr>
        <w:tc>
          <w:tcPr>
            <w:tcW w:w="0" w:type="auto"/>
            <w:gridSpan w:val="3"/>
            <w:shd w:val="clear" w:color="auto" w:fill="auto"/>
            <w:tcMar>
              <w:top w:w="0" w:type="dxa"/>
              <w:left w:w="20" w:type="dxa"/>
              <w:bottom w:w="0" w:type="dxa"/>
              <w:right w:w="20" w:type="dxa"/>
            </w:tcMar>
            <w:vAlign w:val="bottom"/>
          </w:tcPr>
          <w:p w14:paraId="5902B7F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F4" w14:textId="77777777" w:rsidR="0084406A" w:rsidRDefault="002B18AF">
            <w:pPr>
              <w:jc w:val="right"/>
              <w:textAlignment w:val="top"/>
            </w:pPr>
            <w:r>
              <w:rPr>
                <w:rFonts w:ascii="Arial" w:eastAsia="宋体" w:hAnsi="Arial" w:cs="Arial"/>
                <w:color w:val="000000"/>
                <w:sz w:val="20"/>
                <w:szCs w:val="20"/>
              </w:rPr>
              <w:t>*10.44</w:t>
            </w:r>
          </w:p>
        </w:tc>
        <w:tc>
          <w:tcPr>
            <w:tcW w:w="0" w:type="auto"/>
            <w:gridSpan w:val="3"/>
            <w:shd w:val="clear" w:color="auto" w:fill="auto"/>
            <w:tcMar>
              <w:top w:w="0" w:type="dxa"/>
              <w:left w:w="20" w:type="dxa"/>
              <w:bottom w:w="0" w:type="dxa"/>
              <w:right w:w="20" w:type="dxa"/>
            </w:tcMar>
            <w:vAlign w:val="bottom"/>
          </w:tcPr>
          <w:p w14:paraId="5902B7F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F6" w14:textId="77777777" w:rsidR="0084406A" w:rsidRDefault="002B18AF">
            <w:pPr>
              <w:textAlignment w:val="top"/>
            </w:pPr>
            <w:hyperlink r:id="rId149" w:history="1">
              <w:r>
                <w:rPr>
                  <w:rStyle w:val="a5"/>
                  <w:rFonts w:ascii="Arial" w:eastAsia="宋体" w:hAnsi="Arial" w:cs="Arial"/>
                  <w:sz w:val="20"/>
                  <w:szCs w:val="20"/>
                </w:rPr>
                <w:t xml:space="preserve">Amendment to Advanced Micro Devices, Inc. Executive Incentive Plan dated as of August 21, 2019, filed as Exhibit 10.6 to AMD’s Quarterly Report on Form </w:t>
              </w:r>
              <w:r>
                <w:rPr>
                  <w:rStyle w:val="a5"/>
                  <w:rFonts w:ascii="Arial" w:eastAsia="宋体" w:hAnsi="Arial" w:cs="Arial"/>
                  <w:sz w:val="20"/>
                  <w:szCs w:val="20"/>
                </w:rPr>
                <w:t>10-Q for the fiscal quarter ended September 28, 2019, is hereby incorporated by reference.</w:t>
              </w:r>
            </w:hyperlink>
          </w:p>
        </w:tc>
      </w:tr>
      <w:tr w:rsidR="0084406A" w14:paraId="5902B7F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7F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F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F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7FB" w14:textId="77777777" w:rsidR="0084406A" w:rsidRDefault="0084406A">
            <w:pPr>
              <w:rPr>
                <w:rFonts w:ascii="宋体"/>
              </w:rPr>
            </w:pPr>
          </w:p>
        </w:tc>
      </w:tr>
      <w:tr w:rsidR="0084406A" w14:paraId="5902B801" w14:textId="77777777">
        <w:trPr>
          <w:jc w:val="center"/>
        </w:trPr>
        <w:tc>
          <w:tcPr>
            <w:tcW w:w="0" w:type="auto"/>
            <w:gridSpan w:val="3"/>
            <w:shd w:val="clear" w:color="auto" w:fill="auto"/>
            <w:tcMar>
              <w:top w:w="0" w:type="dxa"/>
              <w:left w:w="20" w:type="dxa"/>
              <w:bottom w:w="0" w:type="dxa"/>
              <w:right w:w="20" w:type="dxa"/>
            </w:tcMar>
            <w:vAlign w:val="bottom"/>
          </w:tcPr>
          <w:p w14:paraId="5902B7F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7FE" w14:textId="77777777" w:rsidR="0084406A" w:rsidRDefault="002B18AF">
            <w:pPr>
              <w:jc w:val="right"/>
              <w:textAlignment w:val="top"/>
            </w:pPr>
            <w:r>
              <w:rPr>
                <w:rFonts w:ascii="Arial" w:eastAsia="宋体" w:hAnsi="Arial" w:cs="Arial"/>
                <w:color w:val="000000"/>
                <w:sz w:val="20"/>
                <w:szCs w:val="20"/>
              </w:rPr>
              <w:t>*10.45</w:t>
            </w:r>
          </w:p>
        </w:tc>
        <w:tc>
          <w:tcPr>
            <w:tcW w:w="0" w:type="auto"/>
            <w:gridSpan w:val="3"/>
            <w:shd w:val="clear" w:color="auto" w:fill="auto"/>
            <w:tcMar>
              <w:top w:w="0" w:type="dxa"/>
              <w:left w:w="20" w:type="dxa"/>
              <w:bottom w:w="0" w:type="dxa"/>
              <w:right w:w="20" w:type="dxa"/>
            </w:tcMar>
            <w:vAlign w:val="bottom"/>
          </w:tcPr>
          <w:p w14:paraId="5902B7F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00" w14:textId="77777777" w:rsidR="0084406A" w:rsidRDefault="002B18AF">
            <w:pPr>
              <w:textAlignment w:val="top"/>
            </w:pPr>
            <w:hyperlink r:id="rId150" w:history="1">
              <w:r>
                <w:rPr>
                  <w:rStyle w:val="a5"/>
                  <w:rFonts w:ascii="Arial" w:eastAsia="宋体" w:hAnsi="Arial" w:cs="Arial"/>
                  <w:sz w:val="20"/>
                  <w:szCs w:val="20"/>
                </w:rPr>
                <w:t xml:space="preserve">2004 Equity Incentive Plan, as amended and restated, dated August 21, 2019, filed as Exhibit 10.7 to AMD’s Quarterly Report on Form 10-Q for the fiscal </w:t>
              </w:r>
              <w:r>
                <w:rPr>
                  <w:rStyle w:val="a5"/>
                  <w:rFonts w:ascii="Arial" w:eastAsia="宋体" w:hAnsi="Arial" w:cs="Arial"/>
                  <w:sz w:val="20"/>
                  <w:szCs w:val="20"/>
                </w:rPr>
                <w:t>quarter ended September 28, 2019, is hereby incorporated by reference.</w:t>
              </w:r>
            </w:hyperlink>
          </w:p>
        </w:tc>
      </w:tr>
      <w:tr w:rsidR="0084406A" w14:paraId="5902B80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0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5" w14:textId="77777777" w:rsidR="0084406A" w:rsidRDefault="0084406A">
            <w:pPr>
              <w:rPr>
                <w:rFonts w:ascii="宋体"/>
              </w:rPr>
            </w:pPr>
          </w:p>
        </w:tc>
      </w:tr>
      <w:tr w:rsidR="0084406A" w14:paraId="5902B80B" w14:textId="77777777">
        <w:trPr>
          <w:jc w:val="center"/>
        </w:trPr>
        <w:tc>
          <w:tcPr>
            <w:tcW w:w="0" w:type="auto"/>
            <w:gridSpan w:val="3"/>
            <w:shd w:val="clear" w:color="auto" w:fill="auto"/>
            <w:tcMar>
              <w:top w:w="0" w:type="dxa"/>
              <w:left w:w="20" w:type="dxa"/>
              <w:bottom w:w="0" w:type="dxa"/>
              <w:right w:w="20" w:type="dxa"/>
            </w:tcMar>
            <w:vAlign w:val="bottom"/>
          </w:tcPr>
          <w:p w14:paraId="5902B80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08" w14:textId="77777777" w:rsidR="0084406A" w:rsidRDefault="002B18AF">
            <w:pPr>
              <w:jc w:val="right"/>
              <w:textAlignment w:val="top"/>
            </w:pPr>
            <w:r>
              <w:rPr>
                <w:rFonts w:ascii="Arial" w:eastAsia="宋体" w:hAnsi="Arial" w:cs="Arial"/>
                <w:color w:val="000000"/>
                <w:sz w:val="20"/>
                <w:szCs w:val="20"/>
              </w:rPr>
              <w:t>*10.46</w:t>
            </w:r>
          </w:p>
        </w:tc>
        <w:tc>
          <w:tcPr>
            <w:tcW w:w="0" w:type="auto"/>
            <w:gridSpan w:val="3"/>
            <w:shd w:val="clear" w:color="auto" w:fill="auto"/>
            <w:tcMar>
              <w:top w:w="0" w:type="dxa"/>
              <w:left w:w="20" w:type="dxa"/>
              <w:bottom w:w="0" w:type="dxa"/>
              <w:right w:w="20" w:type="dxa"/>
            </w:tcMar>
            <w:vAlign w:val="bottom"/>
          </w:tcPr>
          <w:p w14:paraId="5902B80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0A" w14:textId="77777777" w:rsidR="0084406A" w:rsidRDefault="002B18AF">
            <w:pPr>
              <w:textAlignment w:val="bottom"/>
            </w:pPr>
            <w:hyperlink r:id="rId151" w:history="1">
              <w:r>
                <w:rPr>
                  <w:rStyle w:val="a5"/>
                  <w:rFonts w:ascii="Arial" w:eastAsia="宋体" w:hAnsi="Arial" w:cs="Arial"/>
                  <w:sz w:val="20"/>
                  <w:szCs w:val="20"/>
                </w:rPr>
                <w:t xml:space="preserve">Outside Director Equity Compensation Policy, as amended and restated, dated as of February 12, 2020, filed as Exhibit 10.1 to AMD’s Quarterly Report on </w:t>
              </w:r>
              <w:r>
                <w:rPr>
                  <w:rStyle w:val="a5"/>
                  <w:rFonts w:ascii="Arial" w:eastAsia="宋体" w:hAnsi="Arial" w:cs="Arial"/>
                  <w:sz w:val="20"/>
                  <w:szCs w:val="20"/>
                </w:rPr>
                <w:t>Form 10-Q for the fiscal quarter ended March 28, 2020, is hereby incorporated by reference.</w:t>
              </w:r>
            </w:hyperlink>
          </w:p>
        </w:tc>
      </w:tr>
      <w:tr w:rsidR="0084406A" w14:paraId="5902B81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0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0F" w14:textId="77777777" w:rsidR="0084406A" w:rsidRDefault="0084406A">
            <w:pPr>
              <w:rPr>
                <w:rFonts w:ascii="宋体"/>
              </w:rPr>
            </w:pPr>
          </w:p>
        </w:tc>
      </w:tr>
      <w:tr w:rsidR="0084406A" w14:paraId="5902B815" w14:textId="77777777">
        <w:trPr>
          <w:jc w:val="center"/>
        </w:trPr>
        <w:tc>
          <w:tcPr>
            <w:tcW w:w="0" w:type="auto"/>
            <w:gridSpan w:val="3"/>
            <w:shd w:val="clear" w:color="auto" w:fill="auto"/>
            <w:tcMar>
              <w:top w:w="0" w:type="dxa"/>
              <w:left w:w="20" w:type="dxa"/>
              <w:bottom w:w="0" w:type="dxa"/>
              <w:right w:w="20" w:type="dxa"/>
            </w:tcMar>
            <w:vAlign w:val="bottom"/>
          </w:tcPr>
          <w:p w14:paraId="5902B81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12" w14:textId="77777777" w:rsidR="0084406A" w:rsidRDefault="002B18AF">
            <w:pPr>
              <w:jc w:val="right"/>
              <w:textAlignment w:val="top"/>
            </w:pPr>
            <w:r>
              <w:rPr>
                <w:rFonts w:ascii="Arial" w:eastAsia="宋体" w:hAnsi="Arial" w:cs="Arial"/>
                <w:color w:val="000000"/>
                <w:sz w:val="20"/>
                <w:szCs w:val="20"/>
              </w:rPr>
              <w:t>*10.47</w:t>
            </w:r>
          </w:p>
        </w:tc>
        <w:tc>
          <w:tcPr>
            <w:tcW w:w="0" w:type="auto"/>
            <w:gridSpan w:val="3"/>
            <w:shd w:val="clear" w:color="auto" w:fill="auto"/>
            <w:tcMar>
              <w:top w:w="0" w:type="dxa"/>
              <w:left w:w="20" w:type="dxa"/>
              <w:bottom w:w="0" w:type="dxa"/>
              <w:right w:w="20" w:type="dxa"/>
            </w:tcMar>
            <w:vAlign w:val="bottom"/>
          </w:tcPr>
          <w:p w14:paraId="5902B81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14" w14:textId="77777777" w:rsidR="0084406A" w:rsidRDefault="002B18AF">
            <w:pPr>
              <w:textAlignment w:val="bottom"/>
            </w:pPr>
            <w:hyperlink r:id="rId152" w:history="1">
              <w:r>
                <w:rPr>
                  <w:rStyle w:val="a5"/>
                  <w:rFonts w:ascii="Arial" w:eastAsia="宋体" w:hAnsi="Arial" w:cs="Arial"/>
                  <w:sz w:val="20"/>
                  <w:szCs w:val="20"/>
                </w:rPr>
                <w:t>Form of Performance-based Restricted Stock Unit Agreement for Senior Vice Presidents and Above under the 2004 Equity Incentive Plan, filed as Exhibit 10</w:t>
              </w:r>
              <w:r>
                <w:rPr>
                  <w:rStyle w:val="a5"/>
                  <w:rFonts w:ascii="Arial" w:eastAsia="宋体" w:hAnsi="Arial" w:cs="Arial"/>
                  <w:sz w:val="20"/>
                  <w:szCs w:val="20"/>
                </w:rPr>
                <w:t>.1 to AMD’s Quarterly Report on Form 10-Q for the fiscal quarter ended June 27, 2020, is hereby incorporated by reference.</w:t>
              </w:r>
            </w:hyperlink>
          </w:p>
        </w:tc>
      </w:tr>
      <w:tr w:rsidR="0084406A" w14:paraId="5902B81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1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1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1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19" w14:textId="77777777" w:rsidR="0084406A" w:rsidRDefault="0084406A">
            <w:pPr>
              <w:rPr>
                <w:rFonts w:ascii="宋体"/>
              </w:rPr>
            </w:pPr>
          </w:p>
        </w:tc>
      </w:tr>
    </w:tbl>
    <w:p w14:paraId="5902B81B" w14:textId="77777777" w:rsidR="0084406A" w:rsidRDefault="002B18AF">
      <w:pPr>
        <w:jc w:val="center"/>
      </w:pPr>
      <w:r>
        <w:rPr>
          <w:rFonts w:ascii="Arial" w:eastAsia="宋体" w:hAnsi="Arial" w:cs="Arial"/>
          <w:color w:val="000000"/>
          <w:sz w:val="20"/>
          <w:szCs w:val="20"/>
        </w:rPr>
        <w:t>91</w:t>
      </w:r>
    </w:p>
    <w:p w14:paraId="5902B81C" w14:textId="77777777" w:rsidR="0084406A" w:rsidRDefault="002B18AF">
      <w:r>
        <w:pict w14:anchorId="5902BB51">
          <v:rect id="_x0000_i1118" style="width:415.3pt;height:1.5pt" o:hralign="center" o:hrstd="t" o:hr="t" fillcolor="#a0a0a0" stroked="f"/>
        </w:pict>
      </w:r>
    </w:p>
    <w:p w14:paraId="5902B81D" w14:textId="77777777" w:rsidR="0084406A" w:rsidRDefault="0084406A"/>
    <w:tbl>
      <w:tblPr>
        <w:tblW w:w="4613" w:type="pct"/>
        <w:jc w:val="center"/>
        <w:tblCellMar>
          <w:top w:w="15" w:type="dxa"/>
          <w:left w:w="15" w:type="dxa"/>
          <w:bottom w:w="15" w:type="dxa"/>
          <w:right w:w="15" w:type="dxa"/>
        </w:tblCellMar>
        <w:tblLook w:val="04A0" w:firstRow="1" w:lastRow="0" w:firstColumn="1" w:lastColumn="0" w:noHBand="0" w:noVBand="1"/>
      </w:tblPr>
      <w:tblGrid>
        <w:gridCol w:w="56"/>
        <w:gridCol w:w="150"/>
        <w:gridCol w:w="36"/>
        <w:gridCol w:w="71"/>
        <w:gridCol w:w="719"/>
        <w:gridCol w:w="36"/>
        <w:gridCol w:w="36"/>
        <w:gridCol w:w="73"/>
        <w:gridCol w:w="36"/>
        <w:gridCol w:w="57"/>
        <w:gridCol w:w="6382"/>
        <w:gridCol w:w="39"/>
      </w:tblGrid>
      <w:tr w:rsidR="0084406A" w14:paraId="5902B82A" w14:textId="77777777">
        <w:trPr>
          <w:jc w:val="center"/>
        </w:trPr>
        <w:tc>
          <w:tcPr>
            <w:tcW w:w="50" w:type="pct"/>
            <w:shd w:val="clear" w:color="auto" w:fill="auto"/>
            <w:vAlign w:val="bottom"/>
          </w:tcPr>
          <w:p w14:paraId="5902B81E" w14:textId="77777777" w:rsidR="0084406A" w:rsidRDefault="0084406A">
            <w:pPr>
              <w:rPr>
                <w:rFonts w:ascii="宋体"/>
              </w:rPr>
            </w:pPr>
          </w:p>
        </w:tc>
        <w:tc>
          <w:tcPr>
            <w:tcW w:w="111" w:type="pct"/>
            <w:shd w:val="clear" w:color="auto" w:fill="auto"/>
            <w:vAlign w:val="bottom"/>
          </w:tcPr>
          <w:p w14:paraId="5902B81F" w14:textId="77777777" w:rsidR="0084406A" w:rsidRDefault="0084406A">
            <w:pPr>
              <w:rPr>
                <w:rFonts w:ascii="宋体"/>
              </w:rPr>
            </w:pPr>
          </w:p>
        </w:tc>
        <w:tc>
          <w:tcPr>
            <w:tcW w:w="5" w:type="pct"/>
            <w:shd w:val="clear" w:color="auto" w:fill="auto"/>
            <w:vAlign w:val="bottom"/>
          </w:tcPr>
          <w:p w14:paraId="5902B820" w14:textId="77777777" w:rsidR="0084406A" w:rsidRDefault="0084406A">
            <w:pPr>
              <w:rPr>
                <w:rFonts w:ascii="宋体"/>
              </w:rPr>
            </w:pPr>
          </w:p>
        </w:tc>
        <w:tc>
          <w:tcPr>
            <w:tcW w:w="50" w:type="pct"/>
            <w:shd w:val="clear" w:color="auto" w:fill="auto"/>
            <w:vAlign w:val="bottom"/>
          </w:tcPr>
          <w:p w14:paraId="5902B821" w14:textId="77777777" w:rsidR="0084406A" w:rsidRDefault="0084406A">
            <w:pPr>
              <w:rPr>
                <w:rFonts w:ascii="宋体"/>
              </w:rPr>
            </w:pPr>
          </w:p>
        </w:tc>
        <w:tc>
          <w:tcPr>
            <w:tcW w:w="491" w:type="pct"/>
            <w:shd w:val="clear" w:color="auto" w:fill="auto"/>
            <w:vAlign w:val="bottom"/>
          </w:tcPr>
          <w:p w14:paraId="5902B822" w14:textId="77777777" w:rsidR="0084406A" w:rsidRDefault="0084406A">
            <w:pPr>
              <w:rPr>
                <w:rFonts w:ascii="宋体"/>
              </w:rPr>
            </w:pPr>
          </w:p>
        </w:tc>
        <w:tc>
          <w:tcPr>
            <w:tcW w:w="5" w:type="pct"/>
            <w:shd w:val="clear" w:color="auto" w:fill="auto"/>
            <w:vAlign w:val="bottom"/>
          </w:tcPr>
          <w:p w14:paraId="5902B823" w14:textId="77777777" w:rsidR="0084406A" w:rsidRDefault="0084406A">
            <w:pPr>
              <w:rPr>
                <w:rFonts w:ascii="宋体"/>
              </w:rPr>
            </w:pPr>
          </w:p>
        </w:tc>
        <w:tc>
          <w:tcPr>
            <w:tcW w:w="5" w:type="pct"/>
            <w:shd w:val="clear" w:color="auto" w:fill="auto"/>
            <w:vAlign w:val="bottom"/>
          </w:tcPr>
          <w:p w14:paraId="5902B824" w14:textId="77777777" w:rsidR="0084406A" w:rsidRDefault="0084406A">
            <w:pPr>
              <w:rPr>
                <w:rFonts w:ascii="宋体"/>
              </w:rPr>
            </w:pPr>
          </w:p>
        </w:tc>
        <w:tc>
          <w:tcPr>
            <w:tcW w:w="61" w:type="pct"/>
            <w:shd w:val="clear" w:color="auto" w:fill="auto"/>
            <w:vAlign w:val="bottom"/>
          </w:tcPr>
          <w:p w14:paraId="5902B825" w14:textId="77777777" w:rsidR="0084406A" w:rsidRDefault="0084406A">
            <w:pPr>
              <w:rPr>
                <w:rFonts w:ascii="宋体"/>
              </w:rPr>
            </w:pPr>
          </w:p>
        </w:tc>
        <w:tc>
          <w:tcPr>
            <w:tcW w:w="5" w:type="pct"/>
            <w:shd w:val="clear" w:color="auto" w:fill="auto"/>
            <w:vAlign w:val="bottom"/>
          </w:tcPr>
          <w:p w14:paraId="5902B826" w14:textId="77777777" w:rsidR="0084406A" w:rsidRDefault="0084406A">
            <w:pPr>
              <w:rPr>
                <w:rFonts w:ascii="宋体"/>
              </w:rPr>
            </w:pPr>
          </w:p>
        </w:tc>
        <w:tc>
          <w:tcPr>
            <w:tcW w:w="50" w:type="pct"/>
            <w:shd w:val="clear" w:color="auto" w:fill="auto"/>
            <w:vAlign w:val="bottom"/>
          </w:tcPr>
          <w:p w14:paraId="5902B827" w14:textId="77777777" w:rsidR="0084406A" w:rsidRDefault="0084406A">
            <w:pPr>
              <w:rPr>
                <w:rFonts w:ascii="宋体"/>
              </w:rPr>
            </w:pPr>
          </w:p>
        </w:tc>
        <w:tc>
          <w:tcPr>
            <w:tcW w:w="4160" w:type="pct"/>
            <w:shd w:val="clear" w:color="auto" w:fill="auto"/>
            <w:vAlign w:val="bottom"/>
          </w:tcPr>
          <w:p w14:paraId="5902B828" w14:textId="77777777" w:rsidR="0084406A" w:rsidRDefault="0084406A">
            <w:pPr>
              <w:rPr>
                <w:rFonts w:ascii="宋体"/>
              </w:rPr>
            </w:pPr>
          </w:p>
        </w:tc>
        <w:tc>
          <w:tcPr>
            <w:tcW w:w="5" w:type="pct"/>
            <w:shd w:val="clear" w:color="auto" w:fill="auto"/>
            <w:vAlign w:val="bottom"/>
          </w:tcPr>
          <w:p w14:paraId="5902B829" w14:textId="77777777" w:rsidR="0084406A" w:rsidRDefault="0084406A">
            <w:pPr>
              <w:rPr>
                <w:rFonts w:ascii="宋体"/>
              </w:rPr>
            </w:pPr>
          </w:p>
        </w:tc>
      </w:tr>
      <w:tr w:rsidR="0084406A" w14:paraId="5902B82F" w14:textId="77777777">
        <w:trPr>
          <w:jc w:val="center"/>
        </w:trPr>
        <w:tc>
          <w:tcPr>
            <w:tcW w:w="0" w:type="auto"/>
            <w:gridSpan w:val="3"/>
            <w:shd w:val="clear" w:color="auto" w:fill="auto"/>
            <w:tcMar>
              <w:top w:w="0" w:type="dxa"/>
              <w:left w:w="20" w:type="dxa"/>
              <w:bottom w:w="0" w:type="dxa"/>
              <w:right w:w="20" w:type="dxa"/>
            </w:tcMar>
            <w:vAlign w:val="bottom"/>
          </w:tcPr>
          <w:p w14:paraId="5902B82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2C" w14:textId="77777777" w:rsidR="0084406A" w:rsidRDefault="002B18AF">
            <w:pPr>
              <w:jc w:val="right"/>
              <w:textAlignment w:val="top"/>
            </w:pPr>
            <w:r>
              <w:rPr>
                <w:rFonts w:ascii="Arial" w:eastAsia="宋体" w:hAnsi="Arial" w:cs="Arial"/>
                <w:color w:val="000000"/>
                <w:sz w:val="20"/>
                <w:szCs w:val="20"/>
              </w:rPr>
              <w:t>*10.48</w:t>
            </w:r>
          </w:p>
        </w:tc>
        <w:tc>
          <w:tcPr>
            <w:tcW w:w="0" w:type="auto"/>
            <w:gridSpan w:val="3"/>
            <w:shd w:val="clear" w:color="auto" w:fill="auto"/>
            <w:tcMar>
              <w:top w:w="0" w:type="dxa"/>
              <w:left w:w="20" w:type="dxa"/>
              <w:bottom w:w="0" w:type="dxa"/>
              <w:right w:w="20" w:type="dxa"/>
            </w:tcMar>
            <w:vAlign w:val="bottom"/>
          </w:tcPr>
          <w:p w14:paraId="5902B82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2E" w14:textId="77777777" w:rsidR="0084406A" w:rsidRDefault="002B18AF">
            <w:pPr>
              <w:textAlignment w:val="bottom"/>
            </w:pPr>
            <w:hyperlink r:id="rId153" w:history="1">
              <w:r>
                <w:rPr>
                  <w:rStyle w:val="a5"/>
                  <w:rFonts w:ascii="Arial" w:eastAsia="宋体" w:hAnsi="Arial" w:cs="Arial"/>
                  <w:sz w:val="20"/>
                  <w:szCs w:val="20"/>
                </w:rPr>
                <w:t>Form of Stock Option Agreement for Senior Vice Presidents and Above under the 2004 Equity Incentive plan, filed as Exhibit 10.2 to AMD’s Quarterly Repor</w:t>
              </w:r>
              <w:r>
                <w:rPr>
                  <w:rStyle w:val="a5"/>
                  <w:rFonts w:ascii="Arial" w:eastAsia="宋体" w:hAnsi="Arial" w:cs="Arial"/>
                  <w:sz w:val="20"/>
                  <w:szCs w:val="20"/>
                </w:rPr>
                <w:t>t on Form 10-Q for the fiscal quarter ended June 27, 2020, is hereby incorporated by reference.</w:t>
              </w:r>
            </w:hyperlink>
          </w:p>
        </w:tc>
      </w:tr>
      <w:tr w:rsidR="0084406A" w14:paraId="5902B83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3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3" w14:textId="77777777" w:rsidR="0084406A" w:rsidRDefault="0084406A">
            <w:pPr>
              <w:rPr>
                <w:rFonts w:ascii="宋体"/>
              </w:rPr>
            </w:pPr>
          </w:p>
        </w:tc>
      </w:tr>
      <w:tr w:rsidR="0084406A" w14:paraId="5902B839" w14:textId="77777777">
        <w:trPr>
          <w:jc w:val="center"/>
        </w:trPr>
        <w:tc>
          <w:tcPr>
            <w:tcW w:w="0" w:type="auto"/>
            <w:gridSpan w:val="3"/>
            <w:shd w:val="clear" w:color="auto" w:fill="auto"/>
            <w:tcMar>
              <w:top w:w="0" w:type="dxa"/>
              <w:left w:w="20" w:type="dxa"/>
              <w:bottom w:w="0" w:type="dxa"/>
              <w:right w:w="20" w:type="dxa"/>
            </w:tcMar>
            <w:vAlign w:val="bottom"/>
          </w:tcPr>
          <w:p w14:paraId="5902B83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36" w14:textId="77777777" w:rsidR="0084406A" w:rsidRDefault="002B18AF">
            <w:pPr>
              <w:jc w:val="right"/>
              <w:textAlignment w:val="top"/>
            </w:pPr>
            <w:r>
              <w:rPr>
                <w:rFonts w:ascii="Arial" w:eastAsia="宋体" w:hAnsi="Arial" w:cs="Arial"/>
                <w:color w:val="000000"/>
                <w:sz w:val="20"/>
                <w:szCs w:val="20"/>
              </w:rPr>
              <w:t>*10.49</w:t>
            </w:r>
          </w:p>
        </w:tc>
        <w:tc>
          <w:tcPr>
            <w:tcW w:w="0" w:type="auto"/>
            <w:gridSpan w:val="3"/>
            <w:shd w:val="clear" w:color="auto" w:fill="auto"/>
            <w:tcMar>
              <w:top w:w="0" w:type="dxa"/>
              <w:left w:w="20" w:type="dxa"/>
              <w:bottom w:w="0" w:type="dxa"/>
              <w:right w:w="20" w:type="dxa"/>
            </w:tcMar>
            <w:vAlign w:val="bottom"/>
          </w:tcPr>
          <w:p w14:paraId="5902B83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38" w14:textId="77777777" w:rsidR="0084406A" w:rsidRDefault="002B18AF">
            <w:pPr>
              <w:textAlignment w:val="bottom"/>
            </w:pPr>
            <w:hyperlink r:id="rId154" w:history="1">
              <w:r>
                <w:rPr>
                  <w:rStyle w:val="a5"/>
                  <w:rFonts w:ascii="Arial" w:eastAsia="宋体" w:hAnsi="Arial" w:cs="Arial"/>
                  <w:sz w:val="20"/>
                  <w:szCs w:val="20"/>
                </w:rPr>
                <w:t>Form of Restricted Stock Unit Agreement for Senior Vice Presidents and Above under the 2004 Equity Incentive Plan, filed as Exhibit 10.3 to AMD’s Quarte</w:t>
              </w:r>
              <w:r>
                <w:rPr>
                  <w:rStyle w:val="a5"/>
                  <w:rFonts w:ascii="Arial" w:eastAsia="宋体" w:hAnsi="Arial" w:cs="Arial"/>
                  <w:sz w:val="20"/>
                  <w:szCs w:val="20"/>
                </w:rPr>
                <w:t>rly Report on Form 10-Q for the fiscal quarter ended June 27, 2020, is hereby incorporated by reference.</w:t>
              </w:r>
            </w:hyperlink>
          </w:p>
        </w:tc>
      </w:tr>
      <w:tr w:rsidR="0084406A" w14:paraId="5902B83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3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3D" w14:textId="77777777" w:rsidR="0084406A" w:rsidRDefault="0084406A">
            <w:pPr>
              <w:rPr>
                <w:rFonts w:ascii="宋体"/>
              </w:rPr>
            </w:pPr>
          </w:p>
        </w:tc>
      </w:tr>
      <w:tr w:rsidR="0084406A" w14:paraId="5902B843" w14:textId="77777777">
        <w:trPr>
          <w:jc w:val="center"/>
        </w:trPr>
        <w:tc>
          <w:tcPr>
            <w:tcW w:w="0" w:type="auto"/>
            <w:gridSpan w:val="3"/>
            <w:shd w:val="clear" w:color="auto" w:fill="auto"/>
            <w:tcMar>
              <w:top w:w="0" w:type="dxa"/>
              <w:left w:w="20" w:type="dxa"/>
              <w:bottom w:w="0" w:type="dxa"/>
              <w:right w:w="20" w:type="dxa"/>
            </w:tcMar>
            <w:vAlign w:val="bottom"/>
          </w:tcPr>
          <w:p w14:paraId="5902B83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40" w14:textId="77777777" w:rsidR="0084406A" w:rsidRDefault="002B18AF">
            <w:pPr>
              <w:jc w:val="right"/>
              <w:textAlignment w:val="top"/>
            </w:pPr>
            <w:r>
              <w:rPr>
                <w:rFonts w:ascii="Arial" w:eastAsia="宋体" w:hAnsi="Arial" w:cs="Arial"/>
                <w:color w:val="000000"/>
                <w:sz w:val="20"/>
                <w:szCs w:val="20"/>
              </w:rPr>
              <w:t>***10.50</w:t>
            </w:r>
          </w:p>
        </w:tc>
        <w:tc>
          <w:tcPr>
            <w:tcW w:w="0" w:type="auto"/>
            <w:gridSpan w:val="3"/>
            <w:shd w:val="clear" w:color="auto" w:fill="auto"/>
            <w:tcMar>
              <w:top w:w="0" w:type="dxa"/>
              <w:left w:w="20" w:type="dxa"/>
              <w:bottom w:w="0" w:type="dxa"/>
              <w:right w:w="20" w:type="dxa"/>
            </w:tcMar>
            <w:vAlign w:val="bottom"/>
          </w:tcPr>
          <w:p w14:paraId="5902B84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42" w14:textId="77777777" w:rsidR="0084406A" w:rsidRDefault="002B18AF">
            <w:pPr>
              <w:textAlignment w:val="bottom"/>
            </w:pPr>
            <w:hyperlink r:id="rId155" w:history="1">
              <w:r>
                <w:rPr>
                  <w:rStyle w:val="a5"/>
                  <w:rFonts w:ascii="Arial" w:eastAsia="宋体" w:hAnsi="Arial" w:cs="Arial"/>
                  <w:sz w:val="20"/>
                  <w:szCs w:val="20"/>
                </w:rPr>
                <w:t xml:space="preserve">Wafer Supply Agreement, among Advanced Micro Devices, Inc., The Foundry Company and AMD Fab Technologies US, Inc., dated March 2, 2009, filed as Exhibit 10.1 </w:t>
              </w:r>
              <w:r>
                <w:rPr>
                  <w:rStyle w:val="a5"/>
                  <w:rFonts w:ascii="Arial" w:eastAsia="宋体" w:hAnsi="Arial" w:cs="Arial"/>
                  <w:sz w:val="20"/>
                  <w:szCs w:val="20"/>
                </w:rPr>
                <w:t>to AMD’s Quarterly Report on Form 10-Q for the fiscal quarter ended September 26, 2020, is hereby incorporated by reference</w:t>
              </w:r>
            </w:hyperlink>
            <w:r>
              <w:rPr>
                <w:rFonts w:ascii="Arial" w:eastAsia="宋体" w:hAnsi="Arial" w:cs="Arial"/>
                <w:color w:val="000000"/>
                <w:sz w:val="20"/>
                <w:szCs w:val="20"/>
              </w:rPr>
              <w:t>.</w:t>
            </w:r>
          </w:p>
        </w:tc>
      </w:tr>
      <w:tr w:rsidR="0084406A" w14:paraId="5902B84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4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4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4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47" w14:textId="77777777" w:rsidR="0084406A" w:rsidRDefault="0084406A">
            <w:pPr>
              <w:rPr>
                <w:rFonts w:ascii="宋体"/>
              </w:rPr>
            </w:pPr>
          </w:p>
        </w:tc>
      </w:tr>
      <w:tr w:rsidR="0084406A" w14:paraId="5902B84D" w14:textId="77777777">
        <w:trPr>
          <w:jc w:val="center"/>
        </w:trPr>
        <w:tc>
          <w:tcPr>
            <w:tcW w:w="0" w:type="auto"/>
            <w:gridSpan w:val="3"/>
            <w:shd w:val="clear" w:color="auto" w:fill="auto"/>
            <w:tcMar>
              <w:top w:w="0" w:type="dxa"/>
              <w:left w:w="20" w:type="dxa"/>
              <w:bottom w:w="0" w:type="dxa"/>
              <w:right w:w="20" w:type="dxa"/>
            </w:tcMar>
            <w:vAlign w:val="bottom"/>
          </w:tcPr>
          <w:p w14:paraId="5902B84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4A" w14:textId="77777777" w:rsidR="0084406A" w:rsidRDefault="002B18AF">
            <w:pPr>
              <w:jc w:val="right"/>
              <w:textAlignment w:val="top"/>
            </w:pPr>
            <w:r>
              <w:rPr>
                <w:rFonts w:ascii="Arial" w:eastAsia="宋体" w:hAnsi="Arial" w:cs="Arial"/>
                <w:color w:val="000000"/>
                <w:sz w:val="20"/>
                <w:szCs w:val="20"/>
              </w:rPr>
              <w:t>***10.51</w:t>
            </w:r>
          </w:p>
        </w:tc>
        <w:tc>
          <w:tcPr>
            <w:tcW w:w="0" w:type="auto"/>
            <w:gridSpan w:val="3"/>
            <w:shd w:val="clear" w:color="auto" w:fill="auto"/>
            <w:tcMar>
              <w:top w:w="0" w:type="dxa"/>
              <w:left w:w="20" w:type="dxa"/>
              <w:bottom w:w="0" w:type="dxa"/>
              <w:right w:w="20" w:type="dxa"/>
            </w:tcMar>
            <w:vAlign w:val="bottom"/>
          </w:tcPr>
          <w:p w14:paraId="5902B84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4C" w14:textId="77777777" w:rsidR="0084406A" w:rsidRDefault="002B18AF">
            <w:pPr>
              <w:textAlignment w:val="bottom"/>
            </w:pPr>
            <w:hyperlink r:id="rId156" w:history="1">
              <w:r>
                <w:rPr>
                  <w:rStyle w:val="a5"/>
                  <w:rFonts w:ascii="Arial" w:eastAsia="宋体" w:hAnsi="Arial" w:cs="Arial"/>
                  <w:sz w:val="20"/>
                  <w:szCs w:val="20"/>
                </w:rPr>
                <w:t>Wafer Supply Agreement Amendment No. 1, among Advanced Micro Devices, Inc., GLOBALFOUNDRIES Inc., GLOBALFOUNDRIES U.S. Inc. and GLOBALFOUNDRIES Singapore. Pte.</w:t>
              </w:r>
              <w:r>
                <w:rPr>
                  <w:rStyle w:val="a5"/>
                  <w:rFonts w:ascii="Arial" w:eastAsia="宋体" w:hAnsi="Arial" w:cs="Arial"/>
                  <w:sz w:val="20"/>
                  <w:szCs w:val="20"/>
                </w:rPr>
                <w:t xml:space="preserve"> Ltd., dated March 29, 2011, filed as Exhibit 10.2 to AMD’s Quarterly Report on Form 10-Q for the fiscal quarter ended September 26, 2020, is hereby incorporated by reference.</w:t>
              </w:r>
            </w:hyperlink>
          </w:p>
        </w:tc>
      </w:tr>
      <w:tr w:rsidR="0084406A" w14:paraId="5902B85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4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4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5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51" w14:textId="77777777" w:rsidR="0084406A" w:rsidRDefault="0084406A">
            <w:pPr>
              <w:rPr>
                <w:rFonts w:ascii="宋体"/>
              </w:rPr>
            </w:pPr>
          </w:p>
        </w:tc>
      </w:tr>
      <w:tr w:rsidR="0084406A" w14:paraId="5902B857" w14:textId="77777777">
        <w:trPr>
          <w:jc w:val="center"/>
        </w:trPr>
        <w:tc>
          <w:tcPr>
            <w:tcW w:w="0" w:type="auto"/>
            <w:gridSpan w:val="3"/>
            <w:shd w:val="clear" w:color="auto" w:fill="auto"/>
            <w:tcMar>
              <w:top w:w="0" w:type="dxa"/>
              <w:left w:w="20" w:type="dxa"/>
              <w:bottom w:w="0" w:type="dxa"/>
              <w:right w:w="20" w:type="dxa"/>
            </w:tcMar>
            <w:vAlign w:val="bottom"/>
          </w:tcPr>
          <w:p w14:paraId="5902B85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54" w14:textId="77777777" w:rsidR="0084406A" w:rsidRDefault="002B18AF">
            <w:pPr>
              <w:jc w:val="right"/>
              <w:textAlignment w:val="top"/>
            </w:pPr>
            <w:r>
              <w:rPr>
                <w:rFonts w:ascii="Arial" w:eastAsia="宋体" w:hAnsi="Arial" w:cs="Arial"/>
                <w:color w:val="000000"/>
                <w:sz w:val="20"/>
                <w:szCs w:val="20"/>
              </w:rPr>
              <w:t>***10.52</w:t>
            </w:r>
          </w:p>
        </w:tc>
        <w:tc>
          <w:tcPr>
            <w:tcW w:w="0" w:type="auto"/>
            <w:gridSpan w:val="3"/>
            <w:shd w:val="clear" w:color="auto" w:fill="auto"/>
            <w:tcMar>
              <w:top w:w="0" w:type="dxa"/>
              <w:left w:w="20" w:type="dxa"/>
              <w:bottom w:w="0" w:type="dxa"/>
              <w:right w:w="20" w:type="dxa"/>
            </w:tcMar>
            <w:vAlign w:val="bottom"/>
          </w:tcPr>
          <w:p w14:paraId="5902B85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56" w14:textId="77777777" w:rsidR="0084406A" w:rsidRDefault="002B18AF">
            <w:pPr>
              <w:textAlignment w:val="bottom"/>
            </w:pPr>
            <w:hyperlink r:id="rId157" w:history="1">
              <w:r>
                <w:rPr>
                  <w:rStyle w:val="a5"/>
                  <w:rFonts w:ascii="Arial" w:eastAsia="宋体" w:hAnsi="Arial" w:cs="Arial"/>
                  <w:sz w:val="20"/>
                  <w:szCs w:val="20"/>
                </w:rPr>
                <w:t>Wafer Supply Agreement Amendment No. 2, among Advanced Micro Devices, Inc., GLOBALFOUNDRIES Inc., GLOBALFOUNDRIES U.S. Inc., Advanced Technology Investment Co</w:t>
              </w:r>
              <w:r>
                <w:rPr>
                  <w:rStyle w:val="a5"/>
                  <w:rFonts w:ascii="Arial" w:eastAsia="宋体" w:hAnsi="Arial" w:cs="Arial"/>
                  <w:sz w:val="20"/>
                  <w:szCs w:val="20"/>
                </w:rPr>
                <w:t>mpany LLC and ATIC International Investment Company LLC, dated March 4, 2012, filed as Exhibit 10.3 to AMD’s Quarterly Report on Form 10-Q for the fiscal quarter ended September 26October 28, 2020, is hereby incorporated by reference.</w:t>
              </w:r>
            </w:hyperlink>
          </w:p>
        </w:tc>
      </w:tr>
      <w:tr w:rsidR="0084406A" w14:paraId="5902B85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5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5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5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5B" w14:textId="77777777" w:rsidR="0084406A" w:rsidRDefault="0084406A">
            <w:pPr>
              <w:rPr>
                <w:rFonts w:ascii="宋体"/>
              </w:rPr>
            </w:pPr>
          </w:p>
        </w:tc>
      </w:tr>
      <w:tr w:rsidR="0084406A" w14:paraId="5902B861" w14:textId="77777777">
        <w:trPr>
          <w:jc w:val="center"/>
        </w:trPr>
        <w:tc>
          <w:tcPr>
            <w:tcW w:w="0" w:type="auto"/>
            <w:gridSpan w:val="3"/>
            <w:shd w:val="clear" w:color="auto" w:fill="auto"/>
            <w:tcMar>
              <w:top w:w="0" w:type="dxa"/>
              <w:left w:w="20" w:type="dxa"/>
              <w:bottom w:w="0" w:type="dxa"/>
              <w:right w:w="20" w:type="dxa"/>
            </w:tcMar>
            <w:vAlign w:val="bottom"/>
          </w:tcPr>
          <w:p w14:paraId="5902B85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5E" w14:textId="77777777" w:rsidR="0084406A" w:rsidRDefault="002B18AF">
            <w:pPr>
              <w:jc w:val="right"/>
              <w:textAlignment w:val="top"/>
            </w:pPr>
            <w:r>
              <w:rPr>
                <w:rFonts w:ascii="Arial" w:eastAsia="宋体" w:hAnsi="Arial" w:cs="Arial"/>
                <w:color w:val="000000"/>
                <w:sz w:val="20"/>
                <w:szCs w:val="20"/>
              </w:rPr>
              <w:t>***10.53</w:t>
            </w:r>
          </w:p>
        </w:tc>
        <w:tc>
          <w:tcPr>
            <w:tcW w:w="0" w:type="auto"/>
            <w:gridSpan w:val="3"/>
            <w:shd w:val="clear" w:color="auto" w:fill="auto"/>
            <w:tcMar>
              <w:top w:w="0" w:type="dxa"/>
              <w:left w:w="20" w:type="dxa"/>
              <w:bottom w:w="0" w:type="dxa"/>
              <w:right w:w="20" w:type="dxa"/>
            </w:tcMar>
            <w:vAlign w:val="bottom"/>
          </w:tcPr>
          <w:p w14:paraId="5902B85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60" w14:textId="77777777" w:rsidR="0084406A" w:rsidRDefault="002B18AF">
            <w:pPr>
              <w:textAlignment w:val="bottom"/>
            </w:pPr>
            <w:hyperlink r:id="rId158" w:history="1">
              <w:r>
                <w:rPr>
                  <w:rStyle w:val="a5"/>
                  <w:rFonts w:ascii="Arial" w:eastAsia="宋体" w:hAnsi="Arial" w:cs="Arial"/>
                  <w:sz w:val="20"/>
                  <w:szCs w:val="20"/>
                </w:rPr>
                <w:t>Wafer Supply Agreement Amendment No. 3, among Advanced Micro Devices, Inc., GLOBALFOUNDRIES Inc. and GLOBALFOUNDRIES U.S. Inc., dated December 6, 20</w:t>
              </w:r>
              <w:r>
                <w:rPr>
                  <w:rStyle w:val="a5"/>
                  <w:rFonts w:ascii="Arial" w:eastAsia="宋体" w:hAnsi="Arial" w:cs="Arial"/>
                  <w:sz w:val="20"/>
                  <w:szCs w:val="20"/>
                </w:rPr>
                <w:t>12, filed as Exhibit 10.4 to AMD’s Quarterly Report on Form 10-Q for the fiscal quarter ended September 26October 28, 2020, is hereby incorporated by reference</w:t>
              </w:r>
            </w:hyperlink>
            <w:r>
              <w:rPr>
                <w:rFonts w:ascii="Arial" w:eastAsia="宋体" w:hAnsi="Arial" w:cs="Arial"/>
                <w:color w:val="000000"/>
                <w:sz w:val="20"/>
                <w:szCs w:val="20"/>
              </w:rPr>
              <w:t>.</w:t>
            </w:r>
          </w:p>
        </w:tc>
      </w:tr>
      <w:tr w:rsidR="0084406A" w14:paraId="5902B86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6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5" w14:textId="77777777" w:rsidR="0084406A" w:rsidRDefault="0084406A">
            <w:pPr>
              <w:rPr>
                <w:rFonts w:ascii="宋体"/>
              </w:rPr>
            </w:pPr>
          </w:p>
        </w:tc>
      </w:tr>
      <w:tr w:rsidR="0084406A" w14:paraId="5902B86B" w14:textId="77777777">
        <w:trPr>
          <w:jc w:val="center"/>
        </w:trPr>
        <w:tc>
          <w:tcPr>
            <w:tcW w:w="0" w:type="auto"/>
            <w:gridSpan w:val="3"/>
            <w:shd w:val="clear" w:color="auto" w:fill="auto"/>
            <w:tcMar>
              <w:top w:w="0" w:type="dxa"/>
              <w:left w:w="20" w:type="dxa"/>
              <w:bottom w:w="0" w:type="dxa"/>
              <w:right w:w="20" w:type="dxa"/>
            </w:tcMar>
            <w:vAlign w:val="bottom"/>
          </w:tcPr>
          <w:p w14:paraId="5902B86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68" w14:textId="77777777" w:rsidR="0084406A" w:rsidRDefault="002B18AF">
            <w:pPr>
              <w:jc w:val="right"/>
              <w:textAlignment w:val="top"/>
            </w:pPr>
            <w:r>
              <w:rPr>
                <w:rFonts w:ascii="Arial" w:eastAsia="宋体" w:hAnsi="Arial" w:cs="Arial"/>
                <w:color w:val="000000"/>
                <w:sz w:val="20"/>
                <w:szCs w:val="20"/>
              </w:rPr>
              <w:t>***10.54</w:t>
            </w:r>
          </w:p>
        </w:tc>
        <w:tc>
          <w:tcPr>
            <w:tcW w:w="0" w:type="auto"/>
            <w:gridSpan w:val="3"/>
            <w:shd w:val="clear" w:color="auto" w:fill="auto"/>
            <w:tcMar>
              <w:top w:w="0" w:type="dxa"/>
              <w:left w:w="20" w:type="dxa"/>
              <w:bottom w:w="0" w:type="dxa"/>
              <w:right w:w="20" w:type="dxa"/>
            </w:tcMar>
            <w:vAlign w:val="bottom"/>
          </w:tcPr>
          <w:p w14:paraId="5902B86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6A" w14:textId="77777777" w:rsidR="0084406A" w:rsidRDefault="002B18AF">
            <w:pPr>
              <w:textAlignment w:val="bottom"/>
            </w:pPr>
            <w:hyperlink r:id="rId159" w:history="1">
              <w:r>
                <w:rPr>
                  <w:rStyle w:val="a5"/>
                  <w:rFonts w:ascii="Arial" w:eastAsia="宋体" w:hAnsi="Arial" w:cs="Arial"/>
                  <w:sz w:val="20"/>
                  <w:szCs w:val="20"/>
                </w:rPr>
                <w:t xml:space="preserve">Wafer Supply Agreement Amendment No. 4, among Advanced Micro Devices, Inc., GLOBALFOUNDRIES Inc. and GLOBALFOUNDRIES U.S. Inc., dated March 30, 2014, filed as </w:t>
              </w:r>
              <w:r>
                <w:rPr>
                  <w:rStyle w:val="a5"/>
                  <w:rFonts w:ascii="Arial" w:eastAsia="宋体" w:hAnsi="Arial" w:cs="Arial"/>
                  <w:sz w:val="20"/>
                  <w:szCs w:val="20"/>
                </w:rPr>
                <w:t>Exhibit 10.5 to AMD’s Quarterly Report on Form 10-Q for the fiscal quarter ended September 26October 28, 2020, is hereby incorporated by reference.</w:t>
              </w:r>
            </w:hyperlink>
          </w:p>
        </w:tc>
      </w:tr>
      <w:tr w:rsidR="0084406A" w14:paraId="5902B87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6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6F" w14:textId="77777777" w:rsidR="0084406A" w:rsidRDefault="0084406A">
            <w:pPr>
              <w:rPr>
                <w:rFonts w:ascii="宋体"/>
              </w:rPr>
            </w:pPr>
          </w:p>
        </w:tc>
      </w:tr>
      <w:tr w:rsidR="0084406A" w14:paraId="5902B875" w14:textId="77777777">
        <w:trPr>
          <w:jc w:val="center"/>
        </w:trPr>
        <w:tc>
          <w:tcPr>
            <w:tcW w:w="0" w:type="auto"/>
            <w:gridSpan w:val="3"/>
            <w:shd w:val="clear" w:color="auto" w:fill="auto"/>
            <w:tcMar>
              <w:top w:w="0" w:type="dxa"/>
              <w:left w:w="20" w:type="dxa"/>
              <w:bottom w:w="0" w:type="dxa"/>
              <w:right w:w="20" w:type="dxa"/>
            </w:tcMar>
            <w:vAlign w:val="bottom"/>
          </w:tcPr>
          <w:p w14:paraId="5902B87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72" w14:textId="77777777" w:rsidR="0084406A" w:rsidRDefault="002B18AF">
            <w:pPr>
              <w:jc w:val="right"/>
              <w:textAlignment w:val="top"/>
            </w:pPr>
            <w:r>
              <w:rPr>
                <w:rFonts w:ascii="Arial" w:eastAsia="宋体" w:hAnsi="Arial" w:cs="Arial"/>
                <w:color w:val="000000"/>
                <w:sz w:val="20"/>
                <w:szCs w:val="20"/>
              </w:rPr>
              <w:t>***10.55</w:t>
            </w:r>
          </w:p>
        </w:tc>
        <w:tc>
          <w:tcPr>
            <w:tcW w:w="0" w:type="auto"/>
            <w:gridSpan w:val="3"/>
            <w:shd w:val="clear" w:color="auto" w:fill="auto"/>
            <w:tcMar>
              <w:top w:w="0" w:type="dxa"/>
              <w:left w:w="20" w:type="dxa"/>
              <w:bottom w:w="0" w:type="dxa"/>
              <w:right w:w="20" w:type="dxa"/>
            </w:tcMar>
            <w:vAlign w:val="bottom"/>
          </w:tcPr>
          <w:p w14:paraId="5902B87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74" w14:textId="77777777" w:rsidR="0084406A" w:rsidRDefault="002B18AF">
            <w:pPr>
              <w:textAlignment w:val="bottom"/>
            </w:pPr>
            <w:hyperlink r:id="rId160" w:history="1">
              <w:r>
                <w:rPr>
                  <w:rStyle w:val="a5"/>
                  <w:rFonts w:ascii="Arial" w:eastAsia="宋体" w:hAnsi="Arial" w:cs="Arial"/>
                  <w:sz w:val="20"/>
                  <w:szCs w:val="20"/>
                </w:rPr>
                <w:t>Wafer Supply Agreement Amendment No. 5, among Advanced Micro Devices, Inc., GLOBALFOUNDRIES Inc. and GLOBALFOUNDRIES U.S. Inc., dated as of April 16, 2015, fi</w:t>
              </w:r>
              <w:r>
                <w:rPr>
                  <w:rStyle w:val="a5"/>
                  <w:rFonts w:ascii="Arial" w:eastAsia="宋体" w:hAnsi="Arial" w:cs="Arial"/>
                  <w:sz w:val="20"/>
                  <w:szCs w:val="20"/>
                </w:rPr>
                <w:t>led as Exhibit 10.6 to AMD’s Quarterly Report on Form 10-Q for the fiscal quarter ended September 26October 28, 2020, is hereby incorporated by reference.</w:t>
              </w:r>
            </w:hyperlink>
          </w:p>
        </w:tc>
      </w:tr>
      <w:tr w:rsidR="0084406A" w14:paraId="5902B87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7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7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7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79" w14:textId="77777777" w:rsidR="0084406A" w:rsidRDefault="0084406A">
            <w:pPr>
              <w:rPr>
                <w:rFonts w:ascii="宋体"/>
              </w:rPr>
            </w:pPr>
          </w:p>
        </w:tc>
      </w:tr>
      <w:tr w:rsidR="0084406A" w14:paraId="5902B87F" w14:textId="77777777">
        <w:trPr>
          <w:jc w:val="center"/>
        </w:trPr>
        <w:tc>
          <w:tcPr>
            <w:tcW w:w="0" w:type="auto"/>
            <w:gridSpan w:val="3"/>
            <w:shd w:val="clear" w:color="auto" w:fill="auto"/>
            <w:tcMar>
              <w:top w:w="0" w:type="dxa"/>
              <w:left w:w="20" w:type="dxa"/>
              <w:bottom w:w="0" w:type="dxa"/>
              <w:right w:w="20" w:type="dxa"/>
            </w:tcMar>
            <w:vAlign w:val="bottom"/>
          </w:tcPr>
          <w:p w14:paraId="5902B87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7C" w14:textId="77777777" w:rsidR="0084406A" w:rsidRDefault="002B18AF">
            <w:pPr>
              <w:jc w:val="right"/>
              <w:textAlignment w:val="top"/>
            </w:pPr>
            <w:r>
              <w:rPr>
                <w:rFonts w:ascii="Arial" w:eastAsia="宋体" w:hAnsi="Arial" w:cs="Arial"/>
                <w:color w:val="000000"/>
                <w:sz w:val="20"/>
                <w:szCs w:val="20"/>
              </w:rPr>
              <w:t>***10.56</w:t>
            </w:r>
          </w:p>
        </w:tc>
        <w:tc>
          <w:tcPr>
            <w:tcW w:w="0" w:type="auto"/>
            <w:gridSpan w:val="3"/>
            <w:shd w:val="clear" w:color="auto" w:fill="auto"/>
            <w:tcMar>
              <w:top w:w="0" w:type="dxa"/>
              <w:left w:w="20" w:type="dxa"/>
              <w:bottom w:w="0" w:type="dxa"/>
              <w:right w:w="20" w:type="dxa"/>
            </w:tcMar>
            <w:vAlign w:val="bottom"/>
          </w:tcPr>
          <w:p w14:paraId="5902B87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7E" w14:textId="77777777" w:rsidR="0084406A" w:rsidRDefault="002B18AF">
            <w:pPr>
              <w:textAlignment w:val="bottom"/>
            </w:pPr>
            <w:hyperlink r:id="rId161" w:history="1">
              <w:r>
                <w:rPr>
                  <w:rStyle w:val="a5"/>
                  <w:rFonts w:ascii="Arial" w:eastAsia="宋体" w:hAnsi="Arial" w:cs="Arial"/>
                  <w:sz w:val="20"/>
                  <w:szCs w:val="20"/>
                </w:rPr>
                <w:t>Wafer Supply Agreement Amendment No. 6, among Advanced Micro Devices, Inc., GLOBALFOUNDRIES, Inc. and GLOBALFOUNDRIES U.S., Inc., dated August 30, 2016, filed</w:t>
              </w:r>
              <w:r>
                <w:rPr>
                  <w:rStyle w:val="a5"/>
                  <w:rFonts w:ascii="Arial" w:eastAsia="宋体" w:hAnsi="Arial" w:cs="Arial"/>
                  <w:sz w:val="20"/>
                  <w:szCs w:val="20"/>
                </w:rPr>
                <w:t xml:space="preserve"> as Exhibit 10.7 to AMD’s Quarterly Report on Form 10-Q for the fiscal quarter ended September 26October 28, 2020, is hereby incorporated by reference.</w:t>
              </w:r>
            </w:hyperlink>
          </w:p>
        </w:tc>
      </w:tr>
      <w:tr w:rsidR="0084406A" w14:paraId="5902B884"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8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3" w14:textId="77777777" w:rsidR="0084406A" w:rsidRDefault="0084406A">
            <w:pPr>
              <w:rPr>
                <w:rFonts w:ascii="宋体"/>
              </w:rPr>
            </w:pPr>
          </w:p>
        </w:tc>
      </w:tr>
      <w:tr w:rsidR="0084406A" w14:paraId="5902B889" w14:textId="77777777">
        <w:trPr>
          <w:jc w:val="center"/>
        </w:trPr>
        <w:tc>
          <w:tcPr>
            <w:tcW w:w="0" w:type="auto"/>
            <w:gridSpan w:val="3"/>
            <w:shd w:val="clear" w:color="auto" w:fill="auto"/>
            <w:tcMar>
              <w:top w:w="0" w:type="dxa"/>
              <w:left w:w="20" w:type="dxa"/>
              <w:bottom w:w="0" w:type="dxa"/>
              <w:right w:w="20" w:type="dxa"/>
            </w:tcMar>
            <w:vAlign w:val="bottom"/>
          </w:tcPr>
          <w:p w14:paraId="5902B88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86" w14:textId="77777777" w:rsidR="0084406A" w:rsidRDefault="002B18AF">
            <w:pPr>
              <w:jc w:val="right"/>
              <w:textAlignment w:val="top"/>
            </w:pPr>
            <w:r>
              <w:rPr>
                <w:rFonts w:ascii="Arial" w:eastAsia="宋体" w:hAnsi="Arial" w:cs="Arial"/>
                <w:color w:val="000000"/>
                <w:sz w:val="20"/>
                <w:szCs w:val="20"/>
              </w:rPr>
              <w:t>**10.57</w:t>
            </w:r>
          </w:p>
        </w:tc>
        <w:tc>
          <w:tcPr>
            <w:tcW w:w="0" w:type="auto"/>
            <w:gridSpan w:val="3"/>
            <w:shd w:val="clear" w:color="auto" w:fill="auto"/>
            <w:tcMar>
              <w:top w:w="0" w:type="dxa"/>
              <w:left w:w="20" w:type="dxa"/>
              <w:bottom w:w="0" w:type="dxa"/>
              <w:right w:w="20" w:type="dxa"/>
            </w:tcMar>
            <w:vAlign w:val="bottom"/>
          </w:tcPr>
          <w:p w14:paraId="5902B88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88" w14:textId="77777777" w:rsidR="0084406A" w:rsidRDefault="002B18AF">
            <w:pPr>
              <w:textAlignment w:val="top"/>
            </w:pPr>
            <w:hyperlink r:id="rId162" w:history="1">
              <w:r>
                <w:rPr>
                  <w:rStyle w:val="a5"/>
                  <w:rFonts w:ascii="Arial" w:eastAsia="宋体" w:hAnsi="Arial" w:cs="Arial"/>
                  <w:sz w:val="20"/>
                  <w:szCs w:val="20"/>
                </w:rPr>
                <w:t>Wafer Supply Agreement Amendment No. 7, among Advanced Micro Devices, Inc., GLOBALFOUNDRIES Inc. and GLOBALFOUNDRIES U.S. Inc., dated January 28, 20</w:t>
              </w:r>
              <w:r>
                <w:rPr>
                  <w:rStyle w:val="a5"/>
                  <w:rFonts w:ascii="Arial" w:eastAsia="宋体" w:hAnsi="Arial" w:cs="Arial"/>
                  <w:sz w:val="20"/>
                  <w:szCs w:val="20"/>
                </w:rPr>
                <w:t>19, filed as Exhibit 10.1 to AMD’s Quarterly Report on Form 10-Q for the fiscal quarter ended March 30, 2019, is hereby incorporated by reference.</w:t>
              </w:r>
            </w:hyperlink>
          </w:p>
        </w:tc>
      </w:tr>
      <w:tr w:rsidR="0084406A" w14:paraId="5902B88E"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8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8D" w14:textId="77777777" w:rsidR="0084406A" w:rsidRDefault="0084406A">
            <w:pPr>
              <w:rPr>
                <w:rFonts w:ascii="宋体"/>
              </w:rPr>
            </w:pPr>
          </w:p>
        </w:tc>
      </w:tr>
      <w:tr w:rsidR="0084406A" w14:paraId="5902B893" w14:textId="77777777">
        <w:trPr>
          <w:jc w:val="center"/>
        </w:trPr>
        <w:tc>
          <w:tcPr>
            <w:tcW w:w="0" w:type="auto"/>
            <w:gridSpan w:val="3"/>
            <w:shd w:val="clear" w:color="auto" w:fill="auto"/>
            <w:tcMar>
              <w:top w:w="0" w:type="dxa"/>
              <w:left w:w="20" w:type="dxa"/>
              <w:bottom w:w="0" w:type="dxa"/>
              <w:right w:w="20" w:type="dxa"/>
            </w:tcMar>
            <w:vAlign w:val="bottom"/>
          </w:tcPr>
          <w:p w14:paraId="5902B88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90" w14:textId="77777777" w:rsidR="0084406A" w:rsidRDefault="002B18AF">
            <w:pPr>
              <w:jc w:val="right"/>
              <w:textAlignment w:val="top"/>
            </w:pPr>
            <w:r>
              <w:rPr>
                <w:rFonts w:ascii="Arial" w:eastAsia="宋体" w:hAnsi="Arial" w:cs="Arial"/>
                <w:color w:val="000000"/>
                <w:sz w:val="20"/>
                <w:szCs w:val="20"/>
              </w:rPr>
              <w:t>10.58</w:t>
            </w:r>
          </w:p>
        </w:tc>
        <w:tc>
          <w:tcPr>
            <w:tcW w:w="0" w:type="auto"/>
            <w:gridSpan w:val="3"/>
            <w:shd w:val="clear" w:color="auto" w:fill="auto"/>
            <w:tcMar>
              <w:top w:w="0" w:type="dxa"/>
              <w:left w:w="20" w:type="dxa"/>
              <w:bottom w:w="0" w:type="dxa"/>
              <w:right w:w="20" w:type="dxa"/>
            </w:tcMar>
            <w:vAlign w:val="bottom"/>
          </w:tcPr>
          <w:p w14:paraId="5902B89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892" w14:textId="77777777" w:rsidR="0084406A" w:rsidRDefault="002B18AF">
            <w:pPr>
              <w:textAlignment w:val="bottom"/>
            </w:pPr>
            <w:hyperlink r:id="rId163" w:history="1">
              <w:r>
                <w:rPr>
                  <w:rStyle w:val="a5"/>
                  <w:rFonts w:ascii="Arial" w:eastAsia="宋体" w:hAnsi="Arial" w:cs="Arial"/>
                  <w:sz w:val="20"/>
                  <w:szCs w:val="20"/>
                </w:rPr>
                <w:t>Company-Provided Business Aircraft Usage and Commercial Travel by Personal Guests Policy revised as of January 25, 2021</w:t>
              </w:r>
            </w:hyperlink>
            <w:hyperlink r:id="rId164" w:history="1">
              <w:r>
                <w:rPr>
                  <w:rStyle w:val="a5"/>
                  <w:rFonts w:ascii="Arial" w:eastAsia="宋体" w:hAnsi="Arial" w:cs="Arial"/>
                  <w:sz w:val="20"/>
                  <w:szCs w:val="20"/>
                </w:rPr>
                <w:t>, filed as Exhibit 10.58 to AMD</w:t>
              </w:r>
            </w:hyperlink>
            <w:hyperlink r:id="rId165" w:history="1">
              <w:r>
                <w:rPr>
                  <w:rStyle w:val="a5"/>
                  <w:rFonts w:ascii="Arial" w:eastAsia="宋体" w:hAnsi="Arial" w:cs="Arial"/>
                  <w:sz w:val="20"/>
                  <w:szCs w:val="20"/>
                </w:rPr>
                <w:t>’</w:t>
              </w:r>
            </w:hyperlink>
            <w:hyperlink r:id="rId166" w:history="1">
              <w:r>
                <w:rPr>
                  <w:rStyle w:val="a5"/>
                  <w:rFonts w:ascii="Arial" w:eastAsia="宋体" w:hAnsi="Arial" w:cs="Arial"/>
                  <w:sz w:val="20"/>
                  <w:szCs w:val="20"/>
                </w:rPr>
                <w:t>s Annual R</w:t>
              </w:r>
            </w:hyperlink>
            <w:hyperlink r:id="rId167" w:history="1">
              <w:r>
                <w:rPr>
                  <w:rStyle w:val="a5"/>
                  <w:rFonts w:ascii="Arial" w:eastAsia="宋体" w:hAnsi="Arial" w:cs="Arial"/>
                  <w:sz w:val="20"/>
                  <w:szCs w:val="20"/>
                </w:rPr>
                <w:t>eport on Form 10-K for the fiscal year ended December 2</w:t>
              </w:r>
              <w:r>
                <w:rPr>
                  <w:rStyle w:val="a5"/>
                  <w:rFonts w:ascii="Arial" w:eastAsia="宋体" w:hAnsi="Arial" w:cs="Arial"/>
                  <w:sz w:val="20"/>
                  <w:szCs w:val="20"/>
                </w:rPr>
                <w:t>6, 2020, is hereby inco</w:t>
              </w:r>
            </w:hyperlink>
            <w:hyperlink r:id="rId168" w:history="1">
              <w:r>
                <w:rPr>
                  <w:rStyle w:val="a5"/>
                  <w:rFonts w:ascii="Arial" w:eastAsia="宋体" w:hAnsi="Arial" w:cs="Arial"/>
                  <w:sz w:val="20"/>
                  <w:szCs w:val="20"/>
                </w:rPr>
                <w:t>rporated by reference.</w:t>
              </w:r>
            </w:hyperlink>
          </w:p>
        </w:tc>
      </w:tr>
      <w:tr w:rsidR="0084406A" w14:paraId="5902B898"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9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9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9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97" w14:textId="77777777" w:rsidR="0084406A" w:rsidRDefault="0084406A">
            <w:pPr>
              <w:rPr>
                <w:rFonts w:ascii="宋体"/>
              </w:rPr>
            </w:pPr>
          </w:p>
        </w:tc>
      </w:tr>
      <w:tr w:rsidR="0084406A" w14:paraId="5902B89D" w14:textId="77777777">
        <w:trPr>
          <w:jc w:val="center"/>
        </w:trPr>
        <w:tc>
          <w:tcPr>
            <w:tcW w:w="0" w:type="auto"/>
            <w:gridSpan w:val="3"/>
            <w:shd w:val="clear" w:color="auto" w:fill="auto"/>
            <w:tcMar>
              <w:top w:w="0" w:type="dxa"/>
              <w:left w:w="20" w:type="dxa"/>
              <w:bottom w:w="0" w:type="dxa"/>
              <w:right w:w="20" w:type="dxa"/>
            </w:tcMar>
            <w:vAlign w:val="bottom"/>
          </w:tcPr>
          <w:p w14:paraId="5902B89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9A" w14:textId="77777777" w:rsidR="0084406A" w:rsidRDefault="002B18AF">
            <w:pPr>
              <w:jc w:val="right"/>
              <w:textAlignment w:val="top"/>
            </w:pPr>
            <w:r>
              <w:rPr>
                <w:rFonts w:ascii="Arial" w:eastAsia="宋体" w:hAnsi="Arial" w:cs="Arial"/>
                <w:color w:val="000000"/>
                <w:sz w:val="20"/>
                <w:szCs w:val="20"/>
              </w:rPr>
              <w:t>*10.59</w:t>
            </w:r>
          </w:p>
        </w:tc>
        <w:tc>
          <w:tcPr>
            <w:tcW w:w="0" w:type="auto"/>
            <w:gridSpan w:val="3"/>
            <w:shd w:val="clear" w:color="auto" w:fill="auto"/>
            <w:tcMar>
              <w:top w:w="0" w:type="dxa"/>
              <w:left w:w="20" w:type="dxa"/>
              <w:bottom w:w="0" w:type="dxa"/>
              <w:right w:w="20" w:type="dxa"/>
            </w:tcMar>
            <w:vAlign w:val="bottom"/>
          </w:tcPr>
          <w:p w14:paraId="5902B89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9C" w14:textId="77777777" w:rsidR="0084406A" w:rsidRDefault="002B18AF">
            <w:pPr>
              <w:textAlignment w:val="top"/>
            </w:pPr>
            <w:hyperlink r:id="rId169" w:history="1">
              <w:r>
                <w:rPr>
                  <w:rStyle w:val="a5"/>
                  <w:rFonts w:ascii="Arial" w:eastAsia="宋体" w:hAnsi="Arial" w:cs="Arial"/>
                  <w:sz w:val="20"/>
                  <w:szCs w:val="20"/>
                </w:rPr>
                <w:t>Form of Performance-based Restricted Stock Unit Agreement for Senior Vice Presidents and Above under the 2004 Equity Incentive Plan, filed as Exhibi</w:t>
              </w:r>
              <w:r>
                <w:rPr>
                  <w:rStyle w:val="a5"/>
                  <w:rFonts w:ascii="Arial" w:eastAsia="宋体" w:hAnsi="Arial" w:cs="Arial"/>
                  <w:sz w:val="20"/>
                  <w:szCs w:val="20"/>
                </w:rPr>
                <w:t>t 10.1 to AMD’s Quarterly Report on Form 10-Q for the fiscal quarter ended June 26, 2021, is hereby incorporated by reference.</w:t>
              </w:r>
            </w:hyperlink>
          </w:p>
        </w:tc>
      </w:tr>
      <w:tr w:rsidR="0084406A" w14:paraId="5902B8A2"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9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9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A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A1" w14:textId="77777777" w:rsidR="0084406A" w:rsidRDefault="0084406A">
            <w:pPr>
              <w:rPr>
                <w:rFonts w:ascii="宋体"/>
              </w:rPr>
            </w:pPr>
          </w:p>
        </w:tc>
      </w:tr>
      <w:tr w:rsidR="0084406A" w14:paraId="5902B8A7" w14:textId="77777777">
        <w:trPr>
          <w:jc w:val="center"/>
        </w:trPr>
        <w:tc>
          <w:tcPr>
            <w:tcW w:w="0" w:type="auto"/>
            <w:gridSpan w:val="3"/>
            <w:shd w:val="clear" w:color="auto" w:fill="auto"/>
            <w:tcMar>
              <w:top w:w="0" w:type="dxa"/>
              <w:left w:w="20" w:type="dxa"/>
              <w:bottom w:w="0" w:type="dxa"/>
              <w:right w:w="20" w:type="dxa"/>
            </w:tcMar>
            <w:vAlign w:val="bottom"/>
          </w:tcPr>
          <w:p w14:paraId="5902B8A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A4" w14:textId="77777777" w:rsidR="0084406A" w:rsidRDefault="002B18AF">
            <w:pPr>
              <w:jc w:val="right"/>
              <w:textAlignment w:val="top"/>
            </w:pPr>
            <w:r>
              <w:rPr>
                <w:rFonts w:ascii="Arial" w:eastAsia="宋体" w:hAnsi="Arial" w:cs="Arial"/>
                <w:color w:val="000000"/>
                <w:sz w:val="20"/>
                <w:szCs w:val="20"/>
              </w:rPr>
              <w:t>*10.60</w:t>
            </w:r>
          </w:p>
        </w:tc>
        <w:tc>
          <w:tcPr>
            <w:tcW w:w="0" w:type="auto"/>
            <w:gridSpan w:val="3"/>
            <w:shd w:val="clear" w:color="auto" w:fill="auto"/>
            <w:tcMar>
              <w:top w:w="0" w:type="dxa"/>
              <w:left w:w="20" w:type="dxa"/>
              <w:bottom w:w="0" w:type="dxa"/>
              <w:right w:w="20" w:type="dxa"/>
            </w:tcMar>
            <w:vAlign w:val="bottom"/>
          </w:tcPr>
          <w:p w14:paraId="5902B8A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A6" w14:textId="77777777" w:rsidR="0084406A" w:rsidRDefault="002B18AF">
            <w:pPr>
              <w:textAlignment w:val="top"/>
            </w:pPr>
            <w:hyperlink r:id="rId170" w:history="1">
              <w:r>
                <w:rPr>
                  <w:rStyle w:val="a5"/>
                  <w:rFonts w:ascii="Arial" w:eastAsia="宋体" w:hAnsi="Arial" w:cs="Arial"/>
                  <w:sz w:val="20"/>
                  <w:szCs w:val="20"/>
                </w:rPr>
                <w:t>Form of Restricted Stock Unit Agreement for Senior Vice Presidents and Above under the 2004 Equity Incentive Plan, filed as Exhibit 10.2 to AMD’s Qu</w:t>
              </w:r>
              <w:r>
                <w:rPr>
                  <w:rStyle w:val="a5"/>
                  <w:rFonts w:ascii="Arial" w:eastAsia="宋体" w:hAnsi="Arial" w:cs="Arial"/>
                  <w:sz w:val="20"/>
                  <w:szCs w:val="20"/>
                </w:rPr>
                <w:t>arterly Report on Form 10-Q for the fiscal quarter ended June 26, 2021, is hereby incorporated by reference.</w:t>
              </w:r>
            </w:hyperlink>
          </w:p>
        </w:tc>
      </w:tr>
      <w:tr w:rsidR="0084406A" w14:paraId="5902B8A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A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A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A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AB" w14:textId="77777777" w:rsidR="0084406A" w:rsidRDefault="0084406A">
            <w:pPr>
              <w:rPr>
                <w:rFonts w:ascii="宋体"/>
              </w:rPr>
            </w:pPr>
          </w:p>
        </w:tc>
      </w:tr>
      <w:tr w:rsidR="0084406A" w14:paraId="5902B8B1" w14:textId="77777777">
        <w:trPr>
          <w:jc w:val="center"/>
        </w:trPr>
        <w:tc>
          <w:tcPr>
            <w:tcW w:w="0" w:type="auto"/>
            <w:gridSpan w:val="3"/>
            <w:shd w:val="clear" w:color="auto" w:fill="auto"/>
            <w:tcMar>
              <w:top w:w="0" w:type="dxa"/>
              <w:left w:w="20" w:type="dxa"/>
              <w:bottom w:w="0" w:type="dxa"/>
              <w:right w:w="20" w:type="dxa"/>
            </w:tcMar>
            <w:vAlign w:val="bottom"/>
          </w:tcPr>
          <w:p w14:paraId="5902B8AD"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AE" w14:textId="77777777" w:rsidR="0084406A" w:rsidRDefault="002B18AF">
            <w:pPr>
              <w:jc w:val="right"/>
              <w:textAlignment w:val="top"/>
            </w:pPr>
            <w:r>
              <w:rPr>
                <w:rFonts w:ascii="Arial" w:eastAsia="宋体" w:hAnsi="Arial" w:cs="Arial"/>
                <w:color w:val="000000"/>
                <w:sz w:val="20"/>
                <w:szCs w:val="20"/>
              </w:rPr>
              <w:t>*10.61</w:t>
            </w:r>
          </w:p>
        </w:tc>
        <w:tc>
          <w:tcPr>
            <w:tcW w:w="0" w:type="auto"/>
            <w:gridSpan w:val="3"/>
            <w:shd w:val="clear" w:color="auto" w:fill="auto"/>
            <w:tcMar>
              <w:top w:w="0" w:type="dxa"/>
              <w:left w:w="20" w:type="dxa"/>
              <w:bottom w:w="0" w:type="dxa"/>
              <w:right w:w="20" w:type="dxa"/>
            </w:tcMar>
            <w:vAlign w:val="bottom"/>
          </w:tcPr>
          <w:p w14:paraId="5902B8A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B0" w14:textId="77777777" w:rsidR="0084406A" w:rsidRDefault="002B18AF">
            <w:pPr>
              <w:textAlignment w:val="top"/>
            </w:pPr>
            <w:hyperlink r:id="rId171" w:history="1">
              <w:r>
                <w:rPr>
                  <w:rStyle w:val="a5"/>
                  <w:rFonts w:ascii="Arial" w:eastAsia="宋体" w:hAnsi="Arial" w:cs="Arial"/>
                  <w:sz w:val="20"/>
                  <w:szCs w:val="20"/>
                </w:rPr>
                <w:t>Form of Stock Option Agreement for Senior Vice Presidents and Above under the 2004 Equity Incentive plan, filed as Exhibit 10.3 to AMD’s Quarterly R</w:t>
              </w:r>
              <w:r>
                <w:rPr>
                  <w:rStyle w:val="a5"/>
                  <w:rFonts w:ascii="Arial" w:eastAsia="宋体" w:hAnsi="Arial" w:cs="Arial"/>
                  <w:sz w:val="20"/>
                  <w:szCs w:val="20"/>
                </w:rPr>
                <w:t>eport on Form 10-Q for the fiscal quarter ended June 26, 2021, is hereby incorporated by reference.</w:t>
              </w:r>
            </w:hyperlink>
          </w:p>
        </w:tc>
      </w:tr>
    </w:tbl>
    <w:p w14:paraId="5902B8B2" w14:textId="77777777" w:rsidR="0084406A" w:rsidRDefault="002B18AF">
      <w:pPr>
        <w:jc w:val="center"/>
      </w:pPr>
      <w:r>
        <w:rPr>
          <w:rFonts w:ascii="Arial" w:eastAsia="宋体" w:hAnsi="Arial" w:cs="Arial"/>
          <w:color w:val="000000"/>
          <w:sz w:val="20"/>
          <w:szCs w:val="20"/>
        </w:rPr>
        <w:t>92</w:t>
      </w:r>
    </w:p>
    <w:p w14:paraId="5902B8B3" w14:textId="77777777" w:rsidR="0084406A" w:rsidRDefault="002B18AF">
      <w:r>
        <w:pict w14:anchorId="5902BB52">
          <v:rect id="_x0000_i1119" style="width:415.3pt;height:1.5pt" o:hralign="center" o:hrstd="t" o:hr="t" fillcolor="#a0a0a0" stroked="f"/>
        </w:pict>
      </w:r>
    </w:p>
    <w:p w14:paraId="5902B8B4" w14:textId="77777777" w:rsidR="0084406A" w:rsidRDefault="0084406A"/>
    <w:tbl>
      <w:tblPr>
        <w:tblW w:w="4613" w:type="pct"/>
        <w:jc w:val="center"/>
        <w:tblCellMar>
          <w:top w:w="15" w:type="dxa"/>
          <w:left w:w="15" w:type="dxa"/>
          <w:bottom w:w="15" w:type="dxa"/>
          <w:right w:w="15" w:type="dxa"/>
        </w:tblCellMar>
        <w:tblLook w:val="04A0" w:firstRow="1" w:lastRow="0" w:firstColumn="1" w:lastColumn="0" w:noHBand="0" w:noVBand="1"/>
      </w:tblPr>
      <w:tblGrid>
        <w:gridCol w:w="46"/>
        <w:gridCol w:w="140"/>
        <w:gridCol w:w="36"/>
        <w:gridCol w:w="79"/>
        <w:gridCol w:w="766"/>
        <w:gridCol w:w="36"/>
        <w:gridCol w:w="36"/>
        <w:gridCol w:w="63"/>
        <w:gridCol w:w="36"/>
        <w:gridCol w:w="46"/>
        <w:gridCol w:w="6371"/>
        <w:gridCol w:w="36"/>
      </w:tblGrid>
      <w:tr w:rsidR="0084406A" w14:paraId="5902B8C1" w14:textId="77777777">
        <w:trPr>
          <w:jc w:val="center"/>
        </w:trPr>
        <w:tc>
          <w:tcPr>
            <w:tcW w:w="50" w:type="pct"/>
            <w:shd w:val="clear" w:color="auto" w:fill="auto"/>
            <w:vAlign w:val="bottom"/>
          </w:tcPr>
          <w:p w14:paraId="5902B8B5" w14:textId="77777777" w:rsidR="0084406A" w:rsidRDefault="0084406A">
            <w:pPr>
              <w:rPr>
                <w:rFonts w:ascii="宋体"/>
              </w:rPr>
            </w:pPr>
          </w:p>
        </w:tc>
        <w:tc>
          <w:tcPr>
            <w:tcW w:w="111" w:type="pct"/>
            <w:shd w:val="clear" w:color="auto" w:fill="auto"/>
            <w:vAlign w:val="bottom"/>
          </w:tcPr>
          <w:p w14:paraId="5902B8B6" w14:textId="77777777" w:rsidR="0084406A" w:rsidRDefault="0084406A">
            <w:pPr>
              <w:rPr>
                <w:rFonts w:ascii="宋体"/>
              </w:rPr>
            </w:pPr>
          </w:p>
        </w:tc>
        <w:tc>
          <w:tcPr>
            <w:tcW w:w="5" w:type="pct"/>
            <w:shd w:val="clear" w:color="auto" w:fill="auto"/>
            <w:vAlign w:val="bottom"/>
          </w:tcPr>
          <w:p w14:paraId="5902B8B7" w14:textId="77777777" w:rsidR="0084406A" w:rsidRDefault="0084406A">
            <w:pPr>
              <w:rPr>
                <w:rFonts w:ascii="宋体"/>
              </w:rPr>
            </w:pPr>
          </w:p>
        </w:tc>
        <w:tc>
          <w:tcPr>
            <w:tcW w:w="50" w:type="pct"/>
            <w:shd w:val="clear" w:color="auto" w:fill="auto"/>
            <w:vAlign w:val="bottom"/>
          </w:tcPr>
          <w:p w14:paraId="5902B8B8" w14:textId="77777777" w:rsidR="0084406A" w:rsidRDefault="0084406A">
            <w:pPr>
              <w:rPr>
                <w:rFonts w:ascii="宋体"/>
              </w:rPr>
            </w:pPr>
          </w:p>
        </w:tc>
        <w:tc>
          <w:tcPr>
            <w:tcW w:w="491" w:type="pct"/>
            <w:shd w:val="clear" w:color="auto" w:fill="auto"/>
            <w:vAlign w:val="bottom"/>
          </w:tcPr>
          <w:p w14:paraId="5902B8B9" w14:textId="77777777" w:rsidR="0084406A" w:rsidRDefault="0084406A">
            <w:pPr>
              <w:rPr>
                <w:rFonts w:ascii="宋体"/>
              </w:rPr>
            </w:pPr>
          </w:p>
        </w:tc>
        <w:tc>
          <w:tcPr>
            <w:tcW w:w="5" w:type="pct"/>
            <w:shd w:val="clear" w:color="auto" w:fill="auto"/>
            <w:vAlign w:val="bottom"/>
          </w:tcPr>
          <w:p w14:paraId="5902B8BA" w14:textId="77777777" w:rsidR="0084406A" w:rsidRDefault="0084406A">
            <w:pPr>
              <w:rPr>
                <w:rFonts w:ascii="宋体"/>
              </w:rPr>
            </w:pPr>
          </w:p>
        </w:tc>
        <w:tc>
          <w:tcPr>
            <w:tcW w:w="5" w:type="pct"/>
            <w:shd w:val="clear" w:color="auto" w:fill="auto"/>
            <w:vAlign w:val="bottom"/>
          </w:tcPr>
          <w:p w14:paraId="5902B8BB" w14:textId="77777777" w:rsidR="0084406A" w:rsidRDefault="0084406A">
            <w:pPr>
              <w:rPr>
                <w:rFonts w:ascii="宋体"/>
              </w:rPr>
            </w:pPr>
          </w:p>
        </w:tc>
        <w:tc>
          <w:tcPr>
            <w:tcW w:w="61" w:type="pct"/>
            <w:shd w:val="clear" w:color="auto" w:fill="auto"/>
            <w:vAlign w:val="bottom"/>
          </w:tcPr>
          <w:p w14:paraId="5902B8BC" w14:textId="77777777" w:rsidR="0084406A" w:rsidRDefault="0084406A">
            <w:pPr>
              <w:rPr>
                <w:rFonts w:ascii="宋体"/>
              </w:rPr>
            </w:pPr>
          </w:p>
        </w:tc>
        <w:tc>
          <w:tcPr>
            <w:tcW w:w="5" w:type="pct"/>
            <w:shd w:val="clear" w:color="auto" w:fill="auto"/>
            <w:vAlign w:val="bottom"/>
          </w:tcPr>
          <w:p w14:paraId="5902B8BD" w14:textId="77777777" w:rsidR="0084406A" w:rsidRDefault="0084406A">
            <w:pPr>
              <w:rPr>
                <w:rFonts w:ascii="宋体"/>
              </w:rPr>
            </w:pPr>
          </w:p>
        </w:tc>
        <w:tc>
          <w:tcPr>
            <w:tcW w:w="50" w:type="pct"/>
            <w:shd w:val="clear" w:color="auto" w:fill="auto"/>
            <w:vAlign w:val="bottom"/>
          </w:tcPr>
          <w:p w14:paraId="5902B8BE" w14:textId="77777777" w:rsidR="0084406A" w:rsidRDefault="0084406A">
            <w:pPr>
              <w:rPr>
                <w:rFonts w:ascii="宋体"/>
              </w:rPr>
            </w:pPr>
          </w:p>
        </w:tc>
        <w:tc>
          <w:tcPr>
            <w:tcW w:w="4160" w:type="pct"/>
            <w:shd w:val="clear" w:color="auto" w:fill="auto"/>
            <w:vAlign w:val="bottom"/>
          </w:tcPr>
          <w:p w14:paraId="5902B8BF" w14:textId="77777777" w:rsidR="0084406A" w:rsidRDefault="0084406A">
            <w:pPr>
              <w:rPr>
                <w:rFonts w:ascii="宋体"/>
              </w:rPr>
            </w:pPr>
          </w:p>
        </w:tc>
        <w:tc>
          <w:tcPr>
            <w:tcW w:w="5" w:type="pct"/>
            <w:shd w:val="clear" w:color="auto" w:fill="auto"/>
            <w:vAlign w:val="bottom"/>
          </w:tcPr>
          <w:p w14:paraId="5902B8C0" w14:textId="77777777" w:rsidR="0084406A" w:rsidRDefault="0084406A">
            <w:pPr>
              <w:rPr>
                <w:rFonts w:ascii="宋体"/>
              </w:rPr>
            </w:pPr>
          </w:p>
        </w:tc>
      </w:tr>
      <w:tr w:rsidR="0084406A" w14:paraId="5902B8C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C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5" w14:textId="77777777" w:rsidR="0084406A" w:rsidRDefault="0084406A">
            <w:pPr>
              <w:rPr>
                <w:rFonts w:ascii="宋体"/>
              </w:rPr>
            </w:pPr>
          </w:p>
        </w:tc>
      </w:tr>
      <w:tr w:rsidR="0084406A" w14:paraId="5902B8CB" w14:textId="77777777">
        <w:trPr>
          <w:jc w:val="center"/>
        </w:trPr>
        <w:tc>
          <w:tcPr>
            <w:tcW w:w="0" w:type="auto"/>
            <w:gridSpan w:val="3"/>
            <w:shd w:val="clear" w:color="auto" w:fill="auto"/>
            <w:tcMar>
              <w:top w:w="0" w:type="dxa"/>
              <w:left w:w="20" w:type="dxa"/>
              <w:bottom w:w="0" w:type="dxa"/>
              <w:right w:w="20" w:type="dxa"/>
            </w:tcMar>
            <w:vAlign w:val="bottom"/>
          </w:tcPr>
          <w:p w14:paraId="5902B8C7"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C8" w14:textId="77777777" w:rsidR="0084406A" w:rsidRDefault="002B18AF">
            <w:pPr>
              <w:jc w:val="right"/>
              <w:textAlignment w:val="top"/>
            </w:pPr>
            <w:r>
              <w:rPr>
                <w:rFonts w:ascii="Arial" w:eastAsia="宋体" w:hAnsi="Arial" w:cs="Arial"/>
                <w:color w:val="000000"/>
                <w:sz w:val="20"/>
                <w:szCs w:val="20"/>
              </w:rPr>
              <w:t>***10.62</w:t>
            </w:r>
          </w:p>
        </w:tc>
        <w:tc>
          <w:tcPr>
            <w:tcW w:w="0" w:type="auto"/>
            <w:gridSpan w:val="3"/>
            <w:shd w:val="clear" w:color="auto" w:fill="auto"/>
            <w:tcMar>
              <w:top w:w="0" w:type="dxa"/>
              <w:left w:w="20" w:type="dxa"/>
              <w:bottom w:w="0" w:type="dxa"/>
              <w:right w:w="20" w:type="dxa"/>
            </w:tcMar>
            <w:vAlign w:val="bottom"/>
          </w:tcPr>
          <w:p w14:paraId="5902B8C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CA" w14:textId="77777777" w:rsidR="0084406A" w:rsidRDefault="002B18AF">
            <w:pPr>
              <w:textAlignment w:val="top"/>
            </w:pPr>
            <w:hyperlink r:id="rId172" w:history="1">
              <w:r>
                <w:rPr>
                  <w:rStyle w:val="a5"/>
                  <w:rFonts w:ascii="Arial" w:eastAsia="宋体" w:hAnsi="Arial" w:cs="Arial"/>
                  <w:sz w:val="20"/>
                  <w:szCs w:val="20"/>
                </w:rPr>
                <w:t>Amended and Restated Wafer Supply Agreement Amendment No. 7, among Advanced Micro Devices, Inc., GLOBALFOUNDRIES, Inc. and GLOBALFOUNDRIES U.S. Inc.</w:t>
              </w:r>
              <w:r>
                <w:rPr>
                  <w:rStyle w:val="a5"/>
                  <w:rFonts w:ascii="Arial" w:eastAsia="宋体" w:hAnsi="Arial" w:cs="Arial"/>
                  <w:sz w:val="20"/>
                  <w:szCs w:val="20"/>
                </w:rPr>
                <w:t>, dated as of May 12, 2021, filed as Exhibit 10.4 to AMD’s Quarterly Report on Form 10-Q for the fiscal quarter ended June 26, 2021, is hereby incorporated by reference.</w:t>
              </w:r>
            </w:hyperlink>
          </w:p>
        </w:tc>
      </w:tr>
      <w:tr w:rsidR="0084406A" w14:paraId="5902B8D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C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CF" w14:textId="77777777" w:rsidR="0084406A" w:rsidRDefault="0084406A">
            <w:pPr>
              <w:rPr>
                <w:rFonts w:ascii="宋体"/>
              </w:rPr>
            </w:pPr>
          </w:p>
        </w:tc>
      </w:tr>
      <w:tr w:rsidR="0084406A" w14:paraId="5902B8D5" w14:textId="77777777">
        <w:trPr>
          <w:jc w:val="center"/>
        </w:trPr>
        <w:tc>
          <w:tcPr>
            <w:tcW w:w="0" w:type="auto"/>
            <w:gridSpan w:val="3"/>
            <w:shd w:val="clear" w:color="auto" w:fill="auto"/>
            <w:tcMar>
              <w:top w:w="0" w:type="dxa"/>
              <w:left w:w="20" w:type="dxa"/>
              <w:bottom w:w="0" w:type="dxa"/>
              <w:right w:w="20" w:type="dxa"/>
            </w:tcMar>
            <w:vAlign w:val="bottom"/>
          </w:tcPr>
          <w:p w14:paraId="5902B8D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D2" w14:textId="77777777" w:rsidR="0084406A" w:rsidRDefault="002B18AF">
            <w:pPr>
              <w:jc w:val="right"/>
              <w:textAlignment w:val="top"/>
            </w:pPr>
            <w:r>
              <w:rPr>
                <w:rFonts w:ascii="Arial" w:eastAsia="宋体" w:hAnsi="Arial" w:cs="Arial"/>
                <w:color w:val="000000"/>
                <w:sz w:val="20"/>
                <w:szCs w:val="20"/>
              </w:rPr>
              <w:t>***10.63</w:t>
            </w:r>
          </w:p>
        </w:tc>
        <w:tc>
          <w:tcPr>
            <w:tcW w:w="0" w:type="auto"/>
            <w:gridSpan w:val="3"/>
            <w:shd w:val="clear" w:color="auto" w:fill="auto"/>
            <w:tcMar>
              <w:top w:w="0" w:type="dxa"/>
              <w:left w:w="20" w:type="dxa"/>
              <w:bottom w:w="0" w:type="dxa"/>
              <w:right w:w="20" w:type="dxa"/>
            </w:tcMar>
            <w:vAlign w:val="bottom"/>
          </w:tcPr>
          <w:p w14:paraId="5902B8D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D4" w14:textId="77777777" w:rsidR="0084406A" w:rsidRDefault="002B18AF">
            <w:pPr>
              <w:textAlignment w:val="top"/>
            </w:pPr>
            <w:hyperlink r:id="rId173" w:history="1">
              <w:r>
                <w:rPr>
                  <w:rStyle w:val="a5"/>
                  <w:rFonts w:ascii="Arial" w:eastAsia="宋体" w:hAnsi="Arial" w:cs="Arial"/>
                  <w:sz w:val="20"/>
                  <w:szCs w:val="20"/>
                </w:rPr>
                <w:t xml:space="preserve">First Amendment to Amended and Restated Wafer Supply Agreement No. 7, among Advanced Micro Devices, Inc., GLOBALFOUNDRIES, Inc. and </w:t>
              </w:r>
              <w:r>
                <w:rPr>
                  <w:rStyle w:val="a5"/>
                  <w:rFonts w:ascii="Arial" w:eastAsia="宋体" w:hAnsi="Arial" w:cs="Arial"/>
                  <w:sz w:val="20"/>
                  <w:szCs w:val="20"/>
                </w:rPr>
                <w:t>GLOBALFOUNDRIES U.S. Inc., dated December 23, 2021.</w:t>
              </w:r>
            </w:hyperlink>
          </w:p>
        </w:tc>
      </w:tr>
      <w:tr w:rsidR="0084406A" w14:paraId="5902B8DA"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D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D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D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D9" w14:textId="77777777" w:rsidR="0084406A" w:rsidRDefault="0084406A">
            <w:pPr>
              <w:rPr>
                <w:rFonts w:ascii="宋体"/>
              </w:rPr>
            </w:pPr>
          </w:p>
        </w:tc>
      </w:tr>
      <w:tr w:rsidR="0084406A" w14:paraId="5902B8E0" w14:textId="77777777">
        <w:trPr>
          <w:jc w:val="center"/>
        </w:trPr>
        <w:tc>
          <w:tcPr>
            <w:tcW w:w="0" w:type="auto"/>
            <w:gridSpan w:val="3"/>
            <w:shd w:val="clear" w:color="auto" w:fill="auto"/>
            <w:tcMar>
              <w:top w:w="0" w:type="dxa"/>
              <w:left w:w="20" w:type="dxa"/>
              <w:bottom w:w="0" w:type="dxa"/>
              <w:right w:w="20" w:type="dxa"/>
            </w:tcMar>
            <w:vAlign w:val="bottom"/>
          </w:tcPr>
          <w:p w14:paraId="5902B8DB"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8DC" w14:textId="77777777" w:rsidR="0084406A" w:rsidRDefault="002B18AF">
            <w:pPr>
              <w:jc w:val="right"/>
              <w:textAlignment w:val="top"/>
            </w:pPr>
            <w:r>
              <w:rPr>
                <w:rFonts w:ascii="Arial" w:eastAsia="宋体" w:hAnsi="Arial" w:cs="Arial"/>
                <w:color w:val="000000"/>
                <w:sz w:val="20"/>
                <w:szCs w:val="20"/>
              </w:rPr>
              <w:t>21 </w:t>
            </w:r>
          </w:p>
        </w:tc>
        <w:tc>
          <w:tcPr>
            <w:tcW w:w="0" w:type="auto"/>
            <w:shd w:val="clear" w:color="auto" w:fill="auto"/>
            <w:tcMar>
              <w:top w:w="40" w:type="dxa"/>
              <w:left w:w="0" w:type="dxa"/>
              <w:bottom w:w="40" w:type="dxa"/>
              <w:right w:w="20" w:type="dxa"/>
            </w:tcMar>
          </w:tcPr>
          <w:p w14:paraId="5902B8DD"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8D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DF" w14:textId="77777777" w:rsidR="0084406A" w:rsidRDefault="002B18AF">
            <w:pPr>
              <w:textAlignment w:val="top"/>
            </w:pPr>
            <w:hyperlink r:id="rId174" w:history="1">
              <w:r>
                <w:rPr>
                  <w:rStyle w:val="a5"/>
                  <w:rFonts w:ascii="Arial" w:eastAsia="宋体" w:hAnsi="Arial" w:cs="Arial"/>
                  <w:sz w:val="20"/>
                  <w:szCs w:val="20"/>
                </w:rPr>
                <w:t>List of AMD subsidiaries.</w:t>
              </w:r>
            </w:hyperlink>
          </w:p>
        </w:tc>
      </w:tr>
      <w:tr w:rsidR="0084406A" w14:paraId="5902B8E5"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E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4" w14:textId="77777777" w:rsidR="0084406A" w:rsidRDefault="0084406A">
            <w:pPr>
              <w:rPr>
                <w:rFonts w:ascii="宋体"/>
              </w:rPr>
            </w:pPr>
          </w:p>
        </w:tc>
      </w:tr>
      <w:tr w:rsidR="0084406A" w14:paraId="5902B8EB" w14:textId="77777777">
        <w:trPr>
          <w:jc w:val="center"/>
        </w:trPr>
        <w:tc>
          <w:tcPr>
            <w:tcW w:w="0" w:type="auto"/>
            <w:gridSpan w:val="3"/>
            <w:shd w:val="clear" w:color="auto" w:fill="auto"/>
            <w:tcMar>
              <w:top w:w="0" w:type="dxa"/>
              <w:left w:w="20" w:type="dxa"/>
              <w:bottom w:w="0" w:type="dxa"/>
              <w:right w:w="20" w:type="dxa"/>
            </w:tcMar>
            <w:vAlign w:val="bottom"/>
          </w:tcPr>
          <w:p w14:paraId="5902B8E6"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8E7" w14:textId="77777777" w:rsidR="0084406A" w:rsidRDefault="002B18AF">
            <w:pPr>
              <w:jc w:val="right"/>
              <w:textAlignment w:val="top"/>
            </w:pPr>
            <w:r>
              <w:rPr>
                <w:rFonts w:ascii="Arial" w:eastAsia="宋体" w:hAnsi="Arial" w:cs="Arial"/>
                <w:color w:val="000000"/>
                <w:sz w:val="20"/>
                <w:szCs w:val="20"/>
              </w:rPr>
              <w:t>23 </w:t>
            </w:r>
          </w:p>
        </w:tc>
        <w:tc>
          <w:tcPr>
            <w:tcW w:w="0" w:type="auto"/>
            <w:shd w:val="clear" w:color="auto" w:fill="auto"/>
            <w:tcMar>
              <w:top w:w="40" w:type="dxa"/>
              <w:left w:w="0" w:type="dxa"/>
              <w:bottom w:w="40" w:type="dxa"/>
              <w:right w:w="20" w:type="dxa"/>
            </w:tcMar>
          </w:tcPr>
          <w:p w14:paraId="5902B8E8"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8E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EA" w14:textId="77777777" w:rsidR="0084406A" w:rsidRDefault="002B18AF">
            <w:pPr>
              <w:textAlignment w:val="top"/>
            </w:pPr>
            <w:hyperlink r:id="rId175" w:history="1">
              <w:r>
                <w:rPr>
                  <w:rStyle w:val="a5"/>
                  <w:rFonts w:ascii="Arial" w:eastAsia="宋体" w:hAnsi="Arial" w:cs="Arial"/>
                  <w:sz w:val="20"/>
                  <w:szCs w:val="20"/>
                </w:rPr>
                <w:t>Consent of Independent Registered Public Accounting Firm</w:t>
              </w:r>
            </w:hyperlink>
            <w:r>
              <w:rPr>
                <w:rFonts w:ascii="Arial" w:eastAsia="宋体" w:hAnsi="Arial" w:cs="Arial"/>
                <w:color w:val="000000"/>
                <w:sz w:val="20"/>
                <w:szCs w:val="20"/>
              </w:rPr>
              <w:t>.</w:t>
            </w:r>
          </w:p>
        </w:tc>
      </w:tr>
      <w:tr w:rsidR="0084406A" w14:paraId="5902B8F0"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E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EF" w14:textId="77777777" w:rsidR="0084406A" w:rsidRDefault="0084406A">
            <w:pPr>
              <w:rPr>
                <w:rFonts w:ascii="宋体"/>
              </w:rPr>
            </w:pPr>
          </w:p>
        </w:tc>
      </w:tr>
      <w:tr w:rsidR="0084406A" w14:paraId="5902B8F6" w14:textId="77777777">
        <w:trPr>
          <w:jc w:val="center"/>
        </w:trPr>
        <w:tc>
          <w:tcPr>
            <w:tcW w:w="0" w:type="auto"/>
            <w:gridSpan w:val="3"/>
            <w:shd w:val="clear" w:color="auto" w:fill="auto"/>
            <w:tcMar>
              <w:top w:w="0" w:type="dxa"/>
              <w:left w:w="20" w:type="dxa"/>
              <w:bottom w:w="0" w:type="dxa"/>
              <w:right w:w="20" w:type="dxa"/>
            </w:tcMar>
            <w:vAlign w:val="bottom"/>
          </w:tcPr>
          <w:p w14:paraId="5902B8F1"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8F2" w14:textId="77777777" w:rsidR="0084406A" w:rsidRDefault="002B18AF">
            <w:pPr>
              <w:jc w:val="right"/>
              <w:textAlignment w:val="top"/>
            </w:pPr>
            <w:r>
              <w:rPr>
                <w:rFonts w:ascii="Arial" w:eastAsia="宋体" w:hAnsi="Arial" w:cs="Arial"/>
                <w:color w:val="000000"/>
                <w:sz w:val="20"/>
                <w:szCs w:val="20"/>
              </w:rPr>
              <w:t>24 </w:t>
            </w:r>
          </w:p>
        </w:tc>
        <w:tc>
          <w:tcPr>
            <w:tcW w:w="0" w:type="auto"/>
            <w:shd w:val="clear" w:color="auto" w:fill="auto"/>
            <w:tcMar>
              <w:top w:w="40" w:type="dxa"/>
              <w:left w:w="0" w:type="dxa"/>
              <w:bottom w:w="40" w:type="dxa"/>
              <w:right w:w="20" w:type="dxa"/>
            </w:tcMar>
          </w:tcPr>
          <w:p w14:paraId="5902B8F3"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8F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8F5" w14:textId="77777777" w:rsidR="0084406A" w:rsidRDefault="002B18AF">
            <w:pPr>
              <w:textAlignment w:val="top"/>
            </w:pPr>
            <w:hyperlink r:id="rId176" w:history="1">
              <w:r>
                <w:rPr>
                  <w:rStyle w:val="a5"/>
                  <w:rFonts w:ascii="Arial" w:eastAsia="宋体" w:hAnsi="Arial" w:cs="Arial"/>
                  <w:sz w:val="20"/>
                  <w:szCs w:val="20"/>
                </w:rPr>
                <w:t>Power of Attorney.</w:t>
              </w:r>
            </w:hyperlink>
          </w:p>
        </w:tc>
      </w:tr>
      <w:tr w:rsidR="0084406A" w14:paraId="5902B8FB"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8F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F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F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8FA" w14:textId="77777777" w:rsidR="0084406A" w:rsidRDefault="0084406A">
            <w:pPr>
              <w:rPr>
                <w:rFonts w:ascii="宋体"/>
              </w:rPr>
            </w:pPr>
          </w:p>
        </w:tc>
      </w:tr>
      <w:tr w:rsidR="0084406A" w14:paraId="5902B901" w14:textId="77777777">
        <w:trPr>
          <w:jc w:val="center"/>
        </w:trPr>
        <w:tc>
          <w:tcPr>
            <w:tcW w:w="0" w:type="auto"/>
            <w:gridSpan w:val="3"/>
            <w:shd w:val="clear" w:color="auto" w:fill="auto"/>
            <w:tcMar>
              <w:top w:w="0" w:type="dxa"/>
              <w:left w:w="20" w:type="dxa"/>
              <w:bottom w:w="0" w:type="dxa"/>
              <w:right w:w="20" w:type="dxa"/>
            </w:tcMar>
            <w:vAlign w:val="bottom"/>
          </w:tcPr>
          <w:p w14:paraId="5902B8FC"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8FD" w14:textId="77777777" w:rsidR="0084406A" w:rsidRDefault="002B18AF">
            <w:pPr>
              <w:jc w:val="right"/>
              <w:textAlignment w:val="top"/>
            </w:pPr>
            <w:r>
              <w:rPr>
                <w:rFonts w:ascii="Arial" w:eastAsia="宋体" w:hAnsi="Arial" w:cs="Arial"/>
                <w:color w:val="000000"/>
                <w:sz w:val="20"/>
                <w:szCs w:val="20"/>
              </w:rPr>
              <w:t>31.1 </w:t>
            </w:r>
          </w:p>
        </w:tc>
        <w:tc>
          <w:tcPr>
            <w:tcW w:w="0" w:type="auto"/>
            <w:shd w:val="clear" w:color="auto" w:fill="auto"/>
            <w:tcMar>
              <w:top w:w="40" w:type="dxa"/>
              <w:left w:w="0" w:type="dxa"/>
              <w:bottom w:w="40" w:type="dxa"/>
              <w:right w:w="20" w:type="dxa"/>
            </w:tcMar>
          </w:tcPr>
          <w:p w14:paraId="5902B8FE"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8F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00" w14:textId="77777777" w:rsidR="0084406A" w:rsidRDefault="002B18AF">
            <w:pPr>
              <w:textAlignment w:val="top"/>
            </w:pPr>
            <w:hyperlink r:id="rId177" w:history="1">
              <w:r>
                <w:rPr>
                  <w:rStyle w:val="a5"/>
                  <w:rFonts w:ascii="Arial" w:eastAsia="宋体" w:hAnsi="Arial" w:cs="Arial"/>
                  <w:sz w:val="20"/>
                  <w:szCs w:val="20"/>
                </w:rPr>
                <w:t>Certification of the Chief Executive Officer pursuant to Section 302 of the Sarbanes-Oxley Act of 2002.</w:t>
              </w:r>
            </w:hyperlink>
          </w:p>
        </w:tc>
      </w:tr>
      <w:tr w:rsidR="0084406A" w14:paraId="5902B906"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0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0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0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05" w14:textId="77777777" w:rsidR="0084406A" w:rsidRDefault="0084406A">
            <w:pPr>
              <w:rPr>
                <w:rFonts w:ascii="宋体"/>
              </w:rPr>
            </w:pPr>
          </w:p>
        </w:tc>
      </w:tr>
      <w:tr w:rsidR="0084406A" w14:paraId="5902B90C" w14:textId="77777777">
        <w:trPr>
          <w:jc w:val="center"/>
        </w:trPr>
        <w:tc>
          <w:tcPr>
            <w:tcW w:w="0" w:type="auto"/>
            <w:gridSpan w:val="3"/>
            <w:shd w:val="clear" w:color="auto" w:fill="auto"/>
            <w:tcMar>
              <w:top w:w="0" w:type="dxa"/>
              <w:left w:w="20" w:type="dxa"/>
              <w:bottom w:w="0" w:type="dxa"/>
              <w:right w:w="20" w:type="dxa"/>
            </w:tcMar>
            <w:vAlign w:val="bottom"/>
          </w:tcPr>
          <w:p w14:paraId="5902B907"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908" w14:textId="77777777" w:rsidR="0084406A" w:rsidRDefault="002B18AF">
            <w:pPr>
              <w:jc w:val="right"/>
              <w:textAlignment w:val="top"/>
            </w:pPr>
            <w:r>
              <w:rPr>
                <w:rFonts w:ascii="Arial" w:eastAsia="宋体" w:hAnsi="Arial" w:cs="Arial"/>
                <w:color w:val="000000"/>
                <w:sz w:val="20"/>
                <w:szCs w:val="20"/>
              </w:rPr>
              <w:t>31.2 </w:t>
            </w:r>
          </w:p>
        </w:tc>
        <w:tc>
          <w:tcPr>
            <w:tcW w:w="0" w:type="auto"/>
            <w:shd w:val="clear" w:color="auto" w:fill="auto"/>
            <w:tcMar>
              <w:top w:w="40" w:type="dxa"/>
              <w:left w:w="0" w:type="dxa"/>
              <w:bottom w:w="40" w:type="dxa"/>
              <w:right w:w="20" w:type="dxa"/>
            </w:tcMar>
          </w:tcPr>
          <w:p w14:paraId="5902B909"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90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0B" w14:textId="77777777" w:rsidR="0084406A" w:rsidRDefault="002B18AF">
            <w:pPr>
              <w:textAlignment w:val="top"/>
            </w:pPr>
            <w:hyperlink r:id="rId178" w:history="1">
              <w:r>
                <w:rPr>
                  <w:rStyle w:val="a5"/>
                  <w:rFonts w:ascii="Arial" w:eastAsia="宋体" w:hAnsi="Arial" w:cs="Arial"/>
                  <w:sz w:val="20"/>
                  <w:szCs w:val="20"/>
                </w:rPr>
                <w:t>Certification of the Chief Financial Officer pursuant to Section 302 of the Sarbanes-Oxley Act of 2002.</w:t>
              </w:r>
            </w:hyperlink>
          </w:p>
        </w:tc>
      </w:tr>
      <w:tr w:rsidR="0084406A" w14:paraId="5902B911"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0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0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0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10" w14:textId="77777777" w:rsidR="0084406A" w:rsidRDefault="0084406A">
            <w:pPr>
              <w:rPr>
                <w:rFonts w:ascii="宋体"/>
              </w:rPr>
            </w:pPr>
          </w:p>
        </w:tc>
      </w:tr>
      <w:tr w:rsidR="0084406A" w14:paraId="5902B917" w14:textId="77777777">
        <w:trPr>
          <w:jc w:val="center"/>
        </w:trPr>
        <w:tc>
          <w:tcPr>
            <w:tcW w:w="0" w:type="auto"/>
            <w:gridSpan w:val="3"/>
            <w:shd w:val="clear" w:color="auto" w:fill="auto"/>
            <w:tcMar>
              <w:top w:w="0" w:type="dxa"/>
              <w:left w:w="20" w:type="dxa"/>
              <w:bottom w:w="0" w:type="dxa"/>
              <w:right w:w="20" w:type="dxa"/>
            </w:tcMar>
            <w:vAlign w:val="bottom"/>
          </w:tcPr>
          <w:p w14:paraId="5902B912"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913" w14:textId="77777777" w:rsidR="0084406A" w:rsidRDefault="002B18AF">
            <w:pPr>
              <w:jc w:val="right"/>
              <w:textAlignment w:val="top"/>
            </w:pPr>
            <w:r>
              <w:rPr>
                <w:rFonts w:ascii="Arial" w:eastAsia="宋体" w:hAnsi="Arial" w:cs="Arial"/>
                <w:color w:val="000000"/>
                <w:sz w:val="20"/>
                <w:szCs w:val="20"/>
              </w:rPr>
              <w:t>32.1 </w:t>
            </w:r>
          </w:p>
        </w:tc>
        <w:tc>
          <w:tcPr>
            <w:tcW w:w="0" w:type="auto"/>
            <w:shd w:val="clear" w:color="auto" w:fill="auto"/>
            <w:tcMar>
              <w:top w:w="40" w:type="dxa"/>
              <w:left w:w="0" w:type="dxa"/>
              <w:bottom w:w="40" w:type="dxa"/>
              <w:right w:w="20" w:type="dxa"/>
            </w:tcMar>
          </w:tcPr>
          <w:p w14:paraId="5902B914"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91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16" w14:textId="77777777" w:rsidR="0084406A" w:rsidRDefault="002B18AF">
            <w:pPr>
              <w:textAlignment w:val="top"/>
            </w:pPr>
            <w:hyperlink r:id="rId179" w:history="1">
              <w:r>
                <w:rPr>
                  <w:rStyle w:val="a5"/>
                  <w:rFonts w:ascii="Arial" w:eastAsia="宋体" w:hAnsi="Arial" w:cs="Arial"/>
                  <w:sz w:val="20"/>
                  <w:szCs w:val="20"/>
                </w:rPr>
                <w:t>Certification of the Principal Executive Officer pursuant to Section 906 of the Sarbanes-Oxley Act of 2002.</w:t>
              </w:r>
            </w:hyperlink>
          </w:p>
        </w:tc>
      </w:tr>
      <w:tr w:rsidR="0084406A" w14:paraId="5902B91C"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1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1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1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1B" w14:textId="77777777" w:rsidR="0084406A" w:rsidRDefault="0084406A">
            <w:pPr>
              <w:rPr>
                <w:rFonts w:ascii="宋体"/>
              </w:rPr>
            </w:pPr>
          </w:p>
        </w:tc>
      </w:tr>
      <w:tr w:rsidR="0084406A" w14:paraId="5902B922" w14:textId="77777777">
        <w:trPr>
          <w:jc w:val="center"/>
        </w:trPr>
        <w:tc>
          <w:tcPr>
            <w:tcW w:w="0" w:type="auto"/>
            <w:gridSpan w:val="3"/>
            <w:shd w:val="clear" w:color="auto" w:fill="auto"/>
            <w:tcMar>
              <w:top w:w="0" w:type="dxa"/>
              <w:left w:w="20" w:type="dxa"/>
              <w:bottom w:w="0" w:type="dxa"/>
              <w:right w:w="20" w:type="dxa"/>
            </w:tcMar>
            <w:vAlign w:val="bottom"/>
          </w:tcPr>
          <w:p w14:paraId="5902B91D" w14:textId="77777777" w:rsidR="0084406A" w:rsidRDefault="0084406A">
            <w:pPr>
              <w:rPr>
                <w:rFonts w:ascii="宋体"/>
              </w:rPr>
            </w:pPr>
          </w:p>
        </w:tc>
        <w:tc>
          <w:tcPr>
            <w:tcW w:w="0" w:type="auto"/>
            <w:gridSpan w:val="2"/>
            <w:shd w:val="clear" w:color="auto" w:fill="auto"/>
            <w:tcMar>
              <w:top w:w="40" w:type="dxa"/>
              <w:left w:w="20" w:type="dxa"/>
              <w:bottom w:w="40" w:type="dxa"/>
              <w:right w:w="0" w:type="dxa"/>
            </w:tcMar>
          </w:tcPr>
          <w:p w14:paraId="5902B91E" w14:textId="77777777" w:rsidR="0084406A" w:rsidRDefault="002B18AF">
            <w:pPr>
              <w:jc w:val="right"/>
              <w:textAlignment w:val="top"/>
            </w:pPr>
            <w:r>
              <w:rPr>
                <w:rFonts w:ascii="Arial" w:eastAsia="宋体" w:hAnsi="Arial" w:cs="Arial"/>
                <w:color w:val="000000"/>
                <w:sz w:val="20"/>
                <w:szCs w:val="20"/>
              </w:rPr>
              <w:t>32.2 </w:t>
            </w:r>
          </w:p>
        </w:tc>
        <w:tc>
          <w:tcPr>
            <w:tcW w:w="0" w:type="auto"/>
            <w:shd w:val="clear" w:color="auto" w:fill="auto"/>
            <w:tcMar>
              <w:top w:w="40" w:type="dxa"/>
              <w:left w:w="0" w:type="dxa"/>
              <w:bottom w:w="40" w:type="dxa"/>
              <w:right w:w="20" w:type="dxa"/>
            </w:tcMar>
          </w:tcPr>
          <w:p w14:paraId="5902B91F" w14:textId="77777777" w:rsidR="0084406A" w:rsidRDefault="0084406A">
            <w:pPr>
              <w:jc w:val="right"/>
              <w:rPr>
                <w:rFonts w:ascii="宋体"/>
              </w:rPr>
            </w:pPr>
          </w:p>
        </w:tc>
        <w:tc>
          <w:tcPr>
            <w:tcW w:w="0" w:type="auto"/>
            <w:gridSpan w:val="3"/>
            <w:shd w:val="clear" w:color="auto" w:fill="auto"/>
            <w:tcMar>
              <w:top w:w="0" w:type="dxa"/>
              <w:left w:w="20" w:type="dxa"/>
              <w:bottom w:w="0" w:type="dxa"/>
              <w:right w:w="20" w:type="dxa"/>
            </w:tcMar>
            <w:vAlign w:val="bottom"/>
          </w:tcPr>
          <w:p w14:paraId="5902B92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21" w14:textId="77777777" w:rsidR="0084406A" w:rsidRDefault="002B18AF">
            <w:pPr>
              <w:textAlignment w:val="top"/>
            </w:pPr>
            <w:hyperlink r:id="rId180" w:history="1">
              <w:r>
                <w:rPr>
                  <w:rStyle w:val="a5"/>
                  <w:rFonts w:ascii="Arial" w:eastAsia="宋体" w:hAnsi="Arial" w:cs="Arial"/>
                  <w:sz w:val="20"/>
                  <w:szCs w:val="20"/>
                </w:rPr>
                <w:t>Certification of the Principal Financial Officer pursuant to Section 906 of the Sarbanes-Oxley Act of 2002.</w:t>
              </w:r>
            </w:hyperlink>
          </w:p>
        </w:tc>
      </w:tr>
      <w:tr w:rsidR="0084406A" w14:paraId="5902B927"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2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2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2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26" w14:textId="77777777" w:rsidR="0084406A" w:rsidRDefault="0084406A">
            <w:pPr>
              <w:rPr>
                <w:rFonts w:ascii="宋体"/>
              </w:rPr>
            </w:pPr>
          </w:p>
        </w:tc>
      </w:tr>
      <w:tr w:rsidR="0084406A" w14:paraId="5902B92C" w14:textId="77777777">
        <w:trPr>
          <w:jc w:val="center"/>
        </w:trPr>
        <w:tc>
          <w:tcPr>
            <w:tcW w:w="0" w:type="auto"/>
            <w:gridSpan w:val="3"/>
            <w:shd w:val="clear" w:color="auto" w:fill="auto"/>
            <w:tcMar>
              <w:top w:w="0" w:type="dxa"/>
              <w:left w:w="20" w:type="dxa"/>
              <w:bottom w:w="0" w:type="dxa"/>
              <w:right w:w="20" w:type="dxa"/>
            </w:tcMar>
            <w:vAlign w:val="bottom"/>
          </w:tcPr>
          <w:p w14:paraId="5902B92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29" w14:textId="77777777" w:rsidR="0084406A" w:rsidRDefault="002B18AF">
            <w:pPr>
              <w:jc w:val="right"/>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5902B92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2B" w14:textId="77777777" w:rsidR="0084406A" w:rsidRDefault="002B18AF">
            <w:pPr>
              <w:textAlignment w:val="top"/>
            </w:pPr>
            <w:r>
              <w:rPr>
                <w:rFonts w:ascii="Arial" w:eastAsia="宋体" w:hAnsi="Arial" w:cs="Arial"/>
                <w:color w:val="000000"/>
                <w:sz w:val="20"/>
                <w:szCs w:val="20"/>
              </w:rPr>
              <w:t xml:space="preserve">XBRL Instance </w:t>
            </w:r>
            <w:r>
              <w:rPr>
                <w:rFonts w:ascii="Arial" w:eastAsia="宋体" w:hAnsi="Arial" w:cs="Arial"/>
                <w:color w:val="000000"/>
                <w:sz w:val="20"/>
                <w:szCs w:val="20"/>
              </w:rPr>
              <w:t>Document -the instance document does not appear in the Interactive Data File because its XBRL tags are embedded within the Inline XBRL document</w:t>
            </w:r>
          </w:p>
        </w:tc>
      </w:tr>
      <w:tr w:rsidR="0084406A" w14:paraId="5902B931"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2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2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2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30" w14:textId="77777777" w:rsidR="0084406A" w:rsidRDefault="0084406A">
            <w:pPr>
              <w:rPr>
                <w:rFonts w:ascii="宋体"/>
              </w:rPr>
            </w:pPr>
          </w:p>
        </w:tc>
      </w:tr>
      <w:tr w:rsidR="0084406A" w14:paraId="5902B936" w14:textId="77777777">
        <w:trPr>
          <w:jc w:val="center"/>
        </w:trPr>
        <w:tc>
          <w:tcPr>
            <w:tcW w:w="0" w:type="auto"/>
            <w:gridSpan w:val="3"/>
            <w:shd w:val="clear" w:color="auto" w:fill="auto"/>
            <w:tcMar>
              <w:top w:w="0" w:type="dxa"/>
              <w:left w:w="20" w:type="dxa"/>
              <w:bottom w:w="0" w:type="dxa"/>
              <w:right w:w="20" w:type="dxa"/>
            </w:tcMar>
            <w:vAlign w:val="bottom"/>
          </w:tcPr>
          <w:p w14:paraId="5902B93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33" w14:textId="77777777" w:rsidR="0084406A" w:rsidRDefault="002B18AF">
            <w:pPr>
              <w:jc w:val="right"/>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5902B93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35" w14:textId="77777777" w:rsidR="0084406A" w:rsidRDefault="002B18AF">
            <w:pPr>
              <w:textAlignment w:val="top"/>
            </w:pPr>
            <w:r>
              <w:rPr>
                <w:rFonts w:ascii="Arial" w:eastAsia="宋体" w:hAnsi="Arial" w:cs="Arial"/>
                <w:color w:val="000000"/>
                <w:sz w:val="20"/>
                <w:szCs w:val="20"/>
              </w:rPr>
              <w:t>XBRL Taxonomy Extension Schema Document</w:t>
            </w:r>
          </w:p>
        </w:tc>
      </w:tr>
      <w:tr w:rsidR="0084406A" w14:paraId="5902B93B"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3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3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3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3A" w14:textId="77777777" w:rsidR="0084406A" w:rsidRDefault="0084406A">
            <w:pPr>
              <w:rPr>
                <w:rFonts w:ascii="宋体"/>
              </w:rPr>
            </w:pPr>
          </w:p>
        </w:tc>
      </w:tr>
      <w:tr w:rsidR="0084406A" w14:paraId="5902B940" w14:textId="77777777">
        <w:trPr>
          <w:jc w:val="center"/>
        </w:trPr>
        <w:tc>
          <w:tcPr>
            <w:tcW w:w="0" w:type="auto"/>
            <w:gridSpan w:val="3"/>
            <w:shd w:val="clear" w:color="auto" w:fill="auto"/>
            <w:tcMar>
              <w:top w:w="0" w:type="dxa"/>
              <w:left w:w="20" w:type="dxa"/>
              <w:bottom w:w="0" w:type="dxa"/>
              <w:right w:w="20" w:type="dxa"/>
            </w:tcMar>
            <w:vAlign w:val="bottom"/>
          </w:tcPr>
          <w:p w14:paraId="5902B93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3D" w14:textId="77777777" w:rsidR="0084406A" w:rsidRDefault="002B18AF">
            <w:pPr>
              <w:jc w:val="right"/>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5902B93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3F" w14:textId="77777777" w:rsidR="0084406A" w:rsidRDefault="002B18AF">
            <w:pPr>
              <w:textAlignment w:val="top"/>
            </w:pPr>
            <w:r>
              <w:rPr>
                <w:rFonts w:ascii="Arial" w:eastAsia="宋体" w:hAnsi="Arial" w:cs="Arial"/>
                <w:color w:val="000000"/>
                <w:sz w:val="20"/>
                <w:szCs w:val="20"/>
              </w:rPr>
              <w:t xml:space="preserve">XBRL Taxonomy Extension </w:t>
            </w:r>
            <w:r>
              <w:rPr>
                <w:rFonts w:ascii="Arial" w:eastAsia="宋体" w:hAnsi="Arial" w:cs="Arial"/>
                <w:color w:val="000000"/>
                <w:sz w:val="20"/>
                <w:szCs w:val="20"/>
              </w:rPr>
              <w:t>Calculation Linkbase Document</w:t>
            </w:r>
          </w:p>
        </w:tc>
      </w:tr>
      <w:tr w:rsidR="0084406A" w14:paraId="5902B945"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4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4" w14:textId="77777777" w:rsidR="0084406A" w:rsidRDefault="0084406A">
            <w:pPr>
              <w:rPr>
                <w:rFonts w:ascii="宋体"/>
              </w:rPr>
            </w:pPr>
          </w:p>
        </w:tc>
      </w:tr>
      <w:tr w:rsidR="0084406A" w14:paraId="5902B94A" w14:textId="77777777">
        <w:trPr>
          <w:jc w:val="center"/>
        </w:trPr>
        <w:tc>
          <w:tcPr>
            <w:tcW w:w="0" w:type="auto"/>
            <w:gridSpan w:val="3"/>
            <w:shd w:val="clear" w:color="auto" w:fill="auto"/>
            <w:tcMar>
              <w:top w:w="0" w:type="dxa"/>
              <w:left w:w="20" w:type="dxa"/>
              <w:bottom w:w="0" w:type="dxa"/>
              <w:right w:w="20" w:type="dxa"/>
            </w:tcMar>
            <w:vAlign w:val="bottom"/>
          </w:tcPr>
          <w:p w14:paraId="5902B94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47" w14:textId="77777777" w:rsidR="0084406A" w:rsidRDefault="002B18AF">
            <w:pPr>
              <w:jc w:val="right"/>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5902B948"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49" w14:textId="77777777" w:rsidR="0084406A" w:rsidRDefault="002B18AF">
            <w:pPr>
              <w:textAlignment w:val="top"/>
            </w:pPr>
            <w:r>
              <w:rPr>
                <w:rFonts w:ascii="Arial" w:eastAsia="宋体" w:hAnsi="Arial" w:cs="Arial"/>
                <w:color w:val="000000"/>
                <w:sz w:val="20"/>
                <w:szCs w:val="20"/>
              </w:rPr>
              <w:t>XBRL Taxonomy Extension Definition Linkbase Document</w:t>
            </w:r>
          </w:p>
        </w:tc>
      </w:tr>
      <w:tr w:rsidR="0084406A" w14:paraId="5902B94F"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4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4E" w14:textId="77777777" w:rsidR="0084406A" w:rsidRDefault="0084406A">
            <w:pPr>
              <w:rPr>
                <w:rFonts w:ascii="宋体"/>
              </w:rPr>
            </w:pPr>
          </w:p>
        </w:tc>
      </w:tr>
      <w:tr w:rsidR="0084406A" w14:paraId="5902B954" w14:textId="77777777">
        <w:trPr>
          <w:jc w:val="center"/>
        </w:trPr>
        <w:tc>
          <w:tcPr>
            <w:tcW w:w="0" w:type="auto"/>
            <w:gridSpan w:val="3"/>
            <w:shd w:val="clear" w:color="auto" w:fill="auto"/>
            <w:tcMar>
              <w:top w:w="0" w:type="dxa"/>
              <w:left w:w="20" w:type="dxa"/>
              <w:bottom w:w="0" w:type="dxa"/>
              <w:right w:w="20" w:type="dxa"/>
            </w:tcMar>
            <w:vAlign w:val="bottom"/>
          </w:tcPr>
          <w:p w14:paraId="5902B95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51" w14:textId="77777777" w:rsidR="0084406A" w:rsidRDefault="002B18AF">
            <w:pPr>
              <w:jc w:val="right"/>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5902B95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53" w14:textId="77777777" w:rsidR="0084406A" w:rsidRDefault="002B18AF">
            <w:pPr>
              <w:textAlignment w:val="top"/>
            </w:pPr>
            <w:r>
              <w:rPr>
                <w:rFonts w:ascii="Arial" w:eastAsia="宋体" w:hAnsi="Arial" w:cs="Arial"/>
                <w:color w:val="000000"/>
                <w:sz w:val="20"/>
                <w:szCs w:val="20"/>
              </w:rPr>
              <w:t>XBRL Taxonomy Extension Label Linkbase Document</w:t>
            </w:r>
          </w:p>
        </w:tc>
      </w:tr>
      <w:tr w:rsidR="0084406A" w14:paraId="5902B959"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5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5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5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58" w14:textId="77777777" w:rsidR="0084406A" w:rsidRDefault="0084406A">
            <w:pPr>
              <w:rPr>
                <w:rFonts w:ascii="宋体"/>
              </w:rPr>
            </w:pPr>
          </w:p>
        </w:tc>
      </w:tr>
      <w:tr w:rsidR="0084406A" w14:paraId="5902B95E" w14:textId="77777777">
        <w:trPr>
          <w:jc w:val="center"/>
        </w:trPr>
        <w:tc>
          <w:tcPr>
            <w:tcW w:w="0" w:type="auto"/>
            <w:gridSpan w:val="3"/>
            <w:shd w:val="clear" w:color="auto" w:fill="auto"/>
            <w:tcMar>
              <w:top w:w="0" w:type="dxa"/>
              <w:left w:w="20" w:type="dxa"/>
              <w:bottom w:w="0" w:type="dxa"/>
              <w:right w:w="20" w:type="dxa"/>
            </w:tcMar>
            <w:vAlign w:val="bottom"/>
          </w:tcPr>
          <w:p w14:paraId="5902B95A"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5B" w14:textId="77777777" w:rsidR="0084406A" w:rsidRDefault="002B18AF">
            <w:pPr>
              <w:jc w:val="right"/>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5902B95C"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5D" w14:textId="77777777" w:rsidR="0084406A" w:rsidRDefault="002B18AF">
            <w:pPr>
              <w:textAlignment w:val="top"/>
            </w:pPr>
            <w:r>
              <w:rPr>
                <w:rFonts w:ascii="Arial" w:eastAsia="宋体" w:hAnsi="Arial" w:cs="Arial"/>
                <w:color w:val="000000"/>
                <w:sz w:val="20"/>
                <w:szCs w:val="20"/>
              </w:rPr>
              <w:t>XBRL Taxonomy Extension Presentation Linkbase Document</w:t>
            </w:r>
          </w:p>
        </w:tc>
      </w:tr>
      <w:tr w:rsidR="0084406A" w14:paraId="5902B963" w14:textId="77777777">
        <w:trPr>
          <w:trHeight w:val="120"/>
          <w:jc w:val="center"/>
        </w:trPr>
        <w:tc>
          <w:tcPr>
            <w:tcW w:w="0" w:type="auto"/>
            <w:gridSpan w:val="3"/>
            <w:shd w:val="clear" w:color="auto" w:fill="auto"/>
            <w:tcMar>
              <w:top w:w="0" w:type="dxa"/>
              <w:left w:w="20" w:type="dxa"/>
              <w:bottom w:w="0" w:type="dxa"/>
              <w:right w:w="20" w:type="dxa"/>
            </w:tcMar>
            <w:vAlign w:val="bottom"/>
          </w:tcPr>
          <w:p w14:paraId="5902B95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6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6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62" w14:textId="77777777" w:rsidR="0084406A" w:rsidRDefault="0084406A">
            <w:pPr>
              <w:rPr>
                <w:rFonts w:ascii="宋体"/>
              </w:rPr>
            </w:pPr>
          </w:p>
        </w:tc>
      </w:tr>
      <w:tr w:rsidR="0084406A" w14:paraId="5902B968" w14:textId="77777777">
        <w:trPr>
          <w:jc w:val="center"/>
        </w:trPr>
        <w:tc>
          <w:tcPr>
            <w:tcW w:w="0" w:type="auto"/>
            <w:gridSpan w:val="3"/>
            <w:shd w:val="clear" w:color="auto" w:fill="auto"/>
            <w:tcMar>
              <w:top w:w="0" w:type="dxa"/>
              <w:left w:w="20" w:type="dxa"/>
              <w:bottom w:w="0" w:type="dxa"/>
              <w:right w:w="20" w:type="dxa"/>
            </w:tcMar>
            <w:vAlign w:val="bottom"/>
          </w:tcPr>
          <w:p w14:paraId="5902B96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65" w14:textId="77777777" w:rsidR="0084406A" w:rsidRDefault="002B18AF">
            <w:pPr>
              <w:jc w:val="right"/>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5902B96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tcPr>
          <w:p w14:paraId="5902B967" w14:textId="77777777" w:rsidR="0084406A" w:rsidRDefault="002B18AF">
            <w:pPr>
              <w:textAlignment w:val="top"/>
            </w:pPr>
            <w:r>
              <w:rPr>
                <w:rFonts w:ascii="Arial" w:eastAsia="宋体" w:hAnsi="Arial" w:cs="Arial"/>
                <w:color w:val="000000"/>
                <w:sz w:val="20"/>
                <w:szCs w:val="20"/>
              </w:rPr>
              <w:t xml:space="preserve">Cover </w:t>
            </w:r>
            <w:r>
              <w:rPr>
                <w:rFonts w:ascii="Arial" w:eastAsia="宋体" w:hAnsi="Arial" w:cs="Arial"/>
                <w:color w:val="000000"/>
                <w:sz w:val="20"/>
                <w:szCs w:val="20"/>
              </w:rPr>
              <w:t>Page Interactive Data File -the Cover Page Interactive Data File does not appear in the Interactive Data File because its XBRL tags are embedded within the Inline XBRL document</w:t>
            </w:r>
          </w:p>
        </w:tc>
      </w:tr>
    </w:tbl>
    <w:p w14:paraId="5902B969" w14:textId="77777777" w:rsidR="0084406A" w:rsidRDefault="002B18AF">
      <w:r>
        <w:rPr>
          <w:rFonts w:ascii="Arial" w:eastAsia="宋体" w:hAnsi="Arial" w:cs="Arial"/>
          <w:color w:val="000000"/>
          <w:sz w:val="20"/>
          <w:szCs w:val="20"/>
        </w:rPr>
        <w:t>_____________________</w:t>
      </w:r>
    </w:p>
    <w:p w14:paraId="5902B96A" w14:textId="77777777" w:rsidR="0084406A" w:rsidRDefault="002B18AF">
      <w:r>
        <w:rPr>
          <w:rFonts w:ascii="Arial" w:eastAsia="宋体" w:hAnsi="Arial" w:cs="Arial"/>
          <w:color w:val="000000"/>
          <w:sz w:val="20"/>
          <w:szCs w:val="20"/>
        </w:rPr>
        <w:t xml:space="preserve">* Management contracts and compensatory plans or </w:t>
      </w:r>
      <w:r>
        <w:rPr>
          <w:rFonts w:ascii="Arial" w:eastAsia="宋体" w:hAnsi="Arial" w:cs="Arial"/>
          <w:color w:val="000000"/>
          <w:sz w:val="20"/>
          <w:szCs w:val="20"/>
        </w:rPr>
        <w:t>arrangements.</w:t>
      </w:r>
    </w:p>
    <w:p w14:paraId="5902B96B" w14:textId="77777777" w:rsidR="0084406A" w:rsidRDefault="002B18AF">
      <w:r>
        <w:rPr>
          <w:rFonts w:ascii="Arial" w:eastAsia="宋体" w:hAnsi="Arial" w:cs="Arial"/>
          <w:color w:val="000000"/>
          <w:sz w:val="20"/>
          <w:szCs w:val="20"/>
        </w:rPr>
        <w:t>** Portions of this exhibit have been omitted pursuant to a request for confidential treatment, which has been granted. These portions have been filed separately with the SEC.</w:t>
      </w:r>
    </w:p>
    <w:p w14:paraId="5902B96C" w14:textId="77777777" w:rsidR="0084406A" w:rsidRDefault="002B18AF">
      <w:r>
        <w:rPr>
          <w:rFonts w:ascii="Arial" w:eastAsia="宋体" w:hAnsi="Arial" w:cs="Arial"/>
          <w:color w:val="000000"/>
          <w:sz w:val="20"/>
          <w:szCs w:val="20"/>
        </w:rPr>
        <w:t>*** Portions of this exhibit have been omitted because they are bo</w:t>
      </w:r>
      <w:r>
        <w:rPr>
          <w:rFonts w:ascii="Arial" w:eastAsia="宋体" w:hAnsi="Arial" w:cs="Arial"/>
          <w:color w:val="000000"/>
          <w:sz w:val="20"/>
          <w:szCs w:val="20"/>
        </w:rPr>
        <w:t>th (i) not material and (ii) would be competitively harmful if publicly disclosed.</w:t>
      </w:r>
    </w:p>
    <w:p w14:paraId="5902B96D" w14:textId="77777777" w:rsidR="0084406A" w:rsidRDefault="002B18AF">
      <w:pPr>
        <w:spacing w:before="180"/>
      </w:pPr>
      <w:r>
        <w:rPr>
          <w:rFonts w:ascii="Arial" w:eastAsia="宋体" w:hAnsi="Arial" w:cs="Arial"/>
          <w:color w:val="000000"/>
          <w:sz w:val="20"/>
          <w:szCs w:val="20"/>
        </w:rPr>
        <w:t>AMD will furnish a copy of any exhibit on request and payment of AMD’s reasonable expenses of furnishing such exhibit.</w:t>
      </w:r>
    </w:p>
    <w:p w14:paraId="5902B96E" w14:textId="77777777" w:rsidR="0084406A" w:rsidRDefault="0084406A">
      <w:pPr>
        <w:spacing w:before="240"/>
        <w:ind w:hanging="1440"/>
      </w:pPr>
    </w:p>
    <w:p w14:paraId="5902B96F" w14:textId="77777777" w:rsidR="0084406A" w:rsidRDefault="002B18AF">
      <w:pPr>
        <w:spacing w:before="240"/>
        <w:ind w:hanging="1440"/>
      </w:pPr>
      <w:r>
        <w:rPr>
          <w:rFonts w:ascii="Arial" w:eastAsia="宋体" w:hAnsi="Arial" w:cs="Arial"/>
          <w:b/>
          <w:bCs/>
          <w:color w:val="000000"/>
          <w:sz w:val="20"/>
          <w:szCs w:val="20"/>
        </w:rPr>
        <w:t>ITEM 16. FORM 10-K SUMMARY</w:t>
      </w:r>
    </w:p>
    <w:p w14:paraId="5902B970" w14:textId="77777777" w:rsidR="0084406A" w:rsidRDefault="0084406A"/>
    <w:p w14:paraId="5902B971" w14:textId="77777777" w:rsidR="0084406A" w:rsidRDefault="002B18AF">
      <w:pPr>
        <w:spacing w:before="100"/>
      </w:pPr>
      <w:r>
        <w:rPr>
          <w:rFonts w:ascii="Arial" w:eastAsia="宋体" w:hAnsi="Arial" w:cs="Arial"/>
          <w:color w:val="000000"/>
          <w:sz w:val="20"/>
          <w:szCs w:val="20"/>
        </w:rPr>
        <w:t>Not applicable.</w:t>
      </w:r>
    </w:p>
    <w:p w14:paraId="5902B972" w14:textId="77777777" w:rsidR="0084406A" w:rsidRDefault="002B18AF">
      <w:pPr>
        <w:jc w:val="center"/>
      </w:pPr>
      <w:r>
        <w:rPr>
          <w:rFonts w:ascii="Arial" w:eastAsia="宋体" w:hAnsi="Arial" w:cs="Arial"/>
          <w:color w:val="000000"/>
          <w:sz w:val="20"/>
          <w:szCs w:val="20"/>
        </w:rPr>
        <w:t>93</w:t>
      </w:r>
    </w:p>
    <w:p w14:paraId="5902B973" w14:textId="77777777" w:rsidR="0084406A" w:rsidRDefault="002B18AF">
      <w:r>
        <w:pict w14:anchorId="5902BB53">
          <v:rect id="_x0000_i1120" style="width:415.3pt;height:1.5pt" o:hralign="center" o:hrstd="t" o:hr="t" fillcolor="#a0a0a0" stroked="f"/>
        </w:pict>
      </w:r>
    </w:p>
    <w:p w14:paraId="5902B974" w14:textId="77777777" w:rsidR="0084406A" w:rsidRDefault="0084406A"/>
    <w:p w14:paraId="5902B975" w14:textId="77777777" w:rsidR="0084406A" w:rsidRDefault="002B18AF">
      <w:pPr>
        <w:jc w:val="center"/>
      </w:pPr>
      <w:r>
        <w:rPr>
          <w:rFonts w:ascii="Arial" w:eastAsia="宋体" w:hAnsi="Arial" w:cs="Arial"/>
          <w:b/>
          <w:bCs/>
          <w:color w:val="000000"/>
        </w:rPr>
        <w:t>SIG</w:t>
      </w:r>
      <w:r>
        <w:rPr>
          <w:rFonts w:ascii="Arial" w:eastAsia="宋体" w:hAnsi="Arial" w:cs="Arial"/>
          <w:b/>
          <w:bCs/>
          <w:color w:val="000000"/>
        </w:rPr>
        <w:t>NATURES</w:t>
      </w:r>
    </w:p>
    <w:p w14:paraId="5902B976" w14:textId="77777777" w:rsidR="0084406A" w:rsidRDefault="002B18AF">
      <w:pPr>
        <w:spacing w:before="180"/>
      </w:pPr>
      <w:r>
        <w:rPr>
          <w:rFonts w:ascii="Arial" w:eastAsia="宋体" w:hAnsi="Arial" w:cs="Arial"/>
          <w:b/>
          <w:bCs/>
          <w:color w:val="000000"/>
          <w:sz w:val="20"/>
          <w:szCs w:val="20"/>
        </w:rPr>
        <w:t>Pursuant to the requirements of Section 13 or 15(d) of the Securities Exchange Act of 1934, the registrant has duly caused this report to be signed on its behalf by the undersigned, thereunto duly authorized.</w:t>
      </w:r>
    </w:p>
    <w:p w14:paraId="5902B977" w14:textId="77777777" w:rsidR="0084406A" w:rsidRDefault="002B18AF">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3600"/>
        <w:gridCol w:w="36"/>
        <w:gridCol w:w="78"/>
        <w:gridCol w:w="243"/>
        <w:gridCol w:w="38"/>
        <w:gridCol w:w="63"/>
        <w:gridCol w:w="3819"/>
        <w:gridCol w:w="37"/>
        <w:gridCol w:w="69"/>
        <w:gridCol w:w="248"/>
        <w:gridCol w:w="36"/>
      </w:tblGrid>
      <w:tr w:rsidR="0084406A" w14:paraId="5902B984" w14:textId="77777777">
        <w:tc>
          <w:tcPr>
            <w:tcW w:w="50" w:type="pct"/>
            <w:shd w:val="clear" w:color="auto" w:fill="auto"/>
            <w:vAlign w:val="bottom"/>
          </w:tcPr>
          <w:p w14:paraId="5902B978" w14:textId="77777777" w:rsidR="0084406A" w:rsidRDefault="0084406A">
            <w:pPr>
              <w:rPr>
                <w:rFonts w:ascii="宋体"/>
              </w:rPr>
            </w:pPr>
          </w:p>
        </w:tc>
        <w:tc>
          <w:tcPr>
            <w:tcW w:w="2167" w:type="pct"/>
            <w:shd w:val="clear" w:color="auto" w:fill="auto"/>
            <w:vAlign w:val="bottom"/>
          </w:tcPr>
          <w:p w14:paraId="5902B979" w14:textId="77777777" w:rsidR="0084406A" w:rsidRDefault="0084406A">
            <w:pPr>
              <w:rPr>
                <w:rFonts w:ascii="宋体"/>
              </w:rPr>
            </w:pPr>
          </w:p>
        </w:tc>
        <w:tc>
          <w:tcPr>
            <w:tcW w:w="5" w:type="pct"/>
            <w:shd w:val="clear" w:color="auto" w:fill="auto"/>
            <w:vAlign w:val="bottom"/>
          </w:tcPr>
          <w:p w14:paraId="5902B97A" w14:textId="77777777" w:rsidR="0084406A" w:rsidRDefault="0084406A">
            <w:pPr>
              <w:rPr>
                <w:rFonts w:ascii="宋体"/>
              </w:rPr>
            </w:pPr>
          </w:p>
        </w:tc>
        <w:tc>
          <w:tcPr>
            <w:tcW w:w="50" w:type="pct"/>
            <w:shd w:val="clear" w:color="auto" w:fill="auto"/>
            <w:vAlign w:val="bottom"/>
          </w:tcPr>
          <w:p w14:paraId="5902B97B" w14:textId="77777777" w:rsidR="0084406A" w:rsidRDefault="0084406A">
            <w:pPr>
              <w:rPr>
                <w:rFonts w:ascii="宋体"/>
              </w:rPr>
            </w:pPr>
          </w:p>
        </w:tc>
        <w:tc>
          <w:tcPr>
            <w:tcW w:w="156" w:type="pct"/>
            <w:shd w:val="clear" w:color="auto" w:fill="auto"/>
            <w:vAlign w:val="bottom"/>
          </w:tcPr>
          <w:p w14:paraId="5902B97C" w14:textId="77777777" w:rsidR="0084406A" w:rsidRDefault="0084406A">
            <w:pPr>
              <w:rPr>
                <w:rFonts w:ascii="宋体"/>
              </w:rPr>
            </w:pPr>
          </w:p>
        </w:tc>
        <w:tc>
          <w:tcPr>
            <w:tcW w:w="5" w:type="pct"/>
            <w:shd w:val="clear" w:color="auto" w:fill="auto"/>
            <w:vAlign w:val="bottom"/>
          </w:tcPr>
          <w:p w14:paraId="5902B97D" w14:textId="77777777" w:rsidR="0084406A" w:rsidRDefault="0084406A">
            <w:pPr>
              <w:rPr>
                <w:rFonts w:ascii="宋体"/>
              </w:rPr>
            </w:pPr>
          </w:p>
        </w:tc>
        <w:tc>
          <w:tcPr>
            <w:tcW w:w="50" w:type="pct"/>
            <w:shd w:val="clear" w:color="auto" w:fill="auto"/>
            <w:vAlign w:val="bottom"/>
          </w:tcPr>
          <w:p w14:paraId="5902B97E" w14:textId="77777777" w:rsidR="0084406A" w:rsidRDefault="0084406A">
            <w:pPr>
              <w:rPr>
                <w:rFonts w:ascii="宋体"/>
              </w:rPr>
            </w:pPr>
          </w:p>
        </w:tc>
        <w:tc>
          <w:tcPr>
            <w:tcW w:w="2298" w:type="pct"/>
            <w:shd w:val="clear" w:color="auto" w:fill="auto"/>
            <w:vAlign w:val="bottom"/>
          </w:tcPr>
          <w:p w14:paraId="5902B97F" w14:textId="77777777" w:rsidR="0084406A" w:rsidRDefault="0084406A">
            <w:pPr>
              <w:rPr>
                <w:rFonts w:ascii="宋体"/>
              </w:rPr>
            </w:pPr>
          </w:p>
        </w:tc>
        <w:tc>
          <w:tcPr>
            <w:tcW w:w="5" w:type="pct"/>
            <w:shd w:val="clear" w:color="auto" w:fill="auto"/>
            <w:vAlign w:val="bottom"/>
          </w:tcPr>
          <w:p w14:paraId="5902B980" w14:textId="77777777" w:rsidR="0084406A" w:rsidRDefault="0084406A">
            <w:pPr>
              <w:rPr>
                <w:rFonts w:ascii="宋体"/>
              </w:rPr>
            </w:pPr>
          </w:p>
        </w:tc>
        <w:tc>
          <w:tcPr>
            <w:tcW w:w="50" w:type="pct"/>
            <w:shd w:val="clear" w:color="auto" w:fill="auto"/>
            <w:vAlign w:val="bottom"/>
          </w:tcPr>
          <w:p w14:paraId="5902B981" w14:textId="77777777" w:rsidR="0084406A" w:rsidRDefault="0084406A">
            <w:pPr>
              <w:rPr>
                <w:rFonts w:ascii="宋体"/>
              </w:rPr>
            </w:pPr>
          </w:p>
        </w:tc>
        <w:tc>
          <w:tcPr>
            <w:tcW w:w="157" w:type="pct"/>
            <w:shd w:val="clear" w:color="auto" w:fill="auto"/>
            <w:vAlign w:val="bottom"/>
          </w:tcPr>
          <w:p w14:paraId="5902B982" w14:textId="77777777" w:rsidR="0084406A" w:rsidRDefault="0084406A">
            <w:pPr>
              <w:rPr>
                <w:rFonts w:ascii="宋体"/>
              </w:rPr>
            </w:pPr>
          </w:p>
        </w:tc>
        <w:tc>
          <w:tcPr>
            <w:tcW w:w="5" w:type="pct"/>
            <w:shd w:val="clear" w:color="auto" w:fill="auto"/>
            <w:vAlign w:val="bottom"/>
          </w:tcPr>
          <w:p w14:paraId="5902B983" w14:textId="77777777" w:rsidR="0084406A" w:rsidRDefault="0084406A">
            <w:pPr>
              <w:rPr>
                <w:rFonts w:ascii="宋体"/>
              </w:rPr>
            </w:pPr>
          </w:p>
        </w:tc>
      </w:tr>
      <w:tr w:rsidR="0084406A" w14:paraId="5902B988" w14:textId="77777777">
        <w:tc>
          <w:tcPr>
            <w:tcW w:w="0" w:type="auto"/>
            <w:gridSpan w:val="3"/>
            <w:shd w:val="clear" w:color="auto" w:fill="auto"/>
            <w:tcMar>
              <w:top w:w="40" w:type="dxa"/>
              <w:left w:w="20" w:type="dxa"/>
              <w:bottom w:w="40" w:type="dxa"/>
              <w:right w:w="20" w:type="dxa"/>
            </w:tcMar>
          </w:tcPr>
          <w:p w14:paraId="5902B985" w14:textId="77777777" w:rsidR="0084406A" w:rsidRDefault="002B18AF">
            <w:pPr>
              <w:textAlignment w:val="top"/>
            </w:pPr>
            <w:r>
              <w:rPr>
                <w:rFonts w:ascii="Arial" w:eastAsia="宋体" w:hAnsi="Arial" w:cs="Arial"/>
                <w:color w:val="000000"/>
                <w:sz w:val="20"/>
                <w:szCs w:val="20"/>
              </w:rPr>
              <w:t>February 3, 2022</w:t>
            </w:r>
          </w:p>
        </w:tc>
        <w:tc>
          <w:tcPr>
            <w:tcW w:w="0" w:type="auto"/>
            <w:gridSpan w:val="6"/>
            <w:shd w:val="clear" w:color="auto" w:fill="auto"/>
            <w:tcMar>
              <w:top w:w="40" w:type="dxa"/>
              <w:left w:w="20" w:type="dxa"/>
              <w:bottom w:w="40" w:type="dxa"/>
              <w:right w:w="20" w:type="dxa"/>
            </w:tcMar>
            <w:vAlign w:val="bottom"/>
          </w:tcPr>
          <w:p w14:paraId="5902B986" w14:textId="77777777" w:rsidR="0084406A" w:rsidRDefault="002B18AF">
            <w:pPr>
              <w:textAlignment w:val="bottom"/>
            </w:pPr>
            <w:r>
              <w:rPr>
                <w:rFonts w:ascii="Arial" w:eastAsia="宋体" w:hAnsi="Arial" w:cs="Arial"/>
                <w:color w:val="000000"/>
                <w:sz w:val="20"/>
                <w:szCs w:val="20"/>
              </w:rPr>
              <w:t>A</w:t>
            </w:r>
            <w:r>
              <w:rPr>
                <w:rFonts w:ascii="Arial" w:eastAsia="宋体" w:hAnsi="Arial" w:cs="Arial"/>
                <w:color w:val="000000"/>
                <w:sz w:val="16"/>
                <w:szCs w:val="16"/>
              </w:rPr>
              <w:t>DVANCED</w:t>
            </w:r>
            <w:r>
              <w:rPr>
                <w:rFonts w:ascii="Arial" w:eastAsia="宋体" w:hAnsi="Arial" w:cs="Arial"/>
                <w:color w:val="000000"/>
                <w:sz w:val="20"/>
                <w:szCs w:val="20"/>
              </w:rPr>
              <w:t xml:space="preserve"> M</w:t>
            </w:r>
            <w:r>
              <w:rPr>
                <w:rFonts w:ascii="Arial" w:eastAsia="宋体" w:hAnsi="Arial" w:cs="Arial"/>
                <w:color w:val="000000"/>
                <w:sz w:val="16"/>
                <w:szCs w:val="16"/>
              </w:rPr>
              <w:t>ICRO</w:t>
            </w:r>
            <w:r>
              <w:rPr>
                <w:rFonts w:ascii="Arial" w:eastAsia="宋体" w:hAnsi="Arial" w:cs="Arial"/>
                <w:color w:val="000000"/>
                <w:sz w:val="20"/>
                <w:szCs w:val="20"/>
              </w:rPr>
              <w:t xml:space="preserve"> D</w:t>
            </w:r>
            <w:r>
              <w:rPr>
                <w:rFonts w:ascii="Arial" w:eastAsia="宋体" w:hAnsi="Arial" w:cs="Arial"/>
                <w:color w:val="000000"/>
                <w:sz w:val="16"/>
                <w:szCs w:val="16"/>
              </w:rPr>
              <w:t>EVICES</w:t>
            </w:r>
            <w:r>
              <w:rPr>
                <w:rFonts w:ascii="Arial" w:eastAsia="宋体" w:hAnsi="Arial" w:cs="Arial"/>
                <w:color w:val="000000"/>
                <w:sz w:val="20"/>
                <w:szCs w:val="20"/>
              </w:rPr>
              <w:t>, I</w:t>
            </w:r>
            <w:r>
              <w:rPr>
                <w:rFonts w:ascii="Arial" w:eastAsia="宋体" w:hAnsi="Arial" w:cs="Arial"/>
                <w:color w:val="000000"/>
                <w:sz w:val="16"/>
                <w:szCs w:val="16"/>
              </w:rPr>
              <w:t>NC</w:t>
            </w: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987" w14:textId="77777777" w:rsidR="0084406A" w:rsidRDefault="0084406A">
            <w:pPr>
              <w:rPr>
                <w:rFonts w:ascii="宋体"/>
              </w:rPr>
            </w:pPr>
          </w:p>
        </w:tc>
      </w:tr>
      <w:tr w:rsidR="0084406A" w14:paraId="5902B98D" w14:textId="77777777">
        <w:trPr>
          <w:trHeight w:val="300"/>
        </w:trPr>
        <w:tc>
          <w:tcPr>
            <w:tcW w:w="0" w:type="auto"/>
            <w:gridSpan w:val="3"/>
            <w:shd w:val="clear" w:color="auto" w:fill="auto"/>
            <w:tcMar>
              <w:top w:w="0" w:type="dxa"/>
              <w:left w:w="20" w:type="dxa"/>
              <w:bottom w:w="0" w:type="dxa"/>
              <w:right w:w="20" w:type="dxa"/>
            </w:tcMar>
            <w:vAlign w:val="bottom"/>
          </w:tcPr>
          <w:p w14:paraId="5902B98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8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8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8C" w14:textId="77777777" w:rsidR="0084406A" w:rsidRDefault="0084406A">
            <w:pPr>
              <w:rPr>
                <w:rFonts w:ascii="宋体"/>
              </w:rPr>
            </w:pPr>
          </w:p>
        </w:tc>
      </w:tr>
      <w:tr w:rsidR="0084406A" w14:paraId="5902B992" w14:textId="77777777">
        <w:tc>
          <w:tcPr>
            <w:tcW w:w="0" w:type="auto"/>
            <w:gridSpan w:val="3"/>
            <w:shd w:val="clear" w:color="auto" w:fill="auto"/>
            <w:tcMar>
              <w:top w:w="0" w:type="dxa"/>
              <w:left w:w="20" w:type="dxa"/>
              <w:bottom w:w="0" w:type="dxa"/>
              <w:right w:w="20" w:type="dxa"/>
            </w:tcMar>
            <w:vAlign w:val="bottom"/>
          </w:tcPr>
          <w:p w14:paraId="5902B98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8F" w14:textId="77777777" w:rsidR="0084406A" w:rsidRDefault="002B18AF">
            <w:pPr>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5902B990" w14:textId="77777777" w:rsidR="0084406A" w:rsidRDefault="002B18AF">
            <w:pPr>
              <w:jc w:val="center"/>
              <w:textAlignment w:val="bottom"/>
            </w:pPr>
            <w:r>
              <w:rPr>
                <w:rFonts w:ascii="Arial" w:eastAsia="宋体" w:hAnsi="Arial" w:cs="Arial"/>
                <w:i/>
                <w:iCs/>
                <w:color w:val="000000"/>
                <w:sz w:val="20"/>
                <w:szCs w:val="20"/>
              </w:rPr>
              <w:t>/s/</w:t>
            </w:r>
            <w:r>
              <w:rPr>
                <w:rFonts w:ascii="Arial" w:eastAsia="宋体" w:hAnsi="Arial" w:cs="Arial"/>
                <w:color w:val="000000"/>
                <w:sz w:val="20"/>
                <w:szCs w:val="20"/>
              </w:rPr>
              <w:t>Devinder Kumar</w:t>
            </w:r>
          </w:p>
        </w:tc>
        <w:tc>
          <w:tcPr>
            <w:tcW w:w="0" w:type="auto"/>
            <w:gridSpan w:val="3"/>
            <w:shd w:val="clear" w:color="auto" w:fill="auto"/>
            <w:tcMar>
              <w:top w:w="0" w:type="dxa"/>
              <w:left w:w="20" w:type="dxa"/>
              <w:bottom w:w="0" w:type="dxa"/>
              <w:right w:w="20" w:type="dxa"/>
            </w:tcMar>
            <w:vAlign w:val="bottom"/>
          </w:tcPr>
          <w:p w14:paraId="5902B991" w14:textId="77777777" w:rsidR="0084406A" w:rsidRDefault="0084406A">
            <w:pPr>
              <w:rPr>
                <w:rFonts w:ascii="宋体"/>
              </w:rPr>
            </w:pPr>
          </w:p>
        </w:tc>
      </w:tr>
      <w:tr w:rsidR="0084406A" w14:paraId="5902B997" w14:textId="77777777">
        <w:tc>
          <w:tcPr>
            <w:tcW w:w="0" w:type="auto"/>
            <w:gridSpan w:val="3"/>
            <w:shd w:val="clear" w:color="auto" w:fill="auto"/>
            <w:tcMar>
              <w:top w:w="0" w:type="dxa"/>
              <w:left w:w="20" w:type="dxa"/>
              <w:bottom w:w="0" w:type="dxa"/>
              <w:right w:w="20" w:type="dxa"/>
            </w:tcMar>
            <w:vAlign w:val="bottom"/>
          </w:tcPr>
          <w:p w14:paraId="5902B99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94"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B995" w14:textId="77777777" w:rsidR="0084406A" w:rsidRDefault="002B18AF">
            <w:pPr>
              <w:jc w:val="center"/>
              <w:textAlignment w:val="bottom"/>
            </w:pPr>
            <w:r>
              <w:rPr>
                <w:rFonts w:ascii="Arial" w:eastAsia="宋体" w:hAnsi="Arial" w:cs="Arial"/>
                <w:b/>
                <w:bCs/>
                <w:color w:val="000000"/>
                <w:sz w:val="20"/>
                <w:szCs w:val="20"/>
              </w:rPr>
              <w:t>Devinder Kumar</w:t>
            </w:r>
          </w:p>
        </w:tc>
        <w:tc>
          <w:tcPr>
            <w:tcW w:w="0" w:type="auto"/>
            <w:gridSpan w:val="3"/>
            <w:shd w:val="clear" w:color="auto" w:fill="auto"/>
            <w:tcMar>
              <w:top w:w="0" w:type="dxa"/>
              <w:left w:w="20" w:type="dxa"/>
              <w:bottom w:w="0" w:type="dxa"/>
              <w:right w:w="20" w:type="dxa"/>
            </w:tcMar>
            <w:vAlign w:val="bottom"/>
          </w:tcPr>
          <w:p w14:paraId="5902B996" w14:textId="77777777" w:rsidR="0084406A" w:rsidRDefault="0084406A">
            <w:pPr>
              <w:rPr>
                <w:rFonts w:ascii="宋体"/>
              </w:rPr>
            </w:pPr>
          </w:p>
        </w:tc>
      </w:tr>
      <w:tr w:rsidR="0084406A" w14:paraId="5902B99C" w14:textId="77777777">
        <w:tc>
          <w:tcPr>
            <w:tcW w:w="0" w:type="auto"/>
            <w:gridSpan w:val="3"/>
            <w:shd w:val="clear" w:color="auto" w:fill="auto"/>
            <w:tcMar>
              <w:top w:w="0" w:type="dxa"/>
              <w:left w:w="20" w:type="dxa"/>
              <w:bottom w:w="0" w:type="dxa"/>
              <w:right w:w="20" w:type="dxa"/>
            </w:tcMar>
            <w:vAlign w:val="bottom"/>
          </w:tcPr>
          <w:p w14:paraId="5902B99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99"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9A" w14:textId="77777777" w:rsidR="0084406A" w:rsidRDefault="002B18AF">
            <w:pPr>
              <w:jc w:val="center"/>
              <w:textAlignment w:val="bottom"/>
            </w:pPr>
            <w:r>
              <w:rPr>
                <w:rFonts w:ascii="Arial" w:eastAsia="宋体" w:hAnsi="Arial" w:cs="Arial"/>
                <w:b/>
                <w:bCs/>
                <w:color w:val="000000"/>
                <w:sz w:val="20"/>
                <w:szCs w:val="20"/>
              </w:rPr>
              <w:t>Executive Vice President, Chief Financial Officer, and Treasurer</w:t>
            </w:r>
          </w:p>
        </w:tc>
        <w:tc>
          <w:tcPr>
            <w:tcW w:w="0" w:type="auto"/>
            <w:gridSpan w:val="3"/>
            <w:shd w:val="clear" w:color="auto" w:fill="auto"/>
            <w:tcMar>
              <w:top w:w="0" w:type="dxa"/>
              <w:left w:w="20" w:type="dxa"/>
              <w:bottom w:w="0" w:type="dxa"/>
              <w:right w:w="20" w:type="dxa"/>
            </w:tcMar>
            <w:vAlign w:val="bottom"/>
          </w:tcPr>
          <w:p w14:paraId="5902B99B" w14:textId="77777777" w:rsidR="0084406A" w:rsidRDefault="0084406A">
            <w:pPr>
              <w:rPr>
                <w:rFonts w:ascii="宋体"/>
              </w:rPr>
            </w:pPr>
          </w:p>
        </w:tc>
      </w:tr>
    </w:tbl>
    <w:p w14:paraId="5902B99D" w14:textId="77777777" w:rsidR="0084406A" w:rsidRDefault="0084406A">
      <w:pPr>
        <w:spacing w:before="80"/>
      </w:pPr>
    </w:p>
    <w:p w14:paraId="5902B99E" w14:textId="77777777" w:rsidR="0084406A" w:rsidRDefault="002B18AF">
      <w:pPr>
        <w:spacing w:before="80"/>
      </w:pPr>
      <w:r>
        <w:rPr>
          <w:rFonts w:ascii="Arial" w:eastAsia="宋体" w:hAnsi="Arial" w:cs="Arial"/>
          <w:b/>
          <w:bCs/>
          <w:color w:val="000000"/>
          <w:sz w:val="20"/>
          <w:szCs w:val="20"/>
        </w:rPr>
        <w:t xml:space="preserve">Pursuant to the requirements of the Securities Exchange Act of 1934, this report has been signed below by the following persons, on behalf of the registrant and in the capacities and on the dates indicated. </w:t>
      </w:r>
    </w:p>
    <w:p w14:paraId="5902B99F" w14:textId="77777777" w:rsidR="0084406A" w:rsidRDefault="0084406A">
      <w:pPr>
        <w:spacing w:before="80"/>
      </w:pPr>
    </w:p>
    <w:p w14:paraId="5902B9A0" w14:textId="77777777" w:rsidR="0084406A" w:rsidRDefault="0084406A">
      <w:pPr>
        <w:spacing w:before="80"/>
      </w:pPr>
    </w:p>
    <w:tbl>
      <w:tblPr>
        <w:tblW w:w="5000" w:type="pct"/>
        <w:tblCellMar>
          <w:top w:w="15" w:type="dxa"/>
          <w:left w:w="15" w:type="dxa"/>
          <w:bottom w:w="15" w:type="dxa"/>
          <w:right w:w="15" w:type="dxa"/>
        </w:tblCellMar>
        <w:tblLook w:val="04A0" w:firstRow="1" w:lastRow="0" w:firstColumn="1" w:lastColumn="0" w:noHBand="0" w:noVBand="1"/>
      </w:tblPr>
      <w:tblGrid>
        <w:gridCol w:w="65"/>
        <w:gridCol w:w="536"/>
        <w:gridCol w:w="36"/>
        <w:gridCol w:w="65"/>
        <w:gridCol w:w="2024"/>
        <w:gridCol w:w="38"/>
        <w:gridCol w:w="36"/>
        <w:gridCol w:w="147"/>
        <w:gridCol w:w="36"/>
        <w:gridCol w:w="65"/>
        <w:gridCol w:w="3498"/>
        <w:gridCol w:w="37"/>
        <w:gridCol w:w="66"/>
        <w:gridCol w:w="146"/>
        <w:gridCol w:w="36"/>
        <w:gridCol w:w="66"/>
        <w:gridCol w:w="1403"/>
        <w:gridCol w:w="36"/>
      </w:tblGrid>
      <w:tr w:rsidR="0084406A" w14:paraId="5902B9B3" w14:textId="77777777">
        <w:tc>
          <w:tcPr>
            <w:tcW w:w="50" w:type="pct"/>
            <w:shd w:val="clear" w:color="auto" w:fill="auto"/>
            <w:vAlign w:val="bottom"/>
          </w:tcPr>
          <w:p w14:paraId="5902B9A1" w14:textId="77777777" w:rsidR="0084406A" w:rsidRDefault="0084406A">
            <w:pPr>
              <w:rPr>
                <w:rFonts w:ascii="宋体"/>
              </w:rPr>
            </w:pPr>
          </w:p>
        </w:tc>
        <w:tc>
          <w:tcPr>
            <w:tcW w:w="332" w:type="pct"/>
            <w:shd w:val="clear" w:color="auto" w:fill="auto"/>
            <w:vAlign w:val="bottom"/>
          </w:tcPr>
          <w:p w14:paraId="5902B9A2" w14:textId="77777777" w:rsidR="0084406A" w:rsidRDefault="0084406A">
            <w:pPr>
              <w:rPr>
                <w:rFonts w:ascii="宋体"/>
              </w:rPr>
            </w:pPr>
          </w:p>
        </w:tc>
        <w:tc>
          <w:tcPr>
            <w:tcW w:w="5" w:type="pct"/>
            <w:shd w:val="clear" w:color="auto" w:fill="auto"/>
            <w:vAlign w:val="bottom"/>
          </w:tcPr>
          <w:p w14:paraId="5902B9A3" w14:textId="77777777" w:rsidR="0084406A" w:rsidRDefault="0084406A">
            <w:pPr>
              <w:rPr>
                <w:rFonts w:ascii="宋体"/>
              </w:rPr>
            </w:pPr>
          </w:p>
        </w:tc>
        <w:tc>
          <w:tcPr>
            <w:tcW w:w="50" w:type="pct"/>
            <w:shd w:val="clear" w:color="auto" w:fill="auto"/>
            <w:vAlign w:val="bottom"/>
          </w:tcPr>
          <w:p w14:paraId="5902B9A4" w14:textId="77777777" w:rsidR="0084406A" w:rsidRDefault="0084406A">
            <w:pPr>
              <w:rPr>
                <w:rFonts w:ascii="宋体"/>
              </w:rPr>
            </w:pPr>
          </w:p>
        </w:tc>
        <w:tc>
          <w:tcPr>
            <w:tcW w:w="1224" w:type="pct"/>
            <w:shd w:val="clear" w:color="auto" w:fill="auto"/>
            <w:vAlign w:val="bottom"/>
          </w:tcPr>
          <w:p w14:paraId="5902B9A5" w14:textId="77777777" w:rsidR="0084406A" w:rsidRDefault="0084406A">
            <w:pPr>
              <w:rPr>
                <w:rFonts w:ascii="宋体"/>
              </w:rPr>
            </w:pPr>
          </w:p>
        </w:tc>
        <w:tc>
          <w:tcPr>
            <w:tcW w:w="5" w:type="pct"/>
            <w:shd w:val="clear" w:color="auto" w:fill="auto"/>
            <w:vAlign w:val="bottom"/>
          </w:tcPr>
          <w:p w14:paraId="5902B9A6" w14:textId="77777777" w:rsidR="0084406A" w:rsidRDefault="0084406A">
            <w:pPr>
              <w:rPr>
                <w:rFonts w:ascii="宋体"/>
              </w:rPr>
            </w:pPr>
          </w:p>
        </w:tc>
        <w:tc>
          <w:tcPr>
            <w:tcW w:w="5" w:type="pct"/>
            <w:shd w:val="clear" w:color="auto" w:fill="auto"/>
            <w:vAlign w:val="bottom"/>
          </w:tcPr>
          <w:p w14:paraId="5902B9A7" w14:textId="77777777" w:rsidR="0084406A" w:rsidRDefault="0084406A">
            <w:pPr>
              <w:rPr>
                <w:rFonts w:ascii="宋体"/>
              </w:rPr>
            </w:pPr>
          </w:p>
        </w:tc>
        <w:tc>
          <w:tcPr>
            <w:tcW w:w="99" w:type="pct"/>
            <w:shd w:val="clear" w:color="auto" w:fill="auto"/>
            <w:vAlign w:val="bottom"/>
          </w:tcPr>
          <w:p w14:paraId="5902B9A8" w14:textId="77777777" w:rsidR="0084406A" w:rsidRDefault="0084406A">
            <w:pPr>
              <w:rPr>
                <w:rFonts w:ascii="宋体"/>
              </w:rPr>
            </w:pPr>
          </w:p>
        </w:tc>
        <w:tc>
          <w:tcPr>
            <w:tcW w:w="5" w:type="pct"/>
            <w:shd w:val="clear" w:color="auto" w:fill="auto"/>
            <w:vAlign w:val="bottom"/>
          </w:tcPr>
          <w:p w14:paraId="5902B9A9" w14:textId="77777777" w:rsidR="0084406A" w:rsidRDefault="0084406A">
            <w:pPr>
              <w:rPr>
                <w:rFonts w:ascii="宋体"/>
              </w:rPr>
            </w:pPr>
          </w:p>
        </w:tc>
        <w:tc>
          <w:tcPr>
            <w:tcW w:w="50" w:type="pct"/>
            <w:shd w:val="clear" w:color="auto" w:fill="auto"/>
            <w:vAlign w:val="bottom"/>
          </w:tcPr>
          <w:p w14:paraId="5902B9AA" w14:textId="77777777" w:rsidR="0084406A" w:rsidRDefault="0084406A">
            <w:pPr>
              <w:rPr>
                <w:rFonts w:ascii="宋体"/>
              </w:rPr>
            </w:pPr>
          </w:p>
        </w:tc>
        <w:tc>
          <w:tcPr>
            <w:tcW w:w="2108" w:type="pct"/>
            <w:shd w:val="clear" w:color="auto" w:fill="auto"/>
            <w:vAlign w:val="bottom"/>
          </w:tcPr>
          <w:p w14:paraId="5902B9AB" w14:textId="77777777" w:rsidR="0084406A" w:rsidRDefault="0084406A">
            <w:pPr>
              <w:rPr>
                <w:rFonts w:ascii="宋体"/>
              </w:rPr>
            </w:pPr>
          </w:p>
        </w:tc>
        <w:tc>
          <w:tcPr>
            <w:tcW w:w="5" w:type="pct"/>
            <w:shd w:val="clear" w:color="auto" w:fill="auto"/>
            <w:vAlign w:val="bottom"/>
          </w:tcPr>
          <w:p w14:paraId="5902B9AC" w14:textId="77777777" w:rsidR="0084406A" w:rsidRDefault="0084406A">
            <w:pPr>
              <w:rPr>
                <w:rFonts w:ascii="宋体"/>
              </w:rPr>
            </w:pPr>
          </w:p>
        </w:tc>
        <w:tc>
          <w:tcPr>
            <w:tcW w:w="50" w:type="pct"/>
            <w:shd w:val="clear" w:color="auto" w:fill="auto"/>
            <w:vAlign w:val="bottom"/>
          </w:tcPr>
          <w:p w14:paraId="5902B9AD" w14:textId="77777777" w:rsidR="0084406A" w:rsidRDefault="0084406A">
            <w:pPr>
              <w:rPr>
                <w:rFonts w:ascii="宋体"/>
              </w:rPr>
            </w:pPr>
          </w:p>
        </w:tc>
        <w:tc>
          <w:tcPr>
            <w:tcW w:w="98" w:type="pct"/>
            <w:shd w:val="clear" w:color="auto" w:fill="auto"/>
            <w:vAlign w:val="bottom"/>
          </w:tcPr>
          <w:p w14:paraId="5902B9AE" w14:textId="77777777" w:rsidR="0084406A" w:rsidRDefault="0084406A">
            <w:pPr>
              <w:rPr>
                <w:rFonts w:ascii="宋体"/>
              </w:rPr>
            </w:pPr>
          </w:p>
        </w:tc>
        <w:tc>
          <w:tcPr>
            <w:tcW w:w="5" w:type="pct"/>
            <w:shd w:val="clear" w:color="auto" w:fill="auto"/>
            <w:vAlign w:val="bottom"/>
          </w:tcPr>
          <w:p w14:paraId="5902B9AF" w14:textId="77777777" w:rsidR="0084406A" w:rsidRDefault="0084406A">
            <w:pPr>
              <w:rPr>
                <w:rFonts w:ascii="宋体"/>
              </w:rPr>
            </w:pPr>
          </w:p>
        </w:tc>
        <w:tc>
          <w:tcPr>
            <w:tcW w:w="50" w:type="pct"/>
            <w:shd w:val="clear" w:color="auto" w:fill="auto"/>
            <w:vAlign w:val="bottom"/>
          </w:tcPr>
          <w:p w14:paraId="5902B9B0" w14:textId="77777777" w:rsidR="0084406A" w:rsidRDefault="0084406A">
            <w:pPr>
              <w:rPr>
                <w:rFonts w:ascii="宋体"/>
              </w:rPr>
            </w:pPr>
          </w:p>
        </w:tc>
        <w:tc>
          <w:tcPr>
            <w:tcW w:w="851" w:type="pct"/>
            <w:shd w:val="clear" w:color="auto" w:fill="auto"/>
            <w:vAlign w:val="bottom"/>
          </w:tcPr>
          <w:p w14:paraId="5902B9B1" w14:textId="77777777" w:rsidR="0084406A" w:rsidRDefault="0084406A">
            <w:pPr>
              <w:rPr>
                <w:rFonts w:ascii="宋体"/>
              </w:rPr>
            </w:pPr>
          </w:p>
        </w:tc>
        <w:tc>
          <w:tcPr>
            <w:tcW w:w="5" w:type="pct"/>
            <w:shd w:val="clear" w:color="auto" w:fill="auto"/>
            <w:vAlign w:val="bottom"/>
          </w:tcPr>
          <w:p w14:paraId="5902B9B2" w14:textId="77777777" w:rsidR="0084406A" w:rsidRDefault="0084406A">
            <w:pPr>
              <w:rPr>
                <w:rFonts w:ascii="宋体"/>
              </w:rPr>
            </w:pPr>
          </w:p>
        </w:tc>
      </w:tr>
      <w:tr w:rsidR="0084406A" w14:paraId="5902B9BA" w14:textId="77777777">
        <w:tc>
          <w:tcPr>
            <w:tcW w:w="0" w:type="auto"/>
            <w:gridSpan w:val="3"/>
            <w:shd w:val="clear" w:color="auto" w:fill="auto"/>
            <w:tcMar>
              <w:top w:w="0" w:type="dxa"/>
              <w:left w:w="20" w:type="dxa"/>
              <w:bottom w:w="0" w:type="dxa"/>
              <w:right w:w="20" w:type="dxa"/>
            </w:tcMar>
            <w:vAlign w:val="bottom"/>
          </w:tcPr>
          <w:p w14:paraId="5902B9B4"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B5" w14:textId="77777777" w:rsidR="0084406A" w:rsidRDefault="002B18AF">
            <w:pPr>
              <w:jc w:val="center"/>
              <w:textAlignment w:val="bottom"/>
            </w:pPr>
            <w:r>
              <w:rPr>
                <w:rFonts w:ascii="Arial" w:eastAsia="宋体" w:hAnsi="Arial" w:cs="Arial"/>
                <w:b/>
                <w:bCs/>
                <w:color w:val="000000"/>
                <w:sz w:val="16"/>
                <w:szCs w:val="16"/>
              </w:rPr>
              <w:t>Signature</w:t>
            </w:r>
          </w:p>
        </w:tc>
        <w:tc>
          <w:tcPr>
            <w:tcW w:w="0" w:type="auto"/>
            <w:gridSpan w:val="3"/>
            <w:shd w:val="clear" w:color="auto" w:fill="auto"/>
            <w:tcMar>
              <w:top w:w="40" w:type="dxa"/>
              <w:left w:w="20" w:type="dxa"/>
              <w:bottom w:w="40" w:type="dxa"/>
              <w:right w:w="20" w:type="dxa"/>
            </w:tcMar>
            <w:vAlign w:val="bottom"/>
          </w:tcPr>
          <w:p w14:paraId="5902B9B6" w14:textId="77777777" w:rsidR="0084406A" w:rsidRDefault="002B18A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5902B9B7" w14:textId="77777777" w:rsidR="0084406A" w:rsidRDefault="002B18AF">
            <w:pPr>
              <w:jc w:val="center"/>
              <w:textAlignment w:val="bottom"/>
            </w:pPr>
            <w:r>
              <w:rPr>
                <w:rFonts w:ascii="Arial" w:eastAsia="宋体" w:hAnsi="Arial" w:cs="Arial"/>
                <w:b/>
                <w:bCs/>
                <w:color w:val="000000"/>
                <w:sz w:val="16"/>
                <w:szCs w:val="16"/>
              </w:rPr>
              <w:t>Title</w:t>
            </w:r>
          </w:p>
        </w:tc>
        <w:tc>
          <w:tcPr>
            <w:tcW w:w="0" w:type="auto"/>
            <w:gridSpan w:val="3"/>
            <w:shd w:val="clear" w:color="auto" w:fill="auto"/>
            <w:tcMar>
              <w:top w:w="40" w:type="dxa"/>
              <w:left w:w="20" w:type="dxa"/>
              <w:bottom w:w="40" w:type="dxa"/>
              <w:right w:w="20" w:type="dxa"/>
            </w:tcMar>
            <w:vAlign w:val="bottom"/>
          </w:tcPr>
          <w:p w14:paraId="5902B9B8" w14:textId="77777777" w:rsidR="0084406A" w:rsidRDefault="002B18AF">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5902B9B9" w14:textId="77777777" w:rsidR="0084406A" w:rsidRDefault="002B18AF">
            <w:pPr>
              <w:jc w:val="center"/>
              <w:textAlignment w:val="bottom"/>
            </w:pPr>
            <w:r>
              <w:rPr>
                <w:rFonts w:ascii="Arial" w:eastAsia="宋体" w:hAnsi="Arial" w:cs="Arial"/>
                <w:b/>
                <w:bCs/>
                <w:color w:val="000000"/>
                <w:sz w:val="16"/>
                <w:szCs w:val="16"/>
              </w:rPr>
              <w:t>Date</w:t>
            </w:r>
          </w:p>
        </w:tc>
      </w:tr>
      <w:tr w:rsidR="0084406A" w14:paraId="5902B9BF" w14:textId="77777777">
        <w:trPr>
          <w:trHeight w:val="60"/>
        </w:trPr>
        <w:tc>
          <w:tcPr>
            <w:tcW w:w="0" w:type="auto"/>
            <w:gridSpan w:val="3"/>
            <w:shd w:val="clear" w:color="auto" w:fill="auto"/>
            <w:tcMar>
              <w:top w:w="0" w:type="dxa"/>
              <w:left w:w="20" w:type="dxa"/>
              <w:bottom w:w="0" w:type="dxa"/>
              <w:right w:w="20" w:type="dxa"/>
            </w:tcMar>
            <w:vAlign w:val="bottom"/>
          </w:tcPr>
          <w:p w14:paraId="5902B9B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BC"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BD"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BE" w14:textId="77777777" w:rsidR="0084406A" w:rsidRDefault="0084406A">
            <w:pPr>
              <w:rPr>
                <w:rFonts w:ascii="宋体"/>
              </w:rPr>
            </w:pPr>
          </w:p>
        </w:tc>
      </w:tr>
      <w:tr w:rsidR="0084406A" w14:paraId="5902B9C6" w14:textId="77777777">
        <w:trPr>
          <w:trHeight w:val="240"/>
        </w:trPr>
        <w:tc>
          <w:tcPr>
            <w:tcW w:w="0" w:type="auto"/>
            <w:gridSpan w:val="3"/>
            <w:shd w:val="clear" w:color="auto" w:fill="auto"/>
            <w:tcMar>
              <w:top w:w="0" w:type="dxa"/>
              <w:left w:w="20" w:type="dxa"/>
              <w:bottom w:w="0" w:type="dxa"/>
              <w:right w:w="20" w:type="dxa"/>
            </w:tcMar>
            <w:vAlign w:val="bottom"/>
          </w:tcPr>
          <w:p w14:paraId="5902B9C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C1" w14:textId="77777777" w:rsidR="0084406A" w:rsidRDefault="002B18AF">
            <w:pPr>
              <w:jc w:val="center"/>
              <w:textAlignment w:val="bottom"/>
            </w:pPr>
            <w:r>
              <w:rPr>
                <w:rFonts w:ascii="Arial" w:eastAsia="宋体" w:hAnsi="Arial" w:cs="Arial"/>
                <w:color w:val="000000"/>
                <w:sz w:val="18"/>
                <w:szCs w:val="18"/>
              </w:rPr>
              <w:t>/s/Lisa T. Su</w:t>
            </w:r>
          </w:p>
        </w:tc>
        <w:tc>
          <w:tcPr>
            <w:tcW w:w="0" w:type="auto"/>
            <w:gridSpan w:val="3"/>
            <w:shd w:val="clear" w:color="auto" w:fill="auto"/>
            <w:tcMar>
              <w:top w:w="0" w:type="dxa"/>
              <w:left w:w="20" w:type="dxa"/>
              <w:bottom w:w="0" w:type="dxa"/>
              <w:right w:w="20" w:type="dxa"/>
            </w:tcMar>
            <w:vAlign w:val="bottom"/>
          </w:tcPr>
          <w:p w14:paraId="5902B9C2"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C3" w14:textId="77777777" w:rsidR="0084406A" w:rsidRDefault="002B18AF">
            <w:pPr>
              <w:textAlignment w:val="center"/>
            </w:pPr>
            <w:r>
              <w:rPr>
                <w:rFonts w:ascii="Arial" w:eastAsia="宋体" w:hAnsi="Arial" w:cs="Arial"/>
                <w:color w:val="000000"/>
                <w:sz w:val="20"/>
                <w:szCs w:val="20"/>
              </w:rPr>
              <w:t>President and Chief Executive Officer</w:t>
            </w:r>
            <w:r>
              <w:rPr>
                <w:rFonts w:ascii="Arial" w:eastAsia="宋体" w:hAnsi="Arial" w:cs="Arial"/>
                <w:color w:val="000000"/>
                <w:sz w:val="20"/>
                <w:szCs w:val="20"/>
              </w:rPr>
              <w:br/>
              <w:t>(Principal Executive Officer), Director</w:t>
            </w:r>
          </w:p>
        </w:tc>
        <w:tc>
          <w:tcPr>
            <w:tcW w:w="0" w:type="auto"/>
            <w:gridSpan w:val="3"/>
            <w:shd w:val="clear" w:color="auto" w:fill="auto"/>
            <w:tcMar>
              <w:top w:w="0" w:type="dxa"/>
              <w:left w:w="20" w:type="dxa"/>
              <w:bottom w:w="0" w:type="dxa"/>
              <w:right w:w="20" w:type="dxa"/>
            </w:tcMar>
            <w:vAlign w:val="bottom"/>
          </w:tcPr>
          <w:p w14:paraId="5902B9C4"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C5"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9CD" w14:textId="77777777">
        <w:trPr>
          <w:trHeight w:val="240"/>
        </w:trPr>
        <w:tc>
          <w:tcPr>
            <w:tcW w:w="0" w:type="auto"/>
            <w:gridSpan w:val="3"/>
            <w:shd w:val="clear" w:color="auto" w:fill="auto"/>
            <w:tcMar>
              <w:top w:w="0" w:type="dxa"/>
              <w:left w:w="20" w:type="dxa"/>
              <w:bottom w:w="0" w:type="dxa"/>
              <w:right w:w="20" w:type="dxa"/>
            </w:tcMar>
            <w:vAlign w:val="bottom"/>
          </w:tcPr>
          <w:p w14:paraId="5902B9C7"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9C8" w14:textId="77777777" w:rsidR="0084406A" w:rsidRDefault="002B18AF">
            <w:pPr>
              <w:jc w:val="center"/>
              <w:textAlignment w:val="top"/>
            </w:pPr>
            <w:r>
              <w:rPr>
                <w:rFonts w:ascii="Arial" w:eastAsia="宋体" w:hAnsi="Arial" w:cs="Arial"/>
                <w:b/>
                <w:bCs/>
                <w:color w:val="000000"/>
                <w:sz w:val="20"/>
                <w:szCs w:val="20"/>
              </w:rPr>
              <w:t>Lisa T. Su</w:t>
            </w:r>
          </w:p>
        </w:tc>
        <w:tc>
          <w:tcPr>
            <w:tcW w:w="0" w:type="auto"/>
            <w:gridSpan w:val="3"/>
            <w:shd w:val="clear" w:color="auto" w:fill="auto"/>
            <w:tcMar>
              <w:top w:w="40" w:type="dxa"/>
              <w:left w:w="20" w:type="dxa"/>
              <w:bottom w:w="40" w:type="dxa"/>
              <w:right w:w="20" w:type="dxa"/>
            </w:tcMar>
            <w:vAlign w:val="bottom"/>
          </w:tcPr>
          <w:p w14:paraId="5902B9C9"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9C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CB"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9CC" w14:textId="77777777" w:rsidR="0084406A" w:rsidRDefault="0084406A">
            <w:pPr>
              <w:jc w:val="center"/>
              <w:rPr>
                <w:rFonts w:ascii="宋体"/>
              </w:rPr>
            </w:pPr>
          </w:p>
        </w:tc>
      </w:tr>
      <w:tr w:rsidR="0084406A" w14:paraId="5902B9D2" w14:textId="77777777">
        <w:trPr>
          <w:trHeight w:val="60"/>
        </w:trPr>
        <w:tc>
          <w:tcPr>
            <w:tcW w:w="0" w:type="auto"/>
            <w:gridSpan w:val="3"/>
            <w:shd w:val="clear" w:color="auto" w:fill="auto"/>
            <w:tcMar>
              <w:top w:w="0" w:type="dxa"/>
              <w:left w:w="20" w:type="dxa"/>
              <w:bottom w:w="0" w:type="dxa"/>
              <w:right w:w="20" w:type="dxa"/>
            </w:tcMar>
            <w:vAlign w:val="bottom"/>
          </w:tcPr>
          <w:p w14:paraId="5902B9C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CF"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D0"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D1" w14:textId="77777777" w:rsidR="0084406A" w:rsidRDefault="0084406A">
            <w:pPr>
              <w:rPr>
                <w:rFonts w:ascii="宋体"/>
              </w:rPr>
            </w:pPr>
          </w:p>
        </w:tc>
      </w:tr>
      <w:tr w:rsidR="0084406A" w14:paraId="5902B9D9" w14:textId="77777777">
        <w:trPr>
          <w:trHeight w:val="400"/>
        </w:trPr>
        <w:tc>
          <w:tcPr>
            <w:tcW w:w="0" w:type="auto"/>
            <w:gridSpan w:val="3"/>
            <w:shd w:val="clear" w:color="auto" w:fill="auto"/>
            <w:tcMar>
              <w:top w:w="0" w:type="dxa"/>
              <w:left w:w="20" w:type="dxa"/>
              <w:bottom w:w="0" w:type="dxa"/>
              <w:right w:w="20" w:type="dxa"/>
            </w:tcMar>
            <w:vAlign w:val="bottom"/>
          </w:tcPr>
          <w:p w14:paraId="5902B9D3"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D4" w14:textId="77777777" w:rsidR="0084406A" w:rsidRDefault="002B18AF">
            <w:pPr>
              <w:jc w:val="center"/>
              <w:textAlignment w:val="bottom"/>
            </w:pPr>
            <w:r>
              <w:rPr>
                <w:rFonts w:ascii="Arial" w:eastAsia="宋体" w:hAnsi="Arial" w:cs="Arial"/>
                <w:color w:val="000000"/>
                <w:sz w:val="18"/>
                <w:szCs w:val="18"/>
              </w:rPr>
              <w:t>/s/Devinder Kumar</w:t>
            </w:r>
          </w:p>
        </w:tc>
        <w:tc>
          <w:tcPr>
            <w:tcW w:w="0" w:type="auto"/>
            <w:gridSpan w:val="3"/>
            <w:shd w:val="clear" w:color="auto" w:fill="auto"/>
            <w:tcMar>
              <w:top w:w="0" w:type="dxa"/>
              <w:left w:w="20" w:type="dxa"/>
              <w:bottom w:w="0" w:type="dxa"/>
              <w:right w:w="20" w:type="dxa"/>
            </w:tcMar>
            <w:vAlign w:val="bottom"/>
          </w:tcPr>
          <w:p w14:paraId="5902B9D5"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D6" w14:textId="77777777" w:rsidR="0084406A" w:rsidRDefault="002B18AF">
            <w:pPr>
              <w:textAlignment w:val="center"/>
            </w:pPr>
            <w:r>
              <w:rPr>
                <w:rFonts w:ascii="Arial" w:eastAsia="宋体" w:hAnsi="Arial" w:cs="Arial"/>
                <w:color w:val="000000"/>
                <w:sz w:val="20"/>
                <w:szCs w:val="20"/>
              </w:rPr>
              <w:t>Executive Vice President, Chief Financial Officer and Treasurer</w:t>
            </w:r>
            <w:r>
              <w:rPr>
                <w:rFonts w:ascii="Arial" w:eastAsia="宋体" w:hAnsi="Arial" w:cs="Arial"/>
                <w:color w:val="000000"/>
                <w:sz w:val="20"/>
                <w:szCs w:val="20"/>
              </w:rPr>
              <w:br/>
              <w:t xml:space="preserve">(Principal </w:t>
            </w:r>
            <w:r>
              <w:rPr>
                <w:rFonts w:ascii="Arial" w:eastAsia="宋体" w:hAnsi="Arial" w:cs="Arial"/>
                <w:color w:val="000000"/>
                <w:sz w:val="20"/>
                <w:szCs w:val="20"/>
              </w:rPr>
              <w:t>Financial Officer)</w:t>
            </w:r>
          </w:p>
        </w:tc>
        <w:tc>
          <w:tcPr>
            <w:tcW w:w="0" w:type="auto"/>
            <w:gridSpan w:val="3"/>
            <w:shd w:val="clear" w:color="auto" w:fill="auto"/>
            <w:tcMar>
              <w:top w:w="0" w:type="dxa"/>
              <w:left w:w="20" w:type="dxa"/>
              <w:bottom w:w="0" w:type="dxa"/>
              <w:right w:w="20" w:type="dxa"/>
            </w:tcMar>
            <w:vAlign w:val="bottom"/>
          </w:tcPr>
          <w:p w14:paraId="5902B9D7"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D8"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9E0" w14:textId="77777777">
        <w:trPr>
          <w:trHeight w:val="280"/>
        </w:trPr>
        <w:tc>
          <w:tcPr>
            <w:tcW w:w="0" w:type="auto"/>
            <w:gridSpan w:val="3"/>
            <w:shd w:val="clear" w:color="auto" w:fill="auto"/>
            <w:tcMar>
              <w:top w:w="0" w:type="dxa"/>
              <w:left w:w="20" w:type="dxa"/>
              <w:bottom w:w="0" w:type="dxa"/>
              <w:right w:w="20" w:type="dxa"/>
            </w:tcMar>
            <w:vAlign w:val="bottom"/>
          </w:tcPr>
          <w:p w14:paraId="5902B9DA"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9DB" w14:textId="77777777" w:rsidR="0084406A" w:rsidRDefault="002B18AF">
            <w:pPr>
              <w:jc w:val="center"/>
              <w:textAlignment w:val="top"/>
            </w:pPr>
            <w:r>
              <w:rPr>
                <w:rFonts w:ascii="Arial" w:eastAsia="宋体" w:hAnsi="Arial" w:cs="Arial"/>
                <w:b/>
                <w:bCs/>
                <w:color w:val="000000"/>
                <w:sz w:val="20"/>
                <w:szCs w:val="20"/>
              </w:rPr>
              <w:t>Devinder Kumar</w:t>
            </w:r>
          </w:p>
        </w:tc>
        <w:tc>
          <w:tcPr>
            <w:tcW w:w="0" w:type="auto"/>
            <w:gridSpan w:val="3"/>
            <w:shd w:val="clear" w:color="auto" w:fill="auto"/>
            <w:tcMar>
              <w:top w:w="40" w:type="dxa"/>
              <w:left w:w="20" w:type="dxa"/>
              <w:bottom w:w="40" w:type="dxa"/>
              <w:right w:w="20" w:type="dxa"/>
            </w:tcMar>
            <w:vAlign w:val="bottom"/>
          </w:tcPr>
          <w:p w14:paraId="5902B9DC"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9D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DE"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9DF" w14:textId="77777777" w:rsidR="0084406A" w:rsidRDefault="0084406A">
            <w:pPr>
              <w:jc w:val="center"/>
              <w:rPr>
                <w:rFonts w:ascii="宋体"/>
              </w:rPr>
            </w:pPr>
          </w:p>
        </w:tc>
      </w:tr>
      <w:tr w:rsidR="0084406A" w14:paraId="5902B9E5" w14:textId="77777777">
        <w:trPr>
          <w:trHeight w:val="60"/>
        </w:trPr>
        <w:tc>
          <w:tcPr>
            <w:tcW w:w="0" w:type="auto"/>
            <w:gridSpan w:val="3"/>
            <w:shd w:val="clear" w:color="auto" w:fill="auto"/>
            <w:tcMar>
              <w:top w:w="0" w:type="dxa"/>
              <w:left w:w="20" w:type="dxa"/>
              <w:bottom w:w="0" w:type="dxa"/>
              <w:right w:w="20" w:type="dxa"/>
            </w:tcMar>
            <w:vAlign w:val="bottom"/>
          </w:tcPr>
          <w:p w14:paraId="5902B9E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E2"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E3"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9E4" w14:textId="77777777" w:rsidR="0084406A" w:rsidRDefault="0084406A">
            <w:pPr>
              <w:rPr>
                <w:rFonts w:ascii="宋体"/>
              </w:rPr>
            </w:pPr>
          </w:p>
        </w:tc>
      </w:tr>
      <w:tr w:rsidR="0084406A" w14:paraId="5902B9EC" w14:textId="77777777">
        <w:trPr>
          <w:trHeight w:val="300"/>
        </w:trPr>
        <w:tc>
          <w:tcPr>
            <w:tcW w:w="0" w:type="auto"/>
            <w:gridSpan w:val="3"/>
            <w:shd w:val="clear" w:color="auto" w:fill="auto"/>
            <w:tcMar>
              <w:top w:w="0" w:type="dxa"/>
              <w:left w:w="20" w:type="dxa"/>
              <w:bottom w:w="0" w:type="dxa"/>
              <w:right w:w="20" w:type="dxa"/>
            </w:tcMar>
            <w:vAlign w:val="bottom"/>
          </w:tcPr>
          <w:p w14:paraId="5902B9E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E7" w14:textId="77777777" w:rsidR="0084406A" w:rsidRDefault="002B18AF">
            <w:pPr>
              <w:jc w:val="center"/>
              <w:textAlignment w:val="bottom"/>
            </w:pPr>
            <w:r>
              <w:rPr>
                <w:rFonts w:ascii="Arial" w:eastAsia="宋体" w:hAnsi="Arial" w:cs="Arial"/>
                <w:color w:val="000000"/>
                <w:sz w:val="18"/>
                <w:szCs w:val="18"/>
              </w:rPr>
              <w:t>/s/Darla Smith</w:t>
            </w:r>
          </w:p>
        </w:tc>
        <w:tc>
          <w:tcPr>
            <w:tcW w:w="0" w:type="auto"/>
            <w:gridSpan w:val="3"/>
            <w:shd w:val="clear" w:color="auto" w:fill="auto"/>
            <w:tcMar>
              <w:top w:w="0" w:type="dxa"/>
              <w:left w:w="20" w:type="dxa"/>
              <w:bottom w:w="0" w:type="dxa"/>
              <w:right w:w="20" w:type="dxa"/>
            </w:tcMar>
            <w:vAlign w:val="bottom"/>
          </w:tcPr>
          <w:p w14:paraId="5902B9E8"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tcPr>
          <w:p w14:paraId="5902B9E9" w14:textId="77777777" w:rsidR="0084406A" w:rsidRDefault="002B18AF">
            <w:pPr>
              <w:textAlignment w:val="top"/>
            </w:pPr>
            <w:r>
              <w:rPr>
                <w:rFonts w:ascii="Arial" w:eastAsia="宋体" w:hAnsi="Arial" w:cs="Arial"/>
                <w:color w:val="000000"/>
                <w:sz w:val="20"/>
                <w:szCs w:val="20"/>
              </w:rPr>
              <w:t>Corporate Vice President, Chief Accounting Officer (Principal Accounting Officer)</w:t>
            </w:r>
          </w:p>
        </w:tc>
        <w:tc>
          <w:tcPr>
            <w:tcW w:w="0" w:type="auto"/>
            <w:gridSpan w:val="3"/>
            <w:shd w:val="clear" w:color="auto" w:fill="auto"/>
            <w:tcMar>
              <w:top w:w="0" w:type="dxa"/>
              <w:left w:w="20" w:type="dxa"/>
              <w:bottom w:w="0" w:type="dxa"/>
              <w:right w:w="20" w:type="dxa"/>
            </w:tcMar>
            <w:vAlign w:val="bottom"/>
          </w:tcPr>
          <w:p w14:paraId="5902B9EA"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EB"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9F3" w14:textId="77777777">
        <w:trPr>
          <w:trHeight w:val="240"/>
        </w:trPr>
        <w:tc>
          <w:tcPr>
            <w:tcW w:w="0" w:type="auto"/>
            <w:gridSpan w:val="3"/>
            <w:shd w:val="clear" w:color="auto" w:fill="auto"/>
            <w:tcMar>
              <w:top w:w="0" w:type="dxa"/>
              <w:left w:w="20" w:type="dxa"/>
              <w:bottom w:w="0" w:type="dxa"/>
              <w:right w:w="20" w:type="dxa"/>
            </w:tcMar>
            <w:vAlign w:val="bottom"/>
          </w:tcPr>
          <w:p w14:paraId="5902B9ED"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9EE" w14:textId="77777777" w:rsidR="0084406A" w:rsidRDefault="002B18AF">
            <w:pPr>
              <w:jc w:val="center"/>
              <w:textAlignment w:val="top"/>
            </w:pPr>
            <w:r>
              <w:rPr>
                <w:rFonts w:ascii="Arial" w:eastAsia="宋体" w:hAnsi="Arial" w:cs="Arial"/>
                <w:b/>
                <w:bCs/>
                <w:color w:val="000000"/>
                <w:sz w:val="20"/>
                <w:szCs w:val="20"/>
              </w:rPr>
              <w:t xml:space="preserve">Darla Smith </w:t>
            </w:r>
          </w:p>
        </w:tc>
        <w:tc>
          <w:tcPr>
            <w:tcW w:w="0" w:type="auto"/>
            <w:gridSpan w:val="3"/>
            <w:shd w:val="clear" w:color="auto" w:fill="auto"/>
            <w:tcMar>
              <w:top w:w="0" w:type="dxa"/>
              <w:left w:w="20" w:type="dxa"/>
              <w:bottom w:w="0" w:type="dxa"/>
              <w:right w:w="20" w:type="dxa"/>
            </w:tcMar>
            <w:vAlign w:val="bottom"/>
          </w:tcPr>
          <w:p w14:paraId="5902B9EF"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tcPr>
          <w:p w14:paraId="5902B9F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1"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9F2" w14:textId="77777777" w:rsidR="0084406A" w:rsidRDefault="0084406A">
            <w:pPr>
              <w:jc w:val="center"/>
              <w:rPr>
                <w:rFonts w:ascii="宋体"/>
              </w:rPr>
            </w:pPr>
          </w:p>
        </w:tc>
      </w:tr>
      <w:tr w:rsidR="0084406A" w14:paraId="5902B9FA" w14:textId="77777777">
        <w:trPr>
          <w:trHeight w:val="60"/>
        </w:trPr>
        <w:tc>
          <w:tcPr>
            <w:tcW w:w="0" w:type="auto"/>
            <w:gridSpan w:val="3"/>
            <w:shd w:val="clear" w:color="auto" w:fill="auto"/>
            <w:tcMar>
              <w:top w:w="0" w:type="dxa"/>
              <w:left w:w="20" w:type="dxa"/>
              <w:bottom w:w="0" w:type="dxa"/>
              <w:right w:w="20" w:type="dxa"/>
            </w:tcMar>
            <w:vAlign w:val="bottom"/>
          </w:tcPr>
          <w:p w14:paraId="5902B9F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9F9" w14:textId="77777777" w:rsidR="0084406A" w:rsidRDefault="0084406A">
            <w:pPr>
              <w:rPr>
                <w:rFonts w:ascii="宋体"/>
              </w:rPr>
            </w:pPr>
          </w:p>
        </w:tc>
      </w:tr>
      <w:tr w:rsidR="0084406A" w14:paraId="5902BA01" w14:textId="77777777">
        <w:trPr>
          <w:trHeight w:val="280"/>
        </w:trPr>
        <w:tc>
          <w:tcPr>
            <w:tcW w:w="0" w:type="auto"/>
            <w:gridSpan w:val="3"/>
            <w:shd w:val="clear" w:color="auto" w:fill="auto"/>
            <w:tcMar>
              <w:top w:w="0" w:type="dxa"/>
              <w:left w:w="20" w:type="dxa"/>
              <w:bottom w:w="0" w:type="dxa"/>
              <w:right w:w="20" w:type="dxa"/>
            </w:tcMar>
            <w:vAlign w:val="bottom"/>
          </w:tcPr>
          <w:p w14:paraId="5902B9F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9FC"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9FD"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9FE" w14:textId="77777777" w:rsidR="0084406A" w:rsidRDefault="002B18AF">
            <w:pPr>
              <w:textAlignment w:val="center"/>
            </w:pPr>
            <w:r>
              <w:rPr>
                <w:rFonts w:ascii="Arial" w:eastAsia="宋体" w:hAnsi="Arial" w:cs="Arial"/>
                <w:color w:val="000000"/>
                <w:sz w:val="20"/>
                <w:szCs w:val="20"/>
              </w:rPr>
              <w:t>Director, Chairman of the Board</w:t>
            </w:r>
          </w:p>
        </w:tc>
        <w:tc>
          <w:tcPr>
            <w:tcW w:w="0" w:type="auto"/>
            <w:gridSpan w:val="3"/>
            <w:shd w:val="clear" w:color="auto" w:fill="auto"/>
            <w:tcMar>
              <w:top w:w="0" w:type="dxa"/>
              <w:left w:w="20" w:type="dxa"/>
              <w:bottom w:w="0" w:type="dxa"/>
              <w:right w:w="20" w:type="dxa"/>
            </w:tcMar>
            <w:vAlign w:val="bottom"/>
          </w:tcPr>
          <w:p w14:paraId="5902B9FF"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00"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08" w14:textId="77777777">
        <w:trPr>
          <w:trHeight w:val="240"/>
        </w:trPr>
        <w:tc>
          <w:tcPr>
            <w:tcW w:w="0" w:type="auto"/>
            <w:gridSpan w:val="3"/>
            <w:shd w:val="clear" w:color="auto" w:fill="auto"/>
            <w:tcMar>
              <w:top w:w="0" w:type="dxa"/>
              <w:left w:w="20" w:type="dxa"/>
              <w:bottom w:w="0" w:type="dxa"/>
              <w:right w:w="20" w:type="dxa"/>
            </w:tcMar>
            <w:vAlign w:val="bottom"/>
          </w:tcPr>
          <w:p w14:paraId="5902BA02"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03" w14:textId="77777777" w:rsidR="0084406A" w:rsidRDefault="002B18AF">
            <w:pPr>
              <w:jc w:val="center"/>
              <w:textAlignment w:val="top"/>
            </w:pPr>
            <w:r>
              <w:rPr>
                <w:rFonts w:ascii="Arial" w:eastAsia="宋体" w:hAnsi="Arial" w:cs="Arial"/>
                <w:b/>
                <w:bCs/>
                <w:color w:val="000000"/>
                <w:sz w:val="20"/>
                <w:szCs w:val="20"/>
              </w:rPr>
              <w:t>John E. Caldwell</w:t>
            </w:r>
          </w:p>
        </w:tc>
        <w:tc>
          <w:tcPr>
            <w:tcW w:w="0" w:type="auto"/>
            <w:gridSpan w:val="3"/>
            <w:shd w:val="clear" w:color="auto" w:fill="auto"/>
            <w:tcMar>
              <w:top w:w="40" w:type="dxa"/>
              <w:left w:w="20" w:type="dxa"/>
              <w:bottom w:w="40" w:type="dxa"/>
              <w:right w:w="20" w:type="dxa"/>
            </w:tcMar>
            <w:vAlign w:val="bottom"/>
          </w:tcPr>
          <w:p w14:paraId="5902BA04"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A0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06"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07" w14:textId="77777777" w:rsidR="0084406A" w:rsidRDefault="0084406A">
            <w:pPr>
              <w:jc w:val="center"/>
              <w:rPr>
                <w:rFonts w:ascii="宋体"/>
              </w:rPr>
            </w:pPr>
          </w:p>
        </w:tc>
      </w:tr>
      <w:tr w:rsidR="0084406A" w14:paraId="5902BA0D" w14:textId="77777777">
        <w:trPr>
          <w:trHeight w:val="60"/>
        </w:trPr>
        <w:tc>
          <w:tcPr>
            <w:tcW w:w="0" w:type="auto"/>
            <w:gridSpan w:val="3"/>
            <w:shd w:val="clear" w:color="auto" w:fill="auto"/>
            <w:tcMar>
              <w:top w:w="0" w:type="dxa"/>
              <w:left w:w="20" w:type="dxa"/>
              <w:bottom w:w="0" w:type="dxa"/>
              <w:right w:w="20" w:type="dxa"/>
            </w:tcMar>
            <w:vAlign w:val="bottom"/>
          </w:tcPr>
          <w:p w14:paraId="5902BA0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0A"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0B"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0C" w14:textId="77777777" w:rsidR="0084406A" w:rsidRDefault="0084406A">
            <w:pPr>
              <w:rPr>
                <w:rFonts w:ascii="宋体"/>
              </w:rPr>
            </w:pPr>
          </w:p>
        </w:tc>
      </w:tr>
      <w:tr w:rsidR="0084406A" w14:paraId="5902BA14" w14:textId="77777777">
        <w:trPr>
          <w:trHeight w:val="280"/>
        </w:trPr>
        <w:tc>
          <w:tcPr>
            <w:tcW w:w="0" w:type="auto"/>
            <w:gridSpan w:val="3"/>
            <w:shd w:val="clear" w:color="auto" w:fill="auto"/>
            <w:tcMar>
              <w:top w:w="0" w:type="dxa"/>
              <w:left w:w="20" w:type="dxa"/>
              <w:bottom w:w="0" w:type="dxa"/>
              <w:right w:w="20" w:type="dxa"/>
            </w:tcMar>
            <w:vAlign w:val="bottom"/>
          </w:tcPr>
          <w:p w14:paraId="5902BA0E"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0F"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10"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11"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12"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13"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1B" w14:textId="77777777">
        <w:trPr>
          <w:trHeight w:val="240"/>
        </w:trPr>
        <w:tc>
          <w:tcPr>
            <w:tcW w:w="0" w:type="auto"/>
            <w:gridSpan w:val="3"/>
            <w:shd w:val="clear" w:color="auto" w:fill="auto"/>
            <w:tcMar>
              <w:top w:w="0" w:type="dxa"/>
              <w:left w:w="20" w:type="dxa"/>
              <w:bottom w:w="0" w:type="dxa"/>
              <w:right w:w="20" w:type="dxa"/>
            </w:tcMar>
            <w:vAlign w:val="bottom"/>
          </w:tcPr>
          <w:p w14:paraId="5902BA15"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16" w14:textId="77777777" w:rsidR="0084406A" w:rsidRDefault="002B18AF">
            <w:pPr>
              <w:jc w:val="center"/>
              <w:textAlignment w:val="top"/>
            </w:pPr>
            <w:r>
              <w:rPr>
                <w:rFonts w:ascii="Arial" w:eastAsia="宋体" w:hAnsi="Arial" w:cs="Arial"/>
                <w:b/>
                <w:bCs/>
                <w:color w:val="000000"/>
                <w:sz w:val="20"/>
                <w:szCs w:val="20"/>
              </w:rPr>
              <w:t>Nora M. Denzel</w:t>
            </w:r>
          </w:p>
        </w:tc>
        <w:tc>
          <w:tcPr>
            <w:tcW w:w="0" w:type="auto"/>
            <w:gridSpan w:val="3"/>
            <w:shd w:val="clear" w:color="auto" w:fill="auto"/>
            <w:tcMar>
              <w:top w:w="40" w:type="dxa"/>
              <w:left w:w="20" w:type="dxa"/>
              <w:bottom w:w="40" w:type="dxa"/>
              <w:right w:w="20" w:type="dxa"/>
            </w:tcMar>
            <w:vAlign w:val="bottom"/>
          </w:tcPr>
          <w:p w14:paraId="5902BA17"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A1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19"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1A" w14:textId="77777777" w:rsidR="0084406A" w:rsidRDefault="0084406A">
            <w:pPr>
              <w:jc w:val="center"/>
              <w:rPr>
                <w:rFonts w:ascii="宋体"/>
              </w:rPr>
            </w:pPr>
          </w:p>
        </w:tc>
      </w:tr>
      <w:tr w:rsidR="0084406A" w14:paraId="5902BA20" w14:textId="77777777">
        <w:trPr>
          <w:trHeight w:val="60"/>
        </w:trPr>
        <w:tc>
          <w:tcPr>
            <w:tcW w:w="0" w:type="auto"/>
            <w:gridSpan w:val="3"/>
            <w:shd w:val="clear" w:color="auto" w:fill="auto"/>
            <w:tcMar>
              <w:top w:w="0" w:type="dxa"/>
              <w:left w:w="20" w:type="dxa"/>
              <w:bottom w:w="0" w:type="dxa"/>
              <w:right w:w="20" w:type="dxa"/>
            </w:tcMar>
            <w:vAlign w:val="bottom"/>
          </w:tcPr>
          <w:p w14:paraId="5902BA1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1D"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1E"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1F" w14:textId="77777777" w:rsidR="0084406A" w:rsidRDefault="0084406A">
            <w:pPr>
              <w:rPr>
                <w:rFonts w:ascii="宋体"/>
              </w:rPr>
            </w:pPr>
          </w:p>
        </w:tc>
      </w:tr>
      <w:tr w:rsidR="0084406A" w14:paraId="5902BA27" w14:textId="77777777">
        <w:trPr>
          <w:trHeight w:val="280"/>
        </w:trPr>
        <w:tc>
          <w:tcPr>
            <w:tcW w:w="0" w:type="auto"/>
            <w:gridSpan w:val="3"/>
            <w:shd w:val="clear" w:color="auto" w:fill="auto"/>
            <w:tcMar>
              <w:top w:w="0" w:type="dxa"/>
              <w:left w:w="20" w:type="dxa"/>
              <w:bottom w:w="0" w:type="dxa"/>
              <w:right w:w="20" w:type="dxa"/>
            </w:tcMar>
            <w:vAlign w:val="bottom"/>
          </w:tcPr>
          <w:p w14:paraId="5902BA21"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22"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23"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24"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25"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26"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2E" w14:textId="77777777">
        <w:trPr>
          <w:trHeight w:val="280"/>
        </w:trPr>
        <w:tc>
          <w:tcPr>
            <w:tcW w:w="0" w:type="auto"/>
            <w:gridSpan w:val="3"/>
            <w:shd w:val="clear" w:color="auto" w:fill="auto"/>
            <w:tcMar>
              <w:top w:w="0" w:type="dxa"/>
              <w:left w:w="20" w:type="dxa"/>
              <w:bottom w:w="0" w:type="dxa"/>
              <w:right w:w="20" w:type="dxa"/>
            </w:tcMar>
            <w:vAlign w:val="bottom"/>
          </w:tcPr>
          <w:p w14:paraId="5902BA28"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29" w14:textId="77777777" w:rsidR="0084406A" w:rsidRDefault="002B18AF">
            <w:pPr>
              <w:jc w:val="center"/>
              <w:textAlignment w:val="top"/>
            </w:pPr>
            <w:r>
              <w:rPr>
                <w:rFonts w:ascii="Arial" w:eastAsia="宋体" w:hAnsi="Arial" w:cs="Arial"/>
                <w:b/>
                <w:bCs/>
                <w:color w:val="000000"/>
                <w:sz w:val="20"/>
                <w:szCs w:val="20"/>
              </w:rPr>
              <w:t>Dermot Mark Durcan</w:t>
            </w:r>
          </w:p>
        </w:tc>
        <w:tc>
          <w:tcPr>
            <w:tcW w:w="0" w:type="auto"/>
            <w:gridSpan w:val="3"/>
            <w:shd w:val="clear" w:color="auto" w:fill="auto"/>
            <w:tcMar>
              <w:top w:w="0" w:type="dxa"/>
              <w:left w:w="20" w:type="dxa"/>
              <w:bottom w:w="0" w:type="dxa"/>
              <w:right w:w="20" w:type="dxa"/>
            </w:tcMar>
            <w:vAlign w:val="bottom"/>
          </w:tcPr>
          <w:p w14:paraId="5902BA2A"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2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2C"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2D" w14:textId="77777777" w:rsidR="0084406A" w:rsidRDefault="0084406A">
            <w:pPr>
              <w:jc w:val="center"/>
              <w:rPr>
                <w:rFonts w:ascii="宋体"/>
              </w:rPr>
            </w:pPr>
          </w:p>
        </w:tc>
      </w:tr>
      <w:tr w:rsidR="0084406A" w14:paraId="5902BA35" w14:textId="77777777">
        <w:trPr>
          <w:trHeight w:val="60"/>
        </w:trPr>
        <w:tc>
          <w:tcPr>
            <w:tcW w:w="0" w:type="auto"/>
            <w:gridSpan w:val="3"/>
            <w:shd w:val="clear" w:color="auto" w:fill="auto"/>
            <w:tcMar>
              <w:top w:w="0" w:type="dxa"/>
              <w:left w:w="20" w:type="dxa"/>
              <w:bottom w:w="0" w:type="dxa"/>
              <w:right w:w="20" w:type="dxa"/>
            </w:tcMar>
            <w:vAlign w:val="bottom"/>
          </w:tcPr>
          <w:p w14:paraId="5902BA2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3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3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3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3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34" w14:textId="77777777" w:rsidR="0084406A" w:rsidRDefault="0084406A">
            <w:pPr>
              <w:rPr>
                <w:rFonts w:ascii="宋体"/>
              </w:rPr>
            </w:pPr>
          </w:p>
        </w:tc>
      </w:tr>
      <w:tr w:rsidR="0084406A" w14:paraId="5902BA3C" w14:textId="77777777">
        <w:trPr>
          <w:trHeight w:val="280"/>
        </w:trPr>
        <w:tc>
          <w:tcPr>
            <w:tcW w:w="0" w:type="auto"/>
            <w:gridSpan w:val="3"/>
            <w:shd w:val="clear" w:color="auto" w:fill="auto"/>
            <w:tcMar>
              <w:top w:w="0" w:type="dxa"/>
              <w:left w:w="20" w:type="dxa"/>
              <w:bottom w:w="0" w:type="dxa"/>
              <w:right w:w="20" w:type="dxa"/>
            </w:tcMar>
            <w:vAlign w:val="bottom"/>
          </w:tcPr>
          <w:p w14:paraId="5902BA36"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37"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38"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39"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3A"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3B"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43" w14:textId="77777777">
        <w:trPr>
          <w:trHeight w:val="240"/>
        </w:trPr>
        <w:tc>
          <w:tcPr>
            <w:tcW w:w="0" w:type="auto"/>
            <w:gridSpan w:val="3"/>
            <w:shd w:val="clear" w:color="auto" w:fill="auto"/>
            <w:tcMar>
              <w:top w:w="0" w:type="dxa"/>
              <w:left w:w="20" w:type="dxa"/>
              <w:bottom w:w="0" w:type="dxa"/>
              <w:right w:w="20" w:type="dxa"/>
            </w:tcMar>
            <w:vAlign w:val="bottom"/>
          </w:tcPr>
          <w:p w14:paraId="5902BA3D"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3E" w14:textId="77777777" w:rsidR="0084406A" w:rsidRDefault="002B18AF">
            <w:pPr>
              <w:jc w:val="center"/>
              <w:textAlignment w:val="top"/>
            </w:pPr>
            <w:r>
              <w:rPr>
                <w:rFonts w:ascii="Arial" w:eastAsia="宋体" w:hAnsi="Arial" w:cs="Arial"/>
                <w:b/>
                <w:bCs/>
                <w:color w:val="000000"/>
                <w:sz w:val="20"/>
                <w:szCs w:val="20"/>
              </w:rPr>
              <w:t>Michael P. Gregoire</w:t>
            </w:r>
          </w:p>
        </w:tc>
        <w:tc>
          <w:tcPr>
            <w:tcW w:w="0" w:type="auto"/>
            <w:gridSpan w:val="3"/>
            <w:shd w:val="clear" w:color="auto" w:fill="auto"/>
            <w:tcMar>
              <w:top w:w="0" w:type="dxa"/>
              <w:left w:w="20" w:type="dxa"/>
              <w:bottom w:w="0" w:type="dxa"/>
              <w:right w:w="20" w:type="dxa"/>
            </w:tcMar>
            <w:vAlign w:val="bottom"/>
          </w:tcPr>
          <w:p w14:paraId="5902BA3F"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4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1"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42" w14:textId="77777777" w:rsidR="0084406A" w:rsidRDefault="0084406A">
            <w:pPr>
              <w:jc w:val="center"/>
              <w:rPr>
                <w:rFonts w:ascii="宋体"/>
              </w:rPr>
            </w:pPr>
          </w:p>
        </w:tc>
      </w:tr>
      <w:tr w:rsidR="0084406A" w14:paraId="5902BA4A" w14:textId="77777777">
        <w:trPr>
          <w:trHeight w:val="120"/>
        </w:trPr>
        <w:tc>
          <w:tcPr>
            <w:tcW w:w="0" w:type="auto"/>
            <w:gridSpan w:val="3"/>
            <w:shd w:val="clear" w:color="auto" w:fill="auto"/>
            <w:tcMar>
              <w:top w:w="0" w:type="dxa"/>
              <w:left w:w="20" w:type="dxa"/>
              <w:bottom w:w="0" w:type="dxa"/>
              <w:right w:w="20" w:type="dxa"/>
            </w:tcMar>
            <w:vAlign w:val="bottom"/>
          </w:tcPr>
          <w:p w14:paraId="5902BA44"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49" w14:textId="77777777" w:rsidR="0084406A" w:rsidRDefault="0084406A">
            <w:pPr>
              <w:rPr>
                <w:rFonts w:ascii="宋体"/>
              </w:rPr>
            </w:pPr>
          </w:p>
        </w:tc>
      </w:tr>
      <w:tr w:rsidR="0084406A" w14:paraId="5902BA51" w14:textId="77777777">
        <w:trPr>
          <w:trHeight w:val="280"/>
        </w:trPr>
        <w:tc>
          <w:tcPr>
            <w:tcW w:w="0" w:type="auto"/>
            <w:gridSpan w:val="3"/>
            <w:shd w:val="clear" w:color="auto" w:fill="auto"/>
            <w:tcMar>
              <w:top w:w="0" w:type="dxa"/>
              <w:left w:w="20" w:type="dxa"/>
              <w:bottom w:w="0" w:type="dxa"/>
              <w:right w:w="20" w:type="dxa"/>
            </w:tcMar>
            <w:vAlign w:val="bottom"/>
          </w:tcPr>
          <w:p w14:paraId="5902BA4B"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4C"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4D"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4E"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4F"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50"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58" w14:textId="77777777">
        <w:trPr>
          <w:trHeight w:val="280"/>
        </w:trPr>
        <w:tc>
          <w:tcPr>
            <w:tcW w:w="0" w:type="auto"/>
            <w:gridSpan w:val="3"/>
            <w:shd w:val="clear" w:color="auto" w:fill="auto"/>
            <w:tcMar>
              <w:top w:w="0" w:type="dxa"/>
              <w:left w:w="20" w:type="dxa"/>
              <w:bottom w:w="0" w:type="dxa"/>
              <w:right w:w="20" w:type="dxa"/>
            </w:tcMar>
            <w:vAlign w:val="bottom"/>
          </w:tcPr>
          <w:p w14:paraId="5902BA52"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53" w14:textId="77777777" w:rsidR="0084406A" w:rsidRDefault="002B18AF">
            <w:pPr>
              <w:jc w:val="center"/>
              <w:textAlignment w:val="top"/>
            </w:pPr>
            <w:r>
              <w:rPr>
                <w:rFonts w:ascii="Arial" w:eastAsia="宋体" w:hAnsi="Arial" w:cs="Arial"/>
                <w:b/>
                <w:bCs/>
                <w:color w:val="000000"/>
                <w:sz w:val="20"/>
                <w:szCs w:val="20"/>
              </w:rPr>
              <w:t>Joseph A. Householder</w:t>
            </w:r>
          </w:p>
        </w:tc>
        <w:tc>
          <w:tcPr>
            <w:tcW w:w="0" w:type="auto"/>
            <w:gridSpan w:val="3"/>
            <w:shd w:val="clear" w:color="auto" w:fill="auto"/>
            <w:tcMar>
              <w:top w:w="0" w:type="dxa"/>
              <w:left w:w="20" w:type="dxa"/>
              <w:bottom w:w="0" w:type="dxa"/>
              <w:right w:w="20" w:type="dxa"/>
            </w:tcMar>
            <w:vAlign w:val="bottom"/>
          </w:tcPr>
          <w:p w14:paraId="5902BA54"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55"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6"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57" w14:textId="77777777" w:rsidR="0084406A" w:rsidRDefault="0084406A">
            <w:pPr>
              <w:jc w:val="center"/>
              <w:rPr>
                <w:rFonts w:ascii="宋体"/>
              </w:rPr>
            </w:pPr>
          </w:p>
        </w:tc>
      </w:tr>
      <w:tr w:rsidR="0084406A" w14:paraId="5902BA5F" w14:textId="77777777">
        <w:trPr>
          <w:trHeight w:val="120"/>
        </w:trPr>
        <w:tc>
          <w:tcPr>
            <w:tcW w:w="0" w:type="auto"/>
            <w:gridSpan w:val="3"/>
            <w:shd w:val="clear" w:color="auto" w:fill="auto"/>
            <w:tcMar>
              <w:top w:w="0" w:type="dxa"/>
              <w:left w:w="20" w:type="dxa"/>
              <w:bottom w:w="0" w:type="dxa"/>
              <w:right w:w="20" w:type="dxa"/>
            </w:tcMar>
            <w:vAlign w:val="bottom"/>
          </w:tcPr>
          <w:p w14:paraId="5902BA5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C"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D"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5E" w14:textId="77777777" w:rsidR="0084406A" w:rsidRDefault="0084406A">
            <w:pPr>
              <w:rPr>
                <w:rFonts w:ascii="宋体"/>
              </w:rPr>
            </w:pPr>
          </w:p>
        </w:tc>
      </w:tr>
      <w:tr w:rsidR="0084406A" w14:paraId="5902BA66" w14:textId="77777777">
        <w:trPr>
          <w:trHeight w:val="280"/>
        </w:trPr>
        <w:tc>
          <w:tcPr>
            <w:tcW w:w="0" w:type="auto"/>
            <w:gridSpan w:val="3"/>
            <w:shd w:val="clear" w:color="auto" w:fill="auto"/>
            <w:tcMar>
              <w:top w:w="0" w:type="dxa"/>
              <w:left w:w="20" w:type="dxa"/>
              <w:bottom w:w="0" w:type="dxa"/>
              <w:right w:w="20" w:type="dxa"/>
            </w:tcMar>
            <w:vAlign w:val="bottom"/>
          </w:tcPr>
          <w:p w14:paraId="5902BA6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61"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62"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63"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64"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65"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6D" w14:textId="77777777">
        <w:trPr>
          <w:trHeight w:val="240"/>
        </w:trPr>
        <w:tc>
          <w:tcPr>
            <w:tcW w:w="0" w:type="auto"/>
            <w:gridSpan w:val="3"/>
            <w:shd w:val="clear" w:color="auto" w:fill="auto"/>
            <w:tcMar>
              <w:top w:w="0" w:type="dxa"/>
              <w:left w:w="20" w:type="dxa"/>
              <w:bottom w:w="0" w:type="dxa"/>
              <w:right w:w="20" w:type="dxa"/>
            </w:tcMar>
            <w:vAlign w:val="bottom"/>
          </w:tcPr>
          <w:p w14:paraId="5902BA67"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BA68" w14:textId="77777777" w:rsidR="0084406A" w:rsidRDefault="002B18AF">
            <w:pPr>
              <w:jc w:val="center"/>
              <w:textAlignment w:val="bottom"/>
            </w:pPr>
            <w:r>
              <w:rPr>
                <w:rFonts w:ascii="Arial" w:eastAsia="宋体" w:hAnsi="Arial" w:cs="Arial"/>
                <w:b/>
                <w:bCs/>
                <w:color w:val="000000"/>
                <w:sz w:val="20"/>
                <w:szCs w:val="20"/>
              </w:rPr>
              <w:t>John W. Marren</w:t>
            </w:r>
          </w:p>
        </w:tc>
        <w:tc>
          <w:tcPr>
            <w:tcW w:w="0" w:type="auto"/>
            <w:gridSpan w:val="3"/>
            <w:shd w:val="clear" w:color="auto" w:fill="auto"/>
            <w:tcMar>
              <w:top w:w="0" w:type="dxa"/>
              <w:left w:w="20" w:type="dxa"/>
              <w:bottom w:w="0" w:type="dxa"/>
              <w:right w:w="20" w:type="dxa"/>
            </w:tcMar>
            <w:vAlign w:val="bottom"/>
          </w:tcPr>
          <w:p w14:paraId="5902BA69"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6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6B" w14:textId="77777777" w:rsidR="0084406A" w:rsidRDefault="0084406A">
            <w:pPr>
              <w:rPr>
                <w:rFonts w:ascii="宋体"/>
              </w:rPr>
            </w:pPr>
          </w:p>
        </w:tc>
        <w:tc>
          <w:tcPr>
            <w:tcW w:w="0" w:type="auto"/>
            <w:gridSpan w:val="3"/>
            <w:vMerge/>
            <w:shd w:val="clear" w:color="auto" w:fill="auto"/>
            <w:tcMar>
              <w:top w:w="40" w:type="dxa"/>
              <w:left w:w="20" w:type="dxa"/>
              <w:bottom w:w="40" w:type="dxa"/>
              <w:right w:w="20" w:type="dxa"/>
            </w:tcMar>
            <w:vAlign w:val="center"/>
          </w:tcPr>
          <w:p w14:paraId="5902BA6C" w14:textId="77777777" w:rsidR="0084406A" w:rsidRDefault="0084406A">
            <w:pPr>
              <w:jc w:val="center"/>
              <w:rPr>
                <w:rFonts w:ascii="宋体"/>
              </w:rPr>
            </w:pPr>
          </w:p>
        </w:tc>
      </w:tr>
      <w:tr w:rsidR="0084406A" w14:paraId="5902BA74" w14:textId="77777777">
        <w:trPr>
          <w:trHeight w:val="120"/>
        </w:trPr>
        <w:tc>
          <w:tcPr>
            <w:tcW w:w="0" w:type="auto"/>
            <w:gridSpan w:val="3"/>
            <w:shd w:val="clear" w:color="auto" w:fill="auto"/>
            <w:tcMar>
              <w:top w:w="0" w:type="dxa"/>
              <w:left w:w="20" w:type="dxa"/>
              <w:bottom w:w="0" w:type="dxa"/>
              <w:right w:w="20" w:type="dxa"/>
            </w:tcMar>
            <w:vAlign w:val="bottom"/>
          </w:tcPr>
          <w:p w14:paraId="5902BA6E"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6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70"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71"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72"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73" w14:textId="77777777" w:rsidR="0084406A" w:rsidRDefault="0084406A">
            <w:pPr>
              <w:rPr>
                <w:rFonts w:ascii="宋体"/>
              </w:rPr>
            </w:pPr>
          </w:p>
        </w:tc>
      </w:tr>
      <w:tr w:rsidR="0084406A" w14:paraId="5902BA7B" w14:textId="77777777">
        <w:trPr>
          <w:trHeight w:val="280"/>
        </w:trPr>
        <w:tc>
          <w:tcPr>
            <w:tcW w:w="0" w:type="auto"/>
            <w:gridSpan w:val="3"/>
            <w:shd w:val="clear" w:color="auto" w:fill="auto"/>
            <w:tcMar>
              <w:top w:w="0" w:type="dxa"/>
              <w:left w:w="20" w:type="dxa"/>
              <w:bottom w:w="0" w:type="dxa"/>
              <w:right w:w="20" w:type="dxa"/>
            </w:tcMar>
            <w:vAlign w:val="bottom"/>
          </w:tcPr>
          <w:p w14:paraId="5902BA75"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76" w14:textId="77777777" w:rsidR="0084406A" w:rsidRDefault="002B18AF">
            <w:pPr>
              <w:jc w:val="center"/>
              <w:textAlignment w:val="bottom"/>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5902BA77"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78" w14:textId="77777777" w:rsidR="0084406A" w:rsidRDefault="002B18AF">
            <w:pPr>
              <w:textAlignment w:val="center"/>
            </w:pP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5902BA79" w14:textId="77777777" w:rsidR="0084406A" w:rsidRDefault="0084406A">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902BA7A" w14:textId="77777777" w:rsidR="0084406A" w:rsidRDefault="002B18AF">
            <w:pPr>
              <w:jc w:val="center"/>
              <w:textAlignment w:val="center"/>
            </w:pPr>
            <w:r>
              <w:rPr>
                <w:rFonts w:ascii="Arial" w:eastAsia="宋体" w:hAnsi="Arial" w:cs="Arial"/>
                <w:color w:val="000000"/>
                <w:sz w:val="20"/>
                <w:szCs w:val="20"/>
              </w:rPr>
              <w:t>February 3, 2022</w:t>
            </w:r>
          </w:p>
        </w:tc>
      </w:tr>
      <w:tr w:rsidR="0084406A" w14:paraId="5902BA82" w14:textId="77777777">
        <w:trPr>
          <w:trHeight w:val="240"/>
        </w:trPr>
        <w:tc>
          <w:tcPr>
            <w:tcW w:w="0" w:type="auto"/>
            <w:gridSpan w:val="3"/>
            <w:shd w:val="clear" w:color="auto" w:fill="auto"/>
            <w:tcMar>
              <w:top w:w="0" w:type="dxa"/>
              <w:left w:w="20" w:type="dxa"/>
              <w:bottom w:w="0" w:type="dxa"/>
              <w:right w:w="20" w:type="dxa"/>
            </w:tcMar>
            <w:vAlign w:val="bottom"/>
          </w:tcPr>
          <w:p w14:paraId="5902BA7C" w14:textId="77777777" w:rsidR="0084406A" w:rsidRDefault="0084406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5902BA7D" w14:textId="77777777" w:rsidR="0084406A" w:rsidRDefault="002B18AF">
            <w:pPr>
              <w:jc w:val="center"/>
              <w:textAlignment w:val="top"/>
            </w:pPr>
            <w:r>
              <w:rPr>
                <w:rFonts w:ascii="Arial" w:eastAsia="宋体" w:hAnsi="Arial" w:cs="Arial"/>
                <w:b/>
                <w:bCs/>
                <w:color w:val="000000"/>
                <w:sz w:val="20"/>
                <w:szCs w:val="20"/>
              </w:rPr>
              <w:t>Abhi Y. Talwalkar</w:t>
            </w:r>
          </w:p>
        </w:tc>
        <w:tc>
          <w:tcPr>
            <w:tcW w:w="0" w:type="auto"/>
            <w:gridSpan w:val="3"/>
            <w:shd w:val="clear" w:color="auto" w:fill="auto"/>
            <w:tcMar>
              <w:top w:w="40" w:type="dxa"/>
              <w:left w:w="20" w:type="dxa"/>
              <w:bottom w:w="40" w:type="dxa"/>
              <w:right w:w="20" w:type="dxa"/>
            </w:tcMar>
            <w:vAlign w:val="bottom"/>
          </w:tcPr>
          <w:p w14:paraId="5902BA7E"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A7F"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80"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40" w:type="dxa"/>
              <w:left w:w="20" w:type="dxa"/>
              <w:bottom w:w="40" w:type="dxa"/>
              <w:right w:w="20" w:type="dxa"/>
            </w:tcMar>
            <w:vAlign w:val="center"/>
          </w:tcPr>
          <w:p w14:paraId="5902BA81" w14:textId="77777777" w:rsidR="0084406A" w:rsidRDefault="0084406A">
            <w:pPr>
              <w:jc w:val="center"/>
              <w:rPr>
                <w:rFonts w:ascii="宋体"/>
              </w:rPr>
            </w:pPr>
          </w:p>
        </w:tc>
      </w:tr>
      <w:tr w:rsidR="0084406A" w14:paraId="5902BA87" w14:textId="77777777">
        <w:trPr>
          <w:trHeight w:val="120"/>
        </w:trPr>
        <w:tc>
          <w:tcPr>
            <w:tcW w:w="0" w:type="auto"/>
            <w:gridSpan w:val="3"/>
            <w:shd w:val="clear" w:color="auto" w:fill="auto"/>
            <w:tcMar>
              <w:top w:w="0" w:type="dxa"/>
              <w:left w:w="20" w:type="dxa"/>
              <w:bottom w:w="0" w:type="dxa"/>
              <w:right w:w="20" w:type="dxa"/>
            </w:tcMar>
            <w:vAlign w:val="bottom"/>
          </w:tcPr>
          <w:p w14:paraId="5902BA83"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84"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85" w14:textId="77777777" w:rsidR="0084406A" w:rsidRDefault="0084406A">
            <w:pPr>
              <w:rPr>
                <w:rFonts w:ascii="宋体"/>
              </w:rPr>
            </w:pPr>
          </w:p>
        </w:tc>
        <w:tc>
          <w:tcPr>
            <w:tcW w:w="0" w:type="auto"/>
            <w:gridSpan w:val="6"/>
            <w:shd w:val="clear" w:color="auto" w:fill="auto"/>
            <w:tcMar>
              <w:top w:w="0" w:type="dxa"/>
              <w:left w:w="20" w:type="dxa"/>
              <w:bottom w:w="0" w:type="dxa"/>
              <w:right w:w="20" w:type="dxa"/>
            </w:tcMar>
            <w:vAlign w:val="bottom"/>
          </w:tcPr>
          <w:p w14:paraId="5902BA86" w14:textId="77777777" w:rsidR="0084406A" w:rsidRDefault="0084406A">
            <w:pPr>
              <w:rPr>
                <w:rFonts w:ascii="宋体"/>
              </w:rPr>
            </w:pPr>
          </w:p>
        </w:tc>
      </w:tr>
      <w:tr w:rsidR="0084406A" w14:paraId="5902BA8E" w14:textId="77777777">
        <w:trPr>
          <w:trHeight w:val="280"/>
        </w:trPr>
        <w:tc>
          <w:tcPr>
            <w:tcW w:w="0" w:type="auto"/>
            <w:gridSpan w:val="3"/>
            <w:shd w:val="clear" w:color="auto" w:fill="auto"/>
            <w:tcMar>
              <w:top w:w="0" w:type="dxa"/>
              <w:left w:w="20" w:type="dxa"/>
              <w:bottom w:w="0" w:type="dxa"/>
              <w:right w:w="20" w:type="dxa"/>
            </w:tcMar>
            <w:vAlign w:val="bottom"/>
          </w:tcPr>
          <w:p w14:paraId="5902BA8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8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8A" w14:textId="77777777" w:rsidR="0084406A" w:rsidRDefault="0084406A">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5902BA8B"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8C" w14:textId="77777777" w:rsidR="0084406A" w:rsidRDefault="0084406A">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5902BA8D" w14:textId="77777777" w:rsidR="0084406A" w:rsidRDefault="0084406A">
            <w:pPr>
              <w:rPr>
                <w:rFonts w:ascii="宋体"/>
              </w:rPr>
            </w:pPr>
          </w:p>
        </w:tc>
      </w:tr>
      <w:tr w:rsidR="0084406A" w14:paraId="5902BA95" w14:textId="77777777">
        <w:trPr>
          <w:trHeight w:val="240"/>
        </w:trPr>
        <w:tc>
          <w:tcPr>
            <w:tcW w:w="0" w:type="auto"/>
            <w:gridSpan w:val="3"/>
            <w:shd w:val="clear" w:color="auto" w:fill="auto"/>
            <w:tcMar>
              <w:top w:w="0" w:type="dxa"/>
              <w:left w:w="20" w:type="dxa"/>
              <w:bottom w:w="0" w:type="dxa"/>
              <w:right w:w="20" w:type="dxa"/>
            </w:tcMar>
            <w:vAlign w:val="bottom"/>
          </w:tcPr>
          <w:p w14:paraId="5902BA8F"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0"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91"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0" w:type="dxa"/>
              <w:left w:w="20" w:type="dxa"/>
              <w:bottom w:w="0" w:type="dxa"/>
              <w:right w:w="20" w:type="dxa"/>
            </w:tcMar>
            <w:vAlign w:val="bottom"/>
          </w:tcPr>
          <w:p w14:paraId="5902BA92" w14:textId="77777777" w:rsidR="0084406A" w:rsidRDefault="0084406A">
            <w:pPr>
              <w:rPr>
                <w:rFonts w:ascii="宋体"/>
              </w:rPr>
            </w:pPr>
          </w:p>
        </w:tc>
        <w:tc>
          <w:tcPr>
            <w:tcW w:w="0" w:type="auto"/>
            <w:gridSpan w:val="3"/>
            <w:shd w:val="clear" w:color="auto" w:fill="auto"/>
            <w:tcMar>
              <w:top w:w="40" w:type="dxa"/>
              <w:left w:w="20" w:type="dxa"/>
              <w:bottom w:w="40" w:type="dxa"/>
              <w:right w:w="20" w:type="dxa"/>
            </w:tcMar>
            <w:vAlign w:val="bottom"/>
          </w:tcPr>
          <w:p w14:paraId="5902BA93" w14:textId="77777777" w:rsidR="0084406A" w:rsidRDefault="002B18AF">
            <w:pPr>
              <w:textAlignment w:val="bottom"/>
            </w:pPr>
            <w:r>
              <w:rPr>
                <w:rFonts w:ascii="Arial" w:eastAsia="宋体" w:hAnsi="Arial" w:cs="Arial"/>
                <w:color w:val="000000"/>
                <w:sz w:val="16"/>
                <w:szCs w:val="16"/>
              </w:rPr>
              <w:t> </w:t>
            </w:r>
          </w:p>
        </w:tc>
        <w:tc>
          <w:tcPr>
            <w:tcW w:w="0" w:type="auto"/>
            <w:gridSpan w:val="3"/>
            <w:vMerge/>
            <w:shd w:val="clear" w:color="auto" w:fill="auto"/>
            <w:tcMar>
              <w:top w:w="0" w:type="dxa"/>
              <w:left w:w="20" w:type="dxa"/>
              <w:bottom w:w="0" w:type="dxa"/>
              <w:right w:w="20" w:type="dxa"/>
            </w:tcMar>
            <w:vAlign w:val="bottom"/>
          </w:tcPr>
          <w:p w14:paraId="5902BA94" w14:textId="77777777" w:rsidR="0084406A" w:rsidRDefault="0084406A">
            <w:pPr>
              <w:rPr>
                <w:rFonts w:ascii="宋体"/>
              </w:rPr>
            </w:pPr>
          </w:p>
        </w:tc>
      </w:tr>
      <w:tr w:rsidR="0084406A" w14:paraId="5902BA9C" w14:textId="77777777">
        <w:trPr>
          <w:trHeight w:val="100"/>
        </w:trPr>
        <w:tc>
          <w:tcPr>
            <w:tcW w:w="0" w:type="auto"/>
            <w:gridSpan w:val="3"/>
            <w:shd w:val="clear" w:color="auto" w:fill="auto"/>
            <w:tcMar>
              <w:top w:w="0" w:type="dxa"/>
              <w:left w:w="20" w:type="dxa"/>
              <w:bottom w:w="0" w:type="dxa"/>
              <w:right w:w="20" w:type="dxa"/>
            </w:tcMar>
            <w:vAlign w:val="bottom"/>
          </w:tcPr>
          <w:p w14:paraId="5902BA96"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7"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8"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9"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A" w14:textId="77777777" w:rsidR="0084406A" w:rsidRDefault="0084406A">
            <w:pPr>
              <w:rPr>
                <w:rFonts w:ascii="宋体"/>
              </w:rPr>
            </w:pPr>
          </w:p>
        </w:tc>
        <w:tc>
          <w:tcPr>
            <w:tcW w:w="0" w:type="auto"/>
            <w:gridSpan w:val="3"/>
            <w:shd w:val="clear" w:color="auto" w:fill="auto"/>
            <w:tcMar>
              <w:top w:w="0" w:type="dxa"/>
              <w:left w:w="20" w:type="dxa"/>
              <w:bottom w:w="0" w:type="dxa"/>
              <w:right w:w="20" w:type="dxa"/>
            </w:tcMar>
            <w:vAlign w:val="bottom"/>
          </w:tcPr>
          <w:p w14:paraId="5902BA9B" w14:textId="77777777" w:rsidR="0084406A" w:rsidRDefault="0084406A">
            <w:pPr>
              <w:rPr>
                <w:rFonts w:ascii="宋体"/>
              </w:rPr>
            </w:pPr>
          </w:p>
        </w:tc>
      </w:tr>
    </w:tbl>
    <w:p w14:paraId="5902BA9D" w14:textId="77777777" w:rsidR="0084406A" w:rsidRDefault="002B18AF">
      <w:r>
        <w:rPr>
          <w:rFonts w:ascii="Arial" w:eastAsia="宋体" w:hAnsi="Arial" w:cs="Arial"/>
          <w:color w:val="000000"/>
          <w:sz w:val="18"/>
          <w:szCs w:val="18"/>
        </w:rPr>
        <w:t> </w:t>
      </w:r>
    </w:p>
    <w:tbl>
      <w:tblPr>
        <w:tblW w:w="1901" w:type="pct"/>
        <w:tblCellMar>
          <w:top w:w="15" w:type="dxa"/>
          <w:left w:w="15" w:type="dxa"/>
          <w:bottom w:w="15" w:type="dxa"/>
          <w:right w:w="15" w:type="dxa"/>
        </w:tblCellMar>
        <w:tblLook w:val="04A0" w:firstRow="1" w:lastRow="0" w:firstColumn="1" w:lastColumn="0" w:noHBand="0" w:noVBand="1"/>
      </w:tblPr>
      <w:tblGrid>
        <w:gridCol w:w="37"/>
        <w:gridCol w:w="370"/>
        <w:gridCol w:w="36"/>
        <w:gridCol w:w="38"/>
        <w:gridCol w:w="2651"/>
        <w:gridCol w:w="37"/>
      </w:tblGrid>
      <w:tr w:rsidR="0084406A" w14:paraId="5902BAA4" w14:textId="77777777">
        <w:tc>
          <w:tcPr>
            <w:tcW w:w="50" w:type="pct"/>
            <w:shd w:val="clear" w:color="auto" w:fill="auto"/>
            <w:vAlign w:val="bottom"/>
          </w:tcPr>
          <w:p w14:paraId="5902BA9E" w14:textId="77777777" w:rsidR="0084406A" w:rsidRDefault="0084406A">
            <w:pPr>
              <w:rPr>
                <w:rFonts w:ascii="宋体"/>
              </w:rPr>
            </w:pPr>
          </w:p>
        </w:tc>
        <w:tc>
          <w:tcPr>
            <w:tcW w:w="560" w:type="pct"/>
            <w:shd w:val="clear" w:color="auto" w:fill="auto"/>
            <w:vAlign w:val="bottom"/>
          </w:tcPr>
          <w:p w14:paraId="5902BA9F" w14:textId="77777777" w:rsidR="0084406A" w:rsidRDefault="0084406A">
            <w:pPr>
              <w:rPr>
                <w:rFonts w:ascii="宋体"/>
              </w:rPr>
            </w:pPr>
          </w:p>
        </w:tc>
        <w:tc>
          <w:tcPr>
            <w:tcW w:w="5" w:type="pct"/>
            <w:shd w:val="clear" w:color="auto" w:fill="auto"/>
            <w:vAlign w:val="bottom"/>
          </w:tcPr>
          <w:p w14:paraId="5902BAA0" w14:textId="77777777" w:rsidR="0084406A" w:rsidRDefault="0084406A">
            <w:pPr>
              <w:rPr>
                <w:rFonts w:ascii="宋体"/>
              </w:rPr>
            </w:pPr>
          </w:p>
        </w:tc>
        <w:tc>
          <w:tcPr>
            <w:tcW w:w="50" w:type="pct"/>
            <w:shd w:val="clear" w:color="auto" w:fill="auto"/>
            <w:vAlign w:val="bottom"/>
          </w:tcPr>
          <w:p w14:paraId="5902BAA1" w14:textId="77777777" w:rsidR="0084406A" w:rsidRDefault="0084406A">
            <w:pPr>
              <w:rPr>
                <w:rFonts w:ascii="宋体"/>
              </w:rPr>
            </w:pPr>
          </w:p>
        </w:tc>
        <w:tc>
          <w:tcPr>
            <w:tcW w:w="4329" w:type="pct"/>
            <w:shd w:val="clear" w:color="auto" w:fill="auto"/>
            <w:vAlign w:val="bottom"/>
          </w:tcPr>
          <w:p w14:paraId="5902BAA2" w14:textId="77777777" w:rsidR="0084406A" w:rsidRDefault="0084406A">
            <w:pPr>
              <w:rPr>
                <w:rFonts w:ascii="宋体"/>
              </w:rPr>
            </w:pPr>
          </w:p>
        </w:tc>
        <w:tc>
          <w:tcPr>
            <w:tcW w:w="5" w:type="pct"/>
            <w:shd w:val="clear" w:color="auto" w:fill="auto"/>
            <w:vAlign w:val="bottom"/>
          </w:tcPr>
          <w:p w14:paraId="5902BAA3" w14:textId="77777777" w:rsidR="0084406A" w:rsidRDefault="0084406A">
            <w:pPr>
              <w:rPr>
                <w:rFonts w:ascii="宋体"/>
              </w:rPr>
            </w:pPr>
          </w:p>
        </w:tc>
      </w:tr>
      <w:tr w:rsidR="0084406A" w14:paraId="5902BAA7" w14:textId="77777777">
        <w:tc>
          <w:tcPr>
            <w:tcW w:w="0" w:type="auto"/>
            <w:gridSpan w:val="3"/>
            <w:shd w:val="clear" w:color="auto" w:fill="auto"/>
            <w:tcMar>
              <w:top w:w="40" w:type="dxa"/>
              <w:left w:w="20" w:type="dxa"/>
              <w:bottom w:w="40" w:type="dxa"/>
              <w:right w:w="20" w:type="dxa"/>
            </w:tcMar>
          </w:tcPr>
          <w:p w14:paraId="5902BAA5" w14:textId="77777777" w:rsidR="0084406A" w:rsidRDefault="002B18AF">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5902BAA6" w14:textId="77777777" w:rsidR="0084406A" w:rsidRDefault="002B18AF">
            <w:pPr>
              <w:textAlignment w:val="bottom"/>
            </w:pPr>
            <w:r>
              <w:rPr>
                <w:rFonts w:ascii="Arial" w:eastAsia="宋体" w:hAnsi="Arial" w:cs="Arial"/>
                <w:color w:val="000000"/>
                <w:sz w:val="20"/>
                <w:szCs w:val="20"/>
              </w:rPr>
              <w:t> /s/Devinder Kumar</w:t>
            </w:r>
          </w:p>
        </w:tc>
      </w:tr>
      <w:tr w:rsidR="0084406A" w14:paraId="5902BAAA" w14:textId="77777777">
        <w:tc>
          <w:tcPr>
            <w:tcW w:w="0" w:type="auto"/>
            <w:gridSpan w:val="3"/>
            <w:shd w:val="clear" w:color="auto" w:fill="auto"/>
            <w:tcMar>
              <w:top w:w="40" w:type="dxa"/>
              <w:left w:w="20" w:type="dxa"/>
              <w:bottom w:w="40" w:type="dxa"/>
              <w:right w:w="20" w:type="dxa"/>
            </w:tcMar>
            <w:vAlign w:val="bottom"/>
          </w:tcPr>
          <w:p w14:paraId="5902BAA8" w14:textId="77777777" w:rsidR="0084406A" w:rsidRDefault="002B18AF">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902BAA9" w14:textId="77777777" w:rsidR="0084406A" w:rsidRDefault="002B18AF">
            <w:pPr>
              <w:jc w:val="center"/>
              <w:textAlignment w:val="bottom"/>
            </w:pPr>
            <w:r>
              <w:rPr>
                <w:rFonts w:ascii="Arial" w:eastAsia="宋体" w:hAnsi="Arial" w:cs="Arial"/>
                <w:b/>
                <w:bCs/>
                <w:color w:val="000000"/>
                <w:sz w:val="20"/>
                <w:szCs w:val="20"/>
              </w:rPr>
              <w:t xml:space="preserve">Devinder Kumar, </w:t>
            </w:r>
            <w:r>
              <w:rPr>
                <w:rFonts w:ascii="Arial" w:eastAsia="宋体" w:hAnsi="Arial" w:cs="Arial"/>
                <w:b/>
                <w:bCs/>
                <w:color w:val="000000"/>
                <w:sz w:val="20"/>
                <w:szCs w:val="20"/>
              </w:rPr>
              <w:t>Attorney-in-Fact</w:t>
            </w:r>
          </w:p>
        </w:tc>
      </w:tr>
    </w:tbl>
    <w:p w14:paraId="5902BAAB" w14:textId="77777777" w:rsidR="0084406A" w:rsidRDefault="0084406A">
      <w:pPr>
        <w:jc w:val="right"/>
      </w:pPr>
    </w:p>
    <w:p w14:paraId="5902BAAC" w14:textId="77777777" w:rsidR="0084406A" w:rsidRDefault="002B18AF">
      <w:pPr>
        <w:jc w:val="center"/>
      </w:pPr>
      <w:r>
        <w:rPr>
          <w:rFonts w:ascii="Arial" w:eastAsia="宋体" w:hAnsi="Arial" w:cs="Arial"/>
          <w:color w:val="000000"/>
          <w:sz w:val="20"/>
          <w:szCs w:val="20"/>
        </w:rPr>
        <w:t>94</w:t>
      </w:r>
    </w:p>
    <w:p w14:paraId="5902BAAD" w14:textId="77777777" w:rsidR="0084406A" w:rsidRDefault="002B18A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902BB54" wp14:editId="5902BB55">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AF" w14:textId="77777777">
        <w:trPr>
          <w:tblCellSpacing w:w="15" w:type="dxa"/>
        </w:trPr>
        <w:tc>
          <w:tcPr>
            <w:tcW w:w="0" w:type="auto"/>
            <w:shd w:val="clear" w:color="auto" w:fill="auto"/>
            <w:vAlign w:val="center"/>
          </w:tcPr>
          <w:p w14:paraId="5902BAAE" w14:textId="77777777" w:rsidR="0084406A" w:rsidRDefault="0084406A">
            <w:pPr>
              <w:rPr>
                <w:rFonts w:ascii="宋体"/>
              </w:rPr>
            </w:pPr>
          </w:p>
        </w:tc>
      </w:tr>
    </w:tbl>
    <w:p w14:paraId="5902BAB0"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B2" w14:textId="77777777">
        <w:trPr>
          <w:tblCellSpacing w:w="15" w:type="dxa"/>
        </w:trPr>
        <w:tc>
          <w:tcPr>
            <w:tcW w:w="0" w:type="auto"/>
            <w:shd w:val="clear" w:color="auto" w:fill="auto"/>
            <w:vAlign w:val="center"/>
          </w:tcPr>
          <w:p w14:paraId="5902BAB1" w14:textId="77777777" w:rsidR="0084406A" w:rsidRDefault="0084406A">
            <w:pPr>
              <w:rPr>
                <w:rFonts w:ascii="宋体"/>
              </w:rPr>
            </w:pPr>
          </w:p>
        </w:tc>
      </w:tr>
    </w:tbl>
    <w:p w14:paraId="5902BAB3"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B5" w14:textId="77777777">
        <w:trPr>
          <w:tblCellSpacing w:w="15" w:type="dxa"/>
        </w:trPr>
        <w:tc>
          <w:tcPr>
            <w:tcW w:w="0" w:type="auto"/>
            <w:shd w:val="clear" w:color="auto" w:fill="auto"/>
            <w:vAlign w:val="center"/>
          </w:tcPr>
          <w:p w14:paraId="5902BAB4" w14:textId="77777777" w:rsidR="0084406A" w:rsidRDefault="0084406A">
            <w:pPr>
              <w:rPr>
                <w:rFonts w:ascii="宋体"/>
              </w:rPr>
            </w:pPr>
          </w:p>
        </w:tc>
      </w:tr>
    </w:tbl>
    <w:p w14:paraId="5902BAB6"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B8" w14:textId="77777777">
        <w:trPr>
          <w:tblCellSpacing w:w="15" w:type="dxa"/>
        </w:trPr>
        <w:tc>
          <w:tcPr>
            <w:tcW w:w="0" w:type="auto"/>
            <w:shd w:val="clear" w:color="auto" w:fill="auto"/>
            <w:vAlign w:val="center"/>
          </w:tcPr>
          <w:p w14:paraId="5902BAB7" w14:textId="77777777" w:rsidR="0084406A" w:rsidRDefault="0084406A">
            <w:pPr>
              <w:rPr>
                <w:rFonts w:ascii="宋体"/>
              </w:rPr>
            </w:pPr>
          </w:p>
        </w:tc>
      </w:tr>
    </w:tbl>
    <w:p w14:paraId="5902BAB9" w14:textId="77777777" w:rsidR="0084406A" w:rsidRDefault="002B18AF">
      <w:r>
        <w:rPr>
          <w:rFonts w:ascii="宋体" w:eastAsia="宋体" w:hAnsi="宋体" w:cs="宋体"/>
        </w:rPr>
        <w:t xml:space="preserve">Previous Next </w:t>
      </w:r>
    </w:p>
    <w:p w14:paraId="5902BABA" w14:textId="77777777" w:rsidR="0084406A" w:rsidRDefault="002B18AF">
      <w:pPr>
        <w:pStyle w:val="a3"/>
      </w:pPr>
      <w:r>
        <w:t>Settings</w:t>
      </w:r>
    </w:p>
    <w:p w14:paraId="5902BABB" w14:textId="77777777" w:rsidR="0084406A" w:rsidRDefault="002B18AF">
      <w:pPr>
        <w:pStyle w:val="Style4"/>
      </w:pPr>
      <w:r>
        <w:t>窗体顶端</w:t>
      </w:r>
    </w:p>
    <w:p w14:paraId="5902BABC" w14:textId="77777777" w:rsidR="0084406A" w:rsidRDefault="002B18A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902BB56" wp14:editId="5902BB57">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5902BABD" w14:textId="77777777" w:rsidR="0084406A" w:rsidRDefault="002B18A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902BB58" wp14:editId="5902BB59">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902BABE" w14:textId="77777777" w:rsidR="0084406A" w:rsidRDefault="002B18AF">
      <w:r>
        <w:pict w14:anchorId="5902BB5A">
          <v:rect id="_x0000_i1121" style="width:415.3pt;height:1.5pt" o:hralign="center" o:hrstd="t" o:hr="t" fillcolor="#a0a0a0" stroked="f"/>
        </w:pict>
      </w:r>
    </w:p>
    <w:p w14:paraId="5902BABF" w14:textId="77777777" w:rsidR="0084406A" w:rsidRDefault="002B18AF">
      <w:r>
        <w:rPr>
          <w:rFonts w:ascii="宋体" w:eastAsia="宋体" w:hAnsi="宋体" w:cs="宋体"/>
        </w:rPr>
        <w:t xml:space="preserve">Tagged Data </w:t>
      </w:r>
    </w:p>
    <w:p w14:paraId="5902BAC0" w14:textId="77777777" w:rsidR="0084406A" w:rsidRDefault="002B18AF">
      <w:r>
        <w:rPr>
          <w:rFonts w:ascii="monospace" w:eastAsia="monospace" w:hAnsi="monospace" w:cs="monospace"/>
          <w:noProof/>
        </w:rPr>
        <mc:AlternateContent>
          <mc:Choice Requires="wps">
            <w:drawing>
              <wp:inline distT="0" distB="0" distL="114300" distR="114300" wp14:anchorId="5902BB5B" wp14:editId="5902BB5C">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5902BAC1" w14:textId="77777777" w:rsidR="0084406A" w:rsidRDefault="002B18AF">
      <w:r>
        <w:rPr>
          <w:rFonts w:ascii="宋体" w:eastAsia="宋体" w:hAnsi="宋体" w:cs="宋体"/>
        </w:rPr>
        <w:t>Save</w:t>
      </w:r>
    </w:p>
    <w:p w14:paraId="5902BAC2" w14:textId="77777777" w:rsidR="0084406A" w:rsidRDefault="002B18AF">
      <w:r>
        <w:rPr>
          <w:rFonts w:ascii="宋体" w:eastAsia="宋体" w:hAnsi="宋体" w:cs="宋体"/>
        </w:rPr>
        <w:t>Reset</w:t>
      </w:r>
    </w:p>
    <w:p w14:paraId="5902BAC3" w14:textId="77777777" w:rsidR="0084406A" w:rsidRDefault="002B18AF">
      <w:r>
        <w:pict w14:anchorId="5902BB5D">
          <v:rect id="_x0000_i1122" style="width:415.3pt;height:1.5pt" o:hralign="center" o:hrstd="t" o:hr="t" fillcolor="#a0a0a0" stroked="f"/>
        </w:pict>
      </w:r>
    </w:p>
    <w:p w14:paraId="5902BAC4" w14:textId="77777777" w:rsidR="0084406A" w:rsidRDefault="002B18AF">
      <w:r>
        <w:rPr>
          <w:rFonts w:ascii="宋体" w:eastAsia="宋体" w:hAnsi="宋体" w:cs="宋体"/>
        </w:rPr>
        <w:t xml:space="preserve">Search Results </w:t>
      </w:r>
    </w:p>
    <w:p w14:paraId="5902BAC5" w14:textId="77777777" w:rsidR="0084406A" w:rsidRDefault="002B18AF">
      <w:r>
        <w:rPr>
          <w:rFonts w:ascii="monospace" w:eastAsia="monospace" w:hAnsi="monospace" w:cs="monospace"/>
          <w:noProof/>
        </w:rPr>
        <mc:AlternateContent>
          <mc:Choice Requires="wps">
            <w:drawing>
              <wp:inline distT="0" distB="0" distL="114300" distR="114300" wp14:anchorId="5902BB5E" wp14:editId="5902BB5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14:paraId="5902BAC6" w14:textId="77777777" w:rsidR="0084406A" w:rsidRDefault="002B18AF">
      <w:r>
        <w:rPr>
          <w:rFonts w:ascii="宋体" w:eastAsia="宋体" w:hAnsi="宋体" w:cs="宋体"/>
        </w:rPr>
        <w:t>Save</w:t>
      </w:r>
    </w:p>
    <w:p w14:paraId="5902BAC7" w14:textId="77777777" w:rsidR="0084406A" w:rsidRDefault="002B18AF">
      <w:r>
        <w:rPr>
          <w:rFonts w:ascii="宋体" w:eastAsia="宋体" w:hAnsi="宋体" w:cs="宋体"/>
        </w:rPr>
        <w:t>Reset</w:t>
      </w:r>
    </w:p>
    <w:p w14:paraId="5902BAC8" w14:textId="77777777" w:rsidR="0084406A" w:rsidRDefault="002B18AF">
      <w:r>
        <w:pict w14:anchorId="5902BB60">
          <v:rect id="_x0000_i1123" style="width:415.3pt;height:1.5pt" o:hralign="center" o:hrstd="t" o:hr="t" fillcolor="#a0a0a0" stroked="f"/>
        </w:pict>
      </w:r>
    </w:p>
    <w:p w14:paraId="5902BAC9" w14:textId="77777777" w:rsidR="0084406A" w:rsidRDefault="002B18AF">
      <w:r>
        <w:rPr>
          <w:rFonts w:ascii="宋体" w:eastAsia="宋体" w:hAnsi="宋体" w:cs="宋体"/>
        </w:rPr>
        <w:t xml:space="preserve">Selected Fact </w:t>
      </w:r>
    </w:p>
    <w:p w14:paraId="5902BACA" w14:textId="77777777" w:rsidR="0084406A" w:rsidRDefault="002B18AF">
      <w:r>
        <w:rPr>
          <w:rFonts w:ascii="monospace" w:eastAsia="monospace" w:hAnsi="monospace" w:cs="monospace"/>
          <w:noProof/>
        </w:rPr>
        <mc:AlternateContent>
          <mc:Choice Requires="wps">
            <w:drawing>
              <wp:inline distT="0" distB="0" distL="114300" distR="114300" wp14:anchorId="5902BB61" wp14:editId="5902BB62">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p w14:paraId="5902BACB" w14:textId="77777777" w:rsidR="0084406A" w:rsidRDefault="002B18AF">
      <w:r>
        <w:rPr>
          <w:rFonts w:ascii="宋体" w:eastAsia="宋体" w:hAnsi="宋体" w:cs="宋体"/>
        </w:rPr>
        <w:t>Save</w:t>
      </w:r>
    </w:p>
    <w:p w14:paraId="5902BACC" w14:textId="77777777" w:rsidR="0084406A" w:rsidRDefault="002B18AF">
      <w:r>
        <w:rPr>
          <w:rFonts w:ascii="宋体" w:eastAsia="宋体" w:hAnsi="宋体" w:cs="宋体"/>
        </w:rPr>
        <w:t>Reset</w:t>
      </w:r>
    </w:p>
    <w:p w14:paraId="5902BACD" w14:textId="77777777" w:rsidR="0084406A" w:rsidRDefault="002B18AF">
      <w:r>
        <w:pict w14:anchorId="5902BB63">
          <v:rect id="_x0000_i1124" style="width:415.3pt;height:1.5pt" o:hralign="center" o:hrstd="t" o:hr="t" fillcolor="#a0a0a0" stroked="f"/>
        </w:pict>
      </w:r>
    </w:p>
    <w:p w14:paraId="5902BACE" w14:textId="77777777" w:rsidR="0084406A" w:rsidRDefault="002B18AF">
      <w:r>
        <w:rPr>
          <w:rFonts w:ascii="宋体" w:eastAsia="宋体" w:hAnsi="宋体" w:cs="宋体"/>
        </w:rPr>
        <w:t xml:space="preserve">Tag Shading (hover) </w:t>
      </w:r>
    </w:p>
    <w:p w14:paraId="5902BACF" w14:textId="77777777" w:rsidR="0084406A" w:rsidRDefault="002B18AF">
      <w:r>
        <w:rPr>
          <w:rFonts w:ascii="monospace" w:eastAsia="monospace" w:hAnsi="monospace" w:cs="monospace"/>
          <w:noProof/>
        </w:rPr>
        <mc:AlternateContent>
          <mc:Choice Requires="wps">
            <w:drawing>
              <wp:inline distT="0" distB="0" distL="114300" distR="114300" wp14:anchorId="5902BB64" wp14:editId="5902BB65">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path/>
                <v:fill on="f" focussize="0,0"/>
                <v:stroke/>
                <v:imagedata o:title=""/>
                <o:lock v:ext="edit" aspectratio="t"/>
                <w10:wrap type="none"/>
                <w10:anchorlock/>
              </v:rect>
            </w:pict>
          </mc:Fallback>
        </mc:AlternateContent>
      </w:r>
    </w:p>
    <w:p w14:paraId="5902BAD0" w14:textId="77777777" w:rsidR="0084406A" w:rsidRDefault="002B18AF">
      <w:r>
        <w:rPr>
          <w:rFonts w:ascii="宋体" w:eastAsia="宋体" w:hAnsi="宋体" w:cs="宋体"/>
        </w:rPr>
        <w:t>Save</w:t>
      </w:r>
    </w:p>
    <w:p w14:paraId="5902BAD1" w14:textId="77777777" w:rsidR="0084406A" w:rsidRDefault="002B18AF">
      <w:r>
        <w:rPr>
          <w:rFonts w:ascii="宋体" w:eastAsia="宋体" w:hAnsi="宋体" w:cs="宋体"/>
        </w:rPr>
        <w:t>Reset</w:t>
      </w:r>
    </w:p>
    <w:p w14:paraId="5902BAD2" w14:textId="77777777" w:rsidR="0084406A" w:rsidRDefault="002B18AF">
      <w:pPr>
        <w:pStyle w:val="Style5"/>
      </w:pPr>
      <w:r>
        <w:t>窗体底端</w:t>
      </w:r>
    </w:p>
    <w:p w14:paraId="5902BAD3" w14:textId="77777777" w:rsidR="0084406A" w:rsidRDefault="002B18A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902BB66" wp14:editId="5902BB67">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D5" w14:textId="77777777">
        <w:trPr>
          <w:tblCellSpacing w:w="15" w:type="dxa"/>
        </w:trPr>
        <w:tc>
          <w:tcPr>
            <w:tcW w:w="0" w:type="auto"/>
            <w:shd w:val="clear" w:color="auto" w:fill="auto"/>
            <w:vAlign w:val="center"/>
          </w:tcPr>
          <w:p w14:paraId="5902BAD4" w14:textId="77777777" w:rsidR="0084406A" w:rsidRDefault="0084406A">
            <w:pPr>
              <w:rPr>
                <w:rFonts w:ascii="宋体"/>
              </w:rPr>
            </w:pPr>
          </w:p>
        </w:tc>
      </w:tr>
    </w:tbl>
    <w:p w14:paraId="5902BAD6"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D8" w14:textId="77777777">
        <w:trPr>
          <w:tblCellSpacing w:w="15" w:type="dxa"/>
        </w:trPr>
        <w:tc>
          <w:tcPr>
            <w:tcW w:w="0" w:type="auto"/>
            <w:shd w:val="clear" w:color="auto" w:fill="auto"/>
            <w:vAlign w:val="center"/>
          </w:tcPr>
          <w:p w14:paraId="5902BAD7" w14:textId="77777777" w:rsidR="0084406A" w:rsidRDefault="0084406A">
            <w:pPr>
              <w:rPr>
                <w:rFonts w:ascii="宋体"/>
              </w:rPr>
            </w:pPr>
          </w:p>
        </w:tc>
      </w:tr>
    </w:tbl>
    <w:p w14:paraId="5902BAD9"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DB" w14:textId="77777777">
        <w:trPr>
          <w:tblCellSpacing w:w="15" w:type="dxa"/>
        </w:trPr>
        <w:tc>
          <w:tcPr>
            <w:tcW w:w="0" w:type="auto"/>
            <w:shd w:val="clear" w:color="auto" w:fill="auto"/>
            <w:vAlign w:val="center"/>
          </w:tcPr>
          <w:p w14:paraId="5902BADA" w14:textId="77777777" w:rsidR="0084406A" w:rsidRDefault="0084406A">
            <w:pPr>
              <w:rPr>
                <w:rFonts w:ascii="宋体"/>
              </w:rPr>
            </w:pPr>
          </w:p>
        </w:tc>
      </w:tr>
    </w:tbl>
    <w:p w14:paraId="5902BADC"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DE" w14:textId="77777777">
        <w:trPr>
          <w:tblCellSpacing w:w="15" w:type="dxa"/>
        </w:trPr>
        <w:tc>
          <w:tcPr>
            <w:tcW w:w="0" w:type="auto"/>
            <w:shd w:val="clear" w:color="auto" w:fill="auto"/>
            <w:vAlign w:val="center"/>
          </w:tcPr>
          <w:p w14:paraId="5902BADD" w14:textId="77777777" w:rsidR="0084406A" w:rsidRDefault="0084406A">
            <w:pPr>
              <w:rPr>
                <w:rFonts w:ascii="宋体"/>
              </w:rPr>
            </w:pPr>
          </w:p>
        </w:tc>
      </w:tr>
    </w:tbl>
    <w:p w14:paraId="5902BADF" w14:textId="77777777" w:rsidR="0084406A" w:rsidRDefault="002B18AF">
      <w:r>
        <w:rPr>
          <w:rFonts w:ascii="宋体" w:eastAsia="宋体" w:hAnsi="宋体" w:cs="宋体"/>
        </w:rPr>
        <w:t xml:space="preserve">Previous Next </w:t>
      </w:r>
    </w:p>
    <w:p w14:paraId="5902BAE0" w14:textId="77777777" w:rsidR="0084406A" w:rsidRDefault="002B18AF">
      <w:pPr>
        <w:pStyle w:val="a3"/>
      </w:pPr>
      <w:r>
        <w:t xml:space="preserve">Nested Facts / </w:t>
      </w:r>
    </w:p>
    <w:p w14:paraId="5902BAE1" w14:textId="77777777" w:rsidR="0084406A" w:rsidRDefault="002B18AF">
      <w:r>
        <w:rPr>
          <w:rFonts w:ascii="宋体" w:eastAsia="宋体" w:hAnsi="宋体" w:cs="宋体"/>
        </w:rPr>
        <w:t xml:space="preserve">Previous Next </w:t>
      </w:r>
    </w:p>
    <w:p w14:paraId="5902BAE2" w14:textId="77777777" w:rsidR="0084406A" w:rsidRDefault="002B18A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902BB68" wp14:editId="5902BB69">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E4" w14:textId="77777777">
        <w:trPr>
          <w:tblCellSpacing w:w="15" w:type="dxa"/>
        </w:trPr>
        <w:tc>
          <w:tcPr>
            <w:tcW w:w="0" w:type="auto"/>
            <w:shd w:val="clear" w:color="auto" w:fill="auto"/>
            <w:vAlign w:val="center"/>
          </w:tcPr>
          <w:p w14:paraId="5902BAE3" w14:textId="77777777" w:rsidR="0084406A" w:rsidRDefault="0084406A">
            <w:pPr>
              <w:rPr>
                <w:rFonts w:ascii="宋体"/>
              </w:rPr>
            </w:pPr>
          </w:p>
        </w:tc>
      </w:tr>
    </w:tbl>
    <w:p w14:paraId="5902BAE5"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E7" w14:textId="77777777">
        <w:trPr>
          <w:tblCellSpacing w:w="15" w:type="dxa"/>
        </w:trPr>
        <w:tc>
          <w:tcPr>
            <w:tcW w:w="0" w:type="auto"/>
            <w:shd w:val="clear" w:color="auto" w:fill="auto"/>
            <w:vAlign w:val="center"/>
          </w:tcPr>
          <w:p w14:paraId="5902BAE6" w14:textId="77777777" w:rsidR="0084406A" w:rsidRDefault="0084406A">
            <w:pPr>
              <w:rPr>
                <w:rFonts w:ascii="宋体"/>
              </w:rPr>
            </w:pPr>
          </w:p>
        </w:tc>
      </w:tr>
    </w:tbl>
    <w:p w14:paraId="5902BAE8"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EA" w14:textId="77777777">
        <w:trPr>
          <w:tblCellSpacing w:w="15" w:type="dxa"/>
        </w:trPr>
        <w:tc>
          <w:tcPr>
            <w:tcW w:w="0" w:type="auto"/>
            <w:shd w:val="clear" w:color="auto" w:fill="auto"/>
            <w:vAlign w:val="center"/>
          </w:tcPr>
          <w:p w14:paraId="5902BAE9" w14:textId="77777777" w:rsidR="0084406A" w:rsidRDefault="0084406A">
            <w:pPr>
              <w:rPr>
                <w:rFonts w:ascii="宋体"/>
              </w:rPr>
            </w:pPr>
          </w:p>
        </w:tc>
      </w:tr>
    </w:tbl>
    <w:p w14:paraId="5902BAEB" w14:textId="77777777" w:rsidR="0084406A" w:rsidRDefault="0084406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406A" w14:paraId="5902BAED" w14:textId="77777777">
        <w:trPr>
          <w:tblCellSpacing w:w="15" w:type="dxa"/>
        </w:trPr>
        <w:tc>
          <w:tcPr>
            <w:tcW w:w="0" w:type="auto"/>
            <w:shd w:val="clear" w:color="auto" w:fill="auto"/>
            <w:vAlign w:val="center"/>
          </w:tcPr>
          <w:p w14:paraId="5902BAEC" w14:textId="77777777" w:rsidR="0084406A" w:rsidRDefault="0084406A">
            <w:pPr>
              <w:rPr>
                <w:rFonts w:ascii="宋体"/>
              </w:rPr>
            </w:pPr>
          </w:p>
        </w:tc>
      </w:tr>
    </w:tbl>
    <w:p w14:paraId="5902BAEE" w14:textId="77777777" w:rsidR="0084406A" w:rsidRDefault="002B18AF">
      <w:r>
        <w:rPr>
          <w:rFonts w:ascii="宋体" w:eastAsia="宋体" w:hAnsi="宋体" w:cs="宋体"/>
        </w:rPr>
        <w:t xml:space="preserve">Previous Next </w:t>
      </w:r>
    </w:p>
    <w:p w14:paraId="5902BAEF" w14:textId="77777777" w:rsidR="0084406A" w:rsidRDefault="0084406A"/>
    <w:sectPr w:rsidR="0084406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DCE7" w14:textId="77777777" w:rsidR="002B18AF" w:rsidRDefault="002B18AF" w:rsidP="002B18AF">
      <w:r>
        <w:separator/>
      </w:r>
    </w:p>
  </w:endnote>
  <w:endnote w:type="continuationSeparator" w:id="0">
    <w:p w14:paraId="13F4B726" w14:textId="77777777" w:rsidR="002B18AF" w:rsidRDefault="002B18AF" w:rsidP="002B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4C53" w14:textId="77777777" w:rsidR="002B18AF" w:rsidRDefault="002B18AF" w:rsidP="002B18AF">
      <w:r>
        <w:separator/>
      </w:r>
    </w:p>
  </w:footnote>
  <w:footnote w:type="continuationSeparator" w:id="0">
    <w:p w14:paraId="354BAEFB" w14:textId="77777777" w:rsidR="002B18AF" w:rsidRDefault="002B18AF" w:rsidP="002B18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DFFEC5"/>
    <w:rsid w:val="002B18AF"/>
    <w:rsid w:val="0084406A"/>
    <w:rsid w:val="76DFF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0297C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B18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B18AF"/>
    <w:rPr>
      <w:rFonts w:cs="Times New Roman"/>
      <w:sz w:val="18"/>
      <w:szCs w:val="18"/>
    </w:rPr>
  </w:style>
  <w:style w:type="paragraph" w:styleId="a8">
    <w:name w:val="footer"/>
    <w:basedOn w:val="a"/>
    <w:link w:val="a9"/>
    <w:rsid w:val="002B18AF"/>
    <w:pPr>
      <w:tabs>
        <w:tab w:val="center" w:pos="4153"/>
        <w:tab w:val="right" w:pos="8306"/>
      </w:tabs>
      <w:snapToGrid w:val="0"/>
    </w:pPr>
    <w:rPr>
      <w:sz w:val="18"/>
      <w:szCs w:val="18"/>
    </w:rPr>
  </w:style>
  <w:style w:type="character" w:customStyle="1" w:styleId="a9">
    <w:name w:val="页脚 字符"/>
    <w:basedOn w:val="a0"/>
    <w:link w:val="a8"/>
    <w:rsid w:val="002B18A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488/000119312509236705/dex102.htm" TargetMode="External"/><Relationship Id="rId21" Type="http://schemas.openxmlformats.org/officeDocument/2006/relationships/hyperlink" Target="https://www.sec.gov/ix?doc=/Archives/edgar/data/0000002488/000000248822000016/amd-20211225.htm" TargetMode="External"/><Relationship Id="rId42" Type="http://schemas.openxmlformats.org/officeDocument/2006/relationships/hyperlink" Target="https://www.sec.gov/ix?doc=/Archives/edgar/data/0000002488/000000248822000016/amd-20211225.htm" TargetMode="External"/><Relationship Id="rId63" Type="http://schemas.openxmlformats.org/officeDocument/2006/relationships/hyperlink" Target="https://www.sec.gov/ix?doc=/Archives/edgar/data/0000002488/000000248822000016/amd-20211225.htm" TargetMode="External"/><Relationship Id="rId84" Type="http://schemas.openxmlformats.org/officeDocument/2006/relationships/hyperlink" Target="https://www.sec.gov/ix?doc=/Archives/edgar/data/0000002488/000000248822000016/amd-20211225.htm" TargetMode="External"/><Relationship Id="rId138" Type="http://schemas.openxmlformats.org/officeDocument/2006/relationships/hyperlink" Target="http://www.sec.gov/Archives/edgar/data/2488/000000248818000042/ex10100-10kfy17.htm" TargetMode="External"/><Relationship Id="rId159" Type="http://schemas.openxmlformats.org/officeDocument/2006/relationships/hyperlink" Target="https://www.sec.gov/Archives/edgar/data/2488/000000248820000164/ex105amdq310q20.htm" TargetMode="External"/><Relationship Id="rId170" Type="http://schemas.openxmlformats.org/officeDocument/2006/relationships/hyperlink" Target="https://www.sec.gov/Archives/edgar/data/2488/000000248821000116/exh10_2rsu2021agreementsvp.htm" TargetMode="External"/><Relationship Id="rId107" Type="http://schemas.openxmlformats.org/officeDocument/2006/relationships/hyperlink" Target="https://www.sec.gov/Archives/edgar/data/2488/000119312512129772/d320685dex101.htm" TargetMode="External"/><Relationship Id="rId11" Type="http://schemas.openxmlformats.org/officeDocument/2006/relationships/hyperlink" Target="https://www.sec.gov/ix?doc=/Archives/edgar/data/0000002488/000000248822000016/amd-20211225.htm" TargetMode="External"/><Relationship Id="rId32" Type="http://schemas.openxmlformats.org/officeDocument/2006/relationships/hyperlink" Target="https://www.sec.gov/ix?doc=/Archives/edgar/data/0000002488/000000248822000016/amd-20211225.htm" TargetMode="External"/><Relationship Id="rId53" Type="http://schemas.openxmlformats.org/officeDocument/2006/relationships/hyperlink" Target="https://www.sec.gov/ix?doc=/Archives/edgar/data/0000002488/000000248822000016/amd-20211225.htm" TargetMode="External"/><Relationship Id="rId74" Type="http://schemas.openxmlformats.org/officeDocument/2006/relationships/hyperlink" Target="https://www.sec.gov/ix?doc=/Archives/edgar/data/0000002488/000000248822000016/amd-20211225.htm" TargetMode="External"/><Relationship Id="rId128" Type="http://schemas.openxmlformats.org/officeDocument/2006/relationships/hyperlink" Target="http://www.sec.gov/Archives/edgar/data/2488/000000248816000111/exhibit1079svprsuagreement.htm" TargetMode="External"/><Relationship Id="rId149" Type="http://schemas.openxmlformats.org/officeDocument/2006/relationships/hyperlink" Target="https://www.sec.gov/Archives/edgar/data/2488/000000248819000159/exh106amdeipamend82119.htm" TargetMode="External"/><Relationship Id="rId5" Type="http://schemas.openxmlformats.org/officeDocument/2006/relationships/endnotes" Target="endnotes.xml"/><Relationship Id="rId95" Type="http://schemas.openxmlformats.org/officeDocument/2006/relationships/hyperlink" Target="https://www.sec.gov/ix?doc=/Archives/edgar/data/0000002488/000000248822000016/amd-20211225.htm" TargetMode="External"/><Relationship Id="rId160" Type="http://schemas.openxmlformats.org/officeDocument/2006/relationships/hyperlink" Target="https://www.sec.gov/Archives/edgar/data/2488/000000248820000164/exh106amdq310q20.htm" TargetMode="External"/><Relationship Id="rId181" Type="http://schemas.openxmlformats.org/officeDocument/2006/relationships/fontTable" Target="fontTable.xml"/><Relationship Id="rId22" Type="http://schemas.openxmlformats.org/officeDocument/2006/relationships/hyperlink" Target="https://www.sec.gov/ix?doc=/Archives/edgar/data/0000002488/000000248822000016/amd-20211225.htm" TargetMode="External"/><Relationship Id="rId43" Type="http://schemas.openxmlformats.org/officeDocument/2006/relationships/hyperlink" Target="https://www.sec.gov/ix?doc=/Archives/edgar/data/0000002488/000000248822000016/amd-20211225.htm" TargetMode="External"/><Relationship Id="rId64" Type="http://schemas.openxmlformats.org/officeDocument/2006/relationships/hyperlink" Target="https://www.sec.gov/ix?doc=/Archives/edgar/data/0000002488/000000248822000016/amd-20211225.htm" TargetMode="External"/><Relationship Id="rId118" Type="http://schemas.openxmlformats.org/officeDocument/2006/relationships/hyperlink" Target="http://www.sec.gov/Archives/edgar/data/2488/000119312513201635/d528331dex102.htm" TargetMode="External"/><Relationship Id="rId139" Type="http://schemas.openxmlformats.org/officeDocument/2006/relationships/hyperlink" Target="http://www.sec.gov/Archives/edgar/data/2488/000000248818000042/ex10101-10kfy17.htm" TargetMode="External"/><Relationship Id="rId85" Type="http://schemas.openxmlformats.org/officeDocument/2006/relationships/hyperlink" Target="https://www.sec.gov/ix?doc=/Archives/edgar/data/0000002488/000000248822000016/amd-20211225.htm" TargetMode="External"/><Relationship Id="rId150" Type="http://schemas.openxmlformats.org/officeDocument/2006/relationships/hyperlink" Target="https://www.sec.gov/Archives/edgar/data/2488/000000248819000159/exh1072004eipamend8212.htm" TargetMode="External"/><Relationship Id="rId171" Type="http://schemas.openxmlformats.org/officeDocument/2006/relationships/hyperlink" Target="https://www.sec.gov/Archives/edgar/data/2488/000000248821000116/exh10_3stockoption2021agre.htm" TargetMode="External"/><Relationship Id="rId12" Type="http://schemas.openxmlformats.org/officeDocument/2006/relationships/hyperlink" Target="https://www.sec.gov/ix?doc=/Archives/edgar/data/0000002488/000000248822000016/amd-20211225.htm" TargetMode="External"/><Relationship Id="rId33" Type="http://schemas.openxmlformats.org/officeDocument/2006/relationships/hyperlink" Target="https://www.sec.gov/ix?doc=/Archives/edgar/data/0000002488/000000248822000016/amd-20211225.htm" TargetMode="External"/><Relationship Id="rId108" Type="http://schemas.openxmlformats.org/officeDocument/2006/relationships/hyperlink" Target="http://www.sec.gov/Archives/edgar/data/2488/000119312513256167/d552190dex101.htm" TargetMode="External"/><Relationship Id="rId129" Type="http://schemas.openxmlformats.org/officeDocument/2006/relationships/hyperlink" Target="http://www.sec.gov/Archives/edgar/data/2488/000000248816000111/exhibit1080svpprsuagreemen.htm" TargetMode="External"/><Relationship Id="rId54" Type="http://schemas.openxmlformats.org/officeDocument/2006/relationships/hyperlink" Target="https://www.sec.gov/ix?doc=/Archives/edgar/data/0000002488/000000248822000016/amd-20211225.htm" TargetMode="External"/><Relationship Id="rId75" Type="http://schemas.openxmlformats.org/officeDocument/2006/relationships/hyperlink" Target="https://www.sec.gov/ix?doc=/Archives/edgar/data/0000002488/000000248822000016/amd-20211225.htm" TargetMode="External"/><Relationship Id="rId96" Type="http://schemas.openxmlformats.org/officeDocument/2006/relationships/hyperlink" Target="https://www.sec.gov/ix?doc=/Archives/edgar/data/0000002488/000000248822000016/amd-20211225.htm" TargetMode="External"/><Relationship Id="rId140" Type="http://schemas.openxmlformats.org/officeDocument/2006/relationships/hyperlink" Target="http://www.sec.gov/Archives/edgar/data/2488/000000248818000068/exh101eip-amend02082018.htm" TargetMode="External"/><Relationship Id="rId161" Type="http://schemas.openxmlformats.org/officeDocument/2006/relationships/hyperlink" Target="https://www.sec.gov/Archives/edgar/data/2488/000000248820000164/exh107amdq310q20.htm" TargetMode="External"/><Relationship Id="rId182" Type="http://schemas.openxmlformats.org/officeDocument/2006/relationships/theme" Target="theme/theme1.xml"/><Relationship Id="rId23" Type="http://schemas.openxmlformats.org/officeDocument/2006/relationships/hyperlink" Target="https://www.sec.gov/ix?doc=/Archives/edgar/data/0000002488/000000248822000016/amd-20211225.htm" TargetMode="External"/><Relationship Id="rId119" Type="http://schemas.openxmlformats.org/officeDocument/2006/relationships/hyperlink" Target="http://www.sec.gov/Archives/edgar/data/2488/000119312513201635/d528331dex103.htm" TargetMode="External"/><Relationship Id="rId44" Type="http://schemas.openxmlformats.org/officeDocument/2006/relationships/hyperlink" Target="https://www.sec.gov/ix?doc=/Archives/edgar/data/0000002488/000000248822000016/amd-20211225.htm" TargetMode="External"/><Relationship Id="rId60" Type="http://schemas.openxmlformats.org/officeDocument/2006/relationships/hyperlink" Target="https://www.sec.gov/ix?doc=/Archives/edgar/data/0000002488/000000248822000016/amd-20211225.htm" TargetMode="External"/><Relationship Id="rId65" Type="http://schemas.openxmlformats.org/officeDocument/2006/relationships/hyperlink" Target="https://www.sec.gov/ix?doc=/Archives/edgar/data/0000002488/000000248822000016/amd-20211225.htm" TargetMode="External"/><Relationship Id="rId81" Type="http://schemas.openxmlformats.org/officeDocument/2006/relationships/hyperlink" Target="https://www.sec.gov/ix?doc=/Archives/edgar/data/0000002488/000000248822000016/amd-20211225.htm" TargetMode="External"/><Relationship Id="rId86" Type="http://schemas.openxmlformats.org/officeDocument/2006/relationships/hyperlink" Target="https://www.sec.gov/ix?doc=/Archives/edgar/data/0000002488/000000248822000016/amd-20211225.htm" TargetMode="External"/><Relationship Id="rId130" Type="http://schemas.openxmlformats.org/officeDocument/2006/relationships/hyperlink" Target="http://www.sec.gov/Archives/edgar/data/2488/000000248817000043/exhibit1088formglobalstock.htm" TargetMode="External"/><Relationship Id="rId135" Type="http://schemas.openxmlformats.org/officeDocument/2006/relationships/hyperlink" Target="http://www.sec.gov/Archives/edgar/data/2488/000000248818000189/exh101amd-esppx82318final.htm" TargetMode="External"/><Relationship Id="rId151" Type="http://schemas.openxmlformats.org/officeDocument/2006/relationships/hyperlink" Target="https://www.sec.gov/Archives/edgar/data/2488/000000248820000051/exh101amdoutdireqcompp.htm" TargetMode="External"/><Relationship Id="rId156" Type="http://schemas.openxmlformats.org/officeDocument/2006/relationships/hyperlink" Target="https://www.sec.gov/Archives/edgar/data/2488/000000248820000164/ex102amdq310q20.htm" TargetMode="External"/><Relationship Id="rId177" Type="http://schemas.openxmlformats.org/officeDocument/2006/relationships/hyperlink" Target="https://www.sec.gov/Archives/edgar/data/0000002488/000000248822000016/ex311-10kfy21.htm" TargetMode="External"/><Relationship Id="rId172" Type="http://schemas.openxmlformats.org/officeDocument/2006/relationships/hyperlink" Target="https://www.sec.gov/Archives/edgar/data/2488/000000248821000116/exh10_4amd-wsaamendment7ar.htm" TargetMode="External"/><Relationship Id="rId13" Type="http://schemas.openxmlformats.org/officeDocument/2006/relationships/hyperlink" Target="https://www.sec.gov/ix?doc=/Archives/edgar/data/0000002488/000000248822000016/amd-20211225.htm" TargetMode="External"/><Relationship Id="rId18" Type="http://schemas.openxmlformats.org/officeDocument/2006/relationships/hyperlink" Target="https://www.sec.gov/ix?doc=/Archives/edgar/data/0000002488/000000248822000016/amd-20211225.htm" TargetMode="External"/><Relationship Id="rId39" Type="http://schemas.openxmlformats.org/officeDocument/2006/relationships/hyperlink" Target="https://www.sec.gov/ix?doc=/Archives/edgar/data/0000002488/000000248822000016/amd-20211225.htm" TargetMode="External"/><Relationship Id="rId109" Type="http://schemas.openxmlformats.org/officeDocument/2006/relationships/hyperlink" Target="http://www.sec.gov/Archives/edgar/data/2488/000119312508038588/dex1018.htm" TargetMode="External"/><Relationship Id="rId34" Type="http://schemas.openxmlformats.org/officeDocument/2006/relationships/hyperlink" Target="https://www.sec.gov/ix?doc=/Archives/edgar/data/0000002488/000000248822000016/amd-20211225.htm" TargetMode="External"/><Relationship Id="rId50" Type="http://schemas.openxmlformats.org/officeDocument/2006/relationships/hyperlink" Target="https://www.sec.gov/ix?doc=/Archives/edgar/data/0000002488/000000248822000016/amd-20211225.htm" TargetMode="External"/><Relationship Id="rId55" Type="http://schemas.openxmlformats.org/officeDocument/2006/relationships/hyperlink" Target="https://www.sec.gov/ix?doc=/Archives/edgar/data/0000002488/000000248822000016/amd-20211225.htm" TargetMode="External"/><Relationship Id="rId76" Type="http://schemas.openxmlformats.org/officeDocument/2006/relationships/hyperlink" Target="https://www.sec.gov/ix?doc=/Archives/edgar/data/0000002488/000000248822000016/amd-20211225.htm" TargetMode="External"/><Relationship Id="rId97" Type="http://schemas.openxmlformats.org/officeDocument/2006/relationships/hyperlink" Target="https://www.sec.gov/ix?doc=/Archives/edgar/data/0000002488/000000248822000016/amd-20211225.htm" TargetMode="External"/><Relationship Id="rId104" Type="http://schemas.openxmlformats.org/officeDocument/2006/relationships/hyperlink" Target="http://www.sec.gov/Archives/edgar/data/2488/000119312516709676/d258400dex42.htm" TargetMode="External"/><Relationship Id="rId120" Type="http://schemas.openxmlformats.org/officeDocument/2006/relationships/hyperlink" Target="http://www.sec.gov/Archives/edgar/data/2488/000119312513201635/d528331dex104.htm" TargetMode="External"/><Relationship Id="rId125" Type="http://schemas.openxmlformats.org/officeDocument/2006/relationships/hyperlink" Target="http://www.sec.gov/Archives/edgar/data/2488/000000248815000067/form2015stockoptionagreeme.htm" TargetMode="External"/><Relationship Id="rId141" Type="http://schemas.openxmlformats.org/officeDocument/2006/relationships/hyperlink" Target="https://www.sec.gov/Archives/edgar/data/2488/000000248819000011/ex10103-10kfy18.htm" TargetMode="External"/><Relationship Id="rId146" Type="http://schemas.openxmlformats.org/officeDocument/2006/relationships/hyperlink" Target="https://www.sec.gov/Archives/edgar/data/2488/000000248819000159/exh102signonbonusltrbe.htm" TargetMode="External"/><Relationship Id="rId167" Type="http://schemas.openxmlformats.org/officeDocument/2006/relationships/hyperlink" Target="https://www.sec.gov/Archives/edgar/data/2488/000162828021001185/exh10_58jetpolicy1x25x2021.htm" TargetMode="External"/><Relationship Id="rId7" Type="http://schemas.openxmlformats.org/officeDocument/2006/relationships/hyperlink" Target="https://www.sec.gov/ix?doc=/Archives/edgar/data/0000002488/000000248822000016/amd-20211225.htm" TargetMode="External"/><Relationship Id="rId71" Type="http://schemas.openxmlformats.org/officeDocument/2006/relationships/hyperlink" Target="https://www.sec.gov/ix?doc=/Archives/edgar/data/0000002488/000000248822000016/amd-20211225.htm" TargetMode="External"/><Relationship Id="rId92" Type="http://schemas.openxmlformats.org/officeDocument/2006/relationships/hyperlink" Target="https://www.sec.gov/ix?doc=/Archives/edgar/data/0000002488/000000248822000016/amd-20211225.htm" TargetMode="External"/><Relationship Id="rId162" Type="http://schemas.openxmlformats.org/officeDocument/2006/relationships/hyperlink" Target="https://www.sec.gov/Archives/edgar/data/2488/000000248819000045/exh101amd-wsaamendmentno7x.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2000016/amd-20211225.htm" TargetMode="External"/><Relationship Id="rId24" Type="http://schemas.openxmlformats.org/officeDocument/2006/relationships/hyperlink" Target="https://www.sec.gov/ix?doc=/Archives/edgar/data/0000002488/000000248822000016/amd-20211225.htm" TargetMode="External"/><Relationship Id="rId40" Type="http://schemas.openxmlformats.org/officeDocument/2006/relationships/hyperlink" Target="https://www.sec.gov/ix?doc=/Archives/edgar/data/0000002488/000000248822000016/amd-20211225.htm" TargetMode="External"/><Relationship Id="rId45" Type="http://schemas.openxmlformats.org/officeDocument/2006/relationships/hyperlink" Target="https://www.sec.gov/ix?doc=/Archives/edgar/data/0000002488/000000248822000016/amd-20211225.htm" TargetMode="External"/><Relationship Id="rId66" Type="http://schemas.openxmlformats.org/officeDocument/2006/relationships/hyperlink" Target="https://www.sec.gov/ix?doc=/Archives/edgar/data/0000002488/000000248822000016/amd-20211225.htm" TargetMode="External"/><Relationship Id="rId87" Type="http://schemas.openxmlformats.org/officeDocument/2006/relationships/hyperlink" Target="https://www.sec.gov/ix?doc=/Archives/edgar/data/0000002488/000000248822000016/amd-20211225.htm" TargetMode="External"/><Relationship Id="rId110" Type="http://schemas.openxmlformats.org/officeDocument/2006/relationships/hyperlink" Target="http://www.sec.gov/Archives/edgar/data/2488/000119312513069422/d486815dex1016a.htm" TargetMode="External"/><Relationship Id="rId115" Type="http://schemas.openxmlformats.org/officeDocument/2006/relationships/hyperlink" Target="http://www.sec.gov/Archives/edgar/data/2488/000119312512075837/d257108dex1063.htm" TargetMode="External"/><Relationship Id="rId131" Type="http://schemas.openxmlformats.org/officeDocument/2006/relationships/hyperlink" Target="http://www.sec.gov/Archives/edgar/data/2488/000000248817000043/exhibit1089formglobalrsutc.htm" TargetMode="External"/><Relationship Id="rId136" Type="http://schemas.openxmlformats.org/officeDocument/2006/relationships/hyperlink" Target="http://www.sec.gov/Archives/edgar/data/2488/000000248818000042/ex1098-10kfy17.htm" TargetMode="External"/><Relationship Id="rId157" Type="http://schemas.openxmlformats.org/officeDocument/2006/relationships/hyperlink" Target="https://www.sec.gov/Archives/edgar/data/2488/000000248820000164/exh103amdq310q20.htm" TargetMode="External"/><Relationship Id="rId178" Type="http://schemas.openxmlformats.org/officeDocument/2006/relationships/hyperlink" Target="https://www.sec.gov/Archives/edgar/data/0000002488/000000248822000016/ex312-10kfy21.htm" TargetMode="External"/><Relationship Id="rId61" Type="http://schemas.openxmlformats.org/officeDocument/2006/relationships/hyperlink" Target="https://www.sec.gov/ix?doc=/Archives/edgar/data/0000002488/000000248822000016/amd-20211225.htm" TargetMode="External"/><Relationship Id="rId82" Type="http://schemas.openxmlformats.org/officeDocument/2006/relationships/hyperlink" Target="https://www.sec.gov/ix?doc=/Archives/edgar/data/0000002488/000000248822000016/amd-20211225.htm" TargetMode="External"/><Relationship Id="rId152" Type="http://schemas.openxmlformats.org/officeDocument/2006/relationships/hyperlink" Target="https://www.sec.gov/Archives/edgar/data/2488/000000248820000103/exh101formofprsuagtsvp.htm" TargetMode="External"/><Relationship Id="rId173" Type="http://schemas.openxmlformats.org/officeDocument/2006/relationships/hyperlink" Target="https://www.sec.gov/Archives/edgar/data/0000002488/000000248822000016/ex10_63amd-wsa1stamendemen.htm" TargetMode="External"/><Relationship Id="rId19" Type="http://schemas.openxmlformats.org/officeDocument/2006/relationships/hyperlink" Target="https://www.sec.gov/ix?doc=/Archives/edgar/data/0000002488/000000248822000016/amd-20211225.htm" TargetMode="External"/><Relationship Id="rId14" Type="http://schemas.openxmlformats.org/officeDocument/2006/relationships/hyperlink" Target="https://www.sec.gov/ix?doc=/Archives/edgar/data/0000002488/000000248822000016/amd-20211225.htm" TargetMode="External"/><Relationship Id="rId30" Type="http://schemas.openxmlformats.org/officeDocument/2006/relationships/hyperlink" Target="https://www.sec.gov/ix?doc=/Archives/edgar/data/0000002488/000000248822000016/amd-20211225.htm" TargetMode="External"/><Relationship Id="rId35" Type="http://schemas.openxmlformats.org/officeDocument/2006/relationships/hyperlink" Target="https://www.sec.gov/ix?doc=/Archives/edgar/data/0000002488/000000248822000016/amd-20211225.htm" TargetMode="External"/><Relationship Id="rId56" Type="http://schemas.openxmlformats.org/officeDocument/2006/relationships/hyperlink" Target="https://www.sec.gov/ix?doc=/Archives/edgar/data/0000002488/000000248822000016/amd-20211225.htm" TargetMode="External"/><Relationship Id="rId77" Type="http://schemas.openxmlformats.org/officeDocument/2006/relationships/hyperlink" Target="https://www.sec.gov/ix?doc=/Archives/edgar/data/0000002488/000000248822000016/amd-20211225.htm" TargetMode="External"/><Relationship Id="rId100" Type="http://schemas.openxmlformats.org/officeDocument/2006/relationships/hyperlink" Target="https://www.sec.gov/Archives/edgar/data/2488/000162828021001185/ex3210kfy20.htm" TargetMode="External"/><Relationship Id="rId105" Type="http://schemas.openxmlformats.org/officeDocument/2006/relationships/hyperlink" Target="http://www.sec.gov/Archives/edgar/data/2488/000000248816000263/firstsupplementalindenture.htm" TargetMode="External"/><Relationship Id="rId126" Type="http://schemas.openxmlformats.org/officeDocument/2006/relationships/hyperlink" Target="http://www.sec.gov/Archives/edgar/data/2488/000000248815000062/ex101.htm" TargetMode="External"/><Relationship Id="rId147" Type="http://schemas.openxmlformats.org/officeDocument/2006/relationships/hyperlink" Target="https://www.sec.gov/Archives/edgar/data/2488/000000248819000159/exh103ceospecialawardp.htm" TargetMode="External"/><Relationship Id="rId168" Type="http://schemas.openxmlformats.org/officeDocument/2006/relationships/hyperlink" Target="https://www.sec.gov/Archives/edgar/data/2488/000162828021001185/exh10_58jetpolicy1x25x2021.htm" TargetMode="External"/><Relationship Id="rId8" Type="http://schemas.openxmlformats.org/officeDocument/2006/relationships/hyperlink" Target="https://www.sec.gov/ix?doc=/Archives/edgar/data/0000002488/000000248822000016/amd-20211225.htm" TargetMode="External"/><Relationship Id="rId51" Type="http://schemas.openxmlformats.org/officeDocument/2006/relationships/hyperlink" Target="https://www.sec.gov/ix?doc=/Archives/edgar/data/0000002488/000000248822000016/amd-20211225.htm" TargetMode="External"/><Relationship Id="rId72" Type="http://schemas.openxmlformats.org/officeDocument/2006/relationships/hyperlink" Target="https://www.sec.gov/ix?doc=/Archives/edgar/data/0000002488/000000248822000016/amd-20211225.htm" TargetMode="External"/><Relationship Id="rId93" Type="http://schemas.openxmlformats.org/officeDocument/2006/relationships/hyperlink" Target="https://www.sec.gov/ix?doc=/Archives/edgar/data/0000002488/000000248822000016/amd-20211225.htm" TargetMode="External"/><Relationship Id="rId98" Type="http://schemas.openxmlformats.org/officeDocument/2006/relationships/hyperlink" Target="https://www.sec.gov/Archives/edgar/data/2488/000119312520277468/d67182dex21.htm" TargetMode="External"/><Relationship Id="rId121" Type="http://schemas.openxmlformats.org/officeDocument/2006/relationships/hyperlink" Target="http://www.sec.gov/Archives/edgar/data/2488/000119312514371185/d804367dex102.htm" TargetMode="External"/><Relationship Id="rId142" Type="http://schemas.openxmlformats.org/officeDocument/2006/relationships/hyperlink" Target="https://www.sec.gov/Archives/edgar/data/2488/000000248819000011/ex10104-10kfy18.htm" TargetMode="External"/><Relationship Id="rId163" Type="http://schemas.openxmlformats.org/officeDocument/2006/relationships/hyperlink" Target="https://www.sec.gov/Archives/edgar/data/2488/000162828021001185/exh10_58jetpolicy1x25x2021.htm" TargetMode="External"/><Relationship Id="rId3" Type="http://schemas.openxmlformats.org/officeDocument/2006/relationships/webSettings" Target="webSettings.xml"/><Relationship Id="rId25" Type="http://schemas.openxmlformats.org/officeDocument/2006/relationships/hyperlink" Target="https://www.sec.gov/ix?doc=/Archives/edgar/data/0000002488/000000248822000016/amd-20211225.htm" TargetMode="External"/><Relationship Id="rId46" Type="http://schemas.openxmlformats.org/officeDocument/2006/relationships/hyperlink" Target="https://www.sec.gov/ix?doc=/Archives/edgar/data/0000002488/000000248822000016/amd-20211225.htm" TargetMode="External"/><Relationship Id="rId67" Type="http://schemas.openxmlformats.org/officeDocument/2006/relationships/hyperlink" Target="https://www.sec.gov/ix?doc=/Archives/edgar/data/0000002488/000000248822000016/amd-20211225.htm" TargetMode="External"/><Relationship Id="rId116" Type="http://schemas.openxmlformats.org/officeDocument/2006/relationships/hyperlink" Target="http://www.sec.gov/Archives/edgar/data/2488/000119312509236705/dex101.htm" TargetMode="External"/><Relationship Id="rId137" Type="http://schemas.openxmlformats.org/officeDocument/2006/relationships/hyperlink" Target="http://www.sec.gov/Archives/edgar/data/2488/000000248818000042/ex1099-10kfy17.htm" TargetMode="External"/><Relationship Id="rId158" Type="http://schemas.openxmlformats.org/officeDocument/2006/relationships/hyperlink" Target="https://www.sec.gov/Archives/edgar/data/2488/000000248820000164/exh104amdq310q20.htm" TargetMode="External"/><Relationship Id="rId20" Type="http://schemas.openxmlformats.org/officeDocument/2006/relationships/hyperlink" Target="https://www.sec.gov/ix?doc=/Archives/edgar/data/0000002488/000000248822000016/amd-20211225.htm" TargetMode="External"/><Relationship Id="rId41" Type="http://schemas.openxmlformats.org/officeDocument/2006/relationships/hyperlink" Target="https://www.sec.gov/ix?doc=/Archives/edgar/data/0000002488/000000248822000016/amd-20211225.htm" TargetMode="External"/><Relationship Id="rId62" Type="http://schemas.openxmlformats.org/officeDocument/2006/relationships/hyperlink" Target="https://www.sec.gov/ix?doc=/Archives/edgar/data/0000002488/000000248822000016/amd-20211225.htm" TargetMode="External"/><Relationship Id="rId83" Type="http://schemas.openxmlformats.org/officeDocument/2006/relationships/hyperlink" Target="https://www.sec.gov/ix?doc=/Archives/edgar/data/0000002488/000000248822000016/amd-20211225.htm" TargetMode="External"/><Relationship Id="rId88" Type="http://schemas.openxmlformats.org/officeDocument/2006/relationships/hyperlink" Target="https://www.sec.gov/ix?doc=/Archives/edgar/data/0000002488/000000248822000016/amd-20211225.htm" TargetMode="External"/><Relationship Id="rId111" Type="http://schemas.openxmlformats.org/officeDocument/2006/relationships/hyperlink" Target="http://www.sec.gov/Archives/edgar/data/2488/000119312508209112/dex101.htm" TargetMode="External"/><Relationship Id="rId132" Type="http://schemas.openxmlformats.org/officeDocument/2006/relationships/hyperlink" Target="http://www.sec.gov/Archives/edgar/data/2488/000000248817000043/exhibit1090formglobalprsut.htm" TargetMode="External"/><Relationship Id="rId153" Type="http://schemas.openxmlformats.org/officeDocument/2006/relationships/hyperlink" Target="https://www.sec.gov/Archives/edgar/data/2488/000000248820000103/exh102formofstockoptio.htm" TargetMode="External"/><Relationship Id="rId174" Type="http://schemas.openxmlformats.org/officeDocument/2006/relationships/hyperlink" Target="https://www.sec.gov/Archives/edgar/data/0000002488/000000248822000016/ex21-10kfy21.htm" TargetMode="External"/><Relationship Id="rId179" Type="http://schemas.openxmlformats.org/officeDocument/2006/relationships/hyperlink" Target="https://www.sec.gov/Archives/edgar/data/0000002488/000000248822000016/ex321-10kfy21.htm" TargetMode="External"/><Relationship Id="rId15" Type="http://schemas.openxmlformats.org/officeDocument/2006/relationships/hyperlink" Target="https://www.sec.gov/ix?doc=/Archives/edgar/data/0000002488/000000248822000016/amd-20211225.htm" TargetMode="External"/><Relationship Id="rId36" Type="http://schemas.openxmlformats.org/officeDocument/2006/relationships/hyperlink" Target="https://www.sec.gov/ix?doc=/Archives/edgar/data/0000002488/000000248822000016/amd-20211225.htm" TargetMode="External"/><Relationship Id="rId57" Type="http://schemas.openxmlformats.org/officeDocument/2006/relationships/hyperlink" Target="https://www.sec.gov/ix?doc=/Archives/edgar/data/0000002488/000000248822000016/amd-20211225.htm" TargetMode="External"/><Relationship Id="rId106" Type="http://schemas.openxmlformats.org/officeDocument/2006/relationships/hyperlink" Target="http://www.sec.gov/Archives/edgar/data/2488/000119312511134452/dex102.htm" TargetMode="External"/><Relationship Id="rId127" Type="http://schemas.openxmlformats.org/officeDocument/2006/relationships/hyperlink" Target="http://www.sec.gov/Archives/edgar/data/2488/000000248816000111/exhibit1078svpoptionagreem.htm" TargetMode="External"/><Relationship Id="rId10" Type="http://schemas.openxmlformats.org/officeDocument/2006/relationships/hyperlink" Target="https://www.sec.gov/ix?doc=/Archives/edgar/data/0000002488/000000248822000016/amd-20211225.htm" TargetMode="External"/><Relationship Id="rId31" Type="http://schemas.openxmlformats.org/officeDocument/2006/relationships/hyperlink" Target="https://www.sec.gov/ix?doc=/Archives/edgar/data/0000002488/000000248822000016/amd-20211225.htm" TargetMode="External"/><Relationship Id="rId52" Type="http://schemas.openxmlformats.org/officeDocument/2006/relationships/hyperlink" Target="https://www.sec.gov/ix?doc=/Archives/edgar/data/0000002488/000000248822000016/amd-20211225.htm" TargetMode="External"/><Relationship Id="rId73" Type="http://schemas.openxmlformats.org/officeDocument/2006/relationships/hyperlink" Target="https://www.sec.gov/ix?doc=/Archives/edgar/data/0000002488/000000248822000016/amd-20211225.htm" TargetMode="External"/><Relationship Id="rId78" Type="http://schemas.openxmlformats.org/officeDocument/2006/relationships/hyperlink" Target="https://www.sec.gov/ix?doc=/Archives/edgar/data/0000002488/000000248822000016/amd-20211225.htm" TargetMode="External"/><Relationship Id="rId94" Type="http://schemas.openxmlformats.org/officeDocument/2006/relationships/hyperlink" Target="https://www.sec.gov/ix?doc=/Archives/edgar/data/0000002488/000000248822000016/amd-20211225.htm" TargetMode="External"/><Relationship Id="rId99" Type="http://schemas.openxmlformats.org/officeDocument/2006/relationships/hyperlink" Target="http://www.sec.gov/Archives/edgar/data/2488/000000248818000128/exh31amendedrestatedcertof.htm" TargetMode="External"/><Relationship Id="rId101" Type="http://schemas.openxmlformats.org/officeDocument/2006/relationships/hyperlink" Target="https://www.sec.gov/Archives/edgar/data/2488/000000248820000008/ex41-10kfy19.htm" TargetMode="External"/><Relationship Id="rId122" Type="http://schemas.openxmlformats.org/officeDocument/2006/relationships/hyperlink" Target="http://www.sec.gov/Archives/edgar/data/2488/000119312514389701/d809825dex101.htm" TargetMode="External"/><Relationship Id="rId143" Type="http://schemas.openxmlformats.org/officeDocument/2006/relationships/hyperlink" Target="https://www.sec.gov/Archives/edgar/data/2488/000000248819000011/ex10105-10kfy18.htm" TargetMode="External"/><Relationship Id="rId148" Type="http://schemas.openxmlformats.org/officeDocument/2006/relationships/hyperlink" Target="https://www.sec.gov/Archives/edgar/data/2488/000000248819000159/exh104ctospecialawardp.htm" TargetMode="External"/><Relationship Id="rId164" Type="http://schemas.openxmlformats.org/officeDocument/2006/relationships/hyperlink" Target="https://www.sec.gov/Archives/edgar/data/2488/000162828021001185/exh10_58jetpolicy1x25x2021.htm" TargetMode="External"/><Relationship Id="rId169" Type="http://schemas.openxmlformats.org/officeDocument/2006/relationships/hyperlink" Target="https://www.sec.gov/Archives/edgar/data/2488/000000248821000116/exh10_1prsu2021agreementsv.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2000016/amd-20211225.htm" TargetMode="External"/><Relationship Id="rId180" Type="http://schemas.openxmlformats.org/officeDocument/2006/relationships/hyperlink" Target="https://www.sec.gov/Archives/edgar/data/0000002488/000000248822000016/ex322-10kfy21.htm" TargetMode="External"/><Relationship Id="rId26" Type="http://schemas.openxmlformats.org/officeDocument/2006/relationships/hyperlink" Target="https://www.sec.gov/ix?doc=/Archives/edgar/data/0000002488/000000248822000016/amd-20211225.htm" TargetMode="External"/><Relationship Id="rId47" Type="http://schemas.openxmlformats.org/officeDocument/2006/relationships/hyperlink" Target="https://www.sec.gov/ix?doc=/Archives/edgar/data/0000002488/000000248822000016/amd-20211225.htm" TargetMode="External"/><Relationship Id="rId68" Type="http://schemas.openxmlformats.org/officeDocument/2006/relationships/hyperlink" Target="https://www.sec.gov/ix?doc=/Archives/edgar/data/0000002488/000000248822000016/amd-20211225.htm" TargetMode="External"/><Relationship Id="rId89" Type="http://schemas.openxmlformats.org/officeDocument/2006/relationships/hyperlink" Target="https://www.sec.gov/ix?doc=/Archives/edgar/data/0000002488/000000248822000016/amd-20211225.htm" TargetMode="External"/><Relationship Id="rId112" Type="http://schemas.openxmlformats.org/officeDocument/2006/relationships/hyperlink" Target="http://www.sec.gov/Archives/edgar/data/2488/000119312508038588/dex1013b.htm" TargetMode="External"/><Relationship Id="rId133" Type="http://schemas.openxmlformats.org/officeDocument/2006/relationships/hyperlink" Target="http://www.sec.gov/Archives/edgar/data/2488/000000248817000107/exhibit102amd-formoptiontc.htm" TargetMode="External"/><Relationship Id="rId154" Type="http://schemas.openxmlformats.org/officeDocument/2006/relationships/hyperlink" Target="https://www.sec.gov/Archives/edgar/data/2488/000000248820000103/exh103formofrsuagtsvpa.htm" TargetMode="External"/><Relationship Id="rId175" Type="http://schemas.openxmlformats.org/officeDocument/2006/relationships/hyperlink" Target="https://www.sec.gov/Archives/edgar/data/0000002488/000000248822000016/ex23-10kfy21.htm" TargetMode="External"/><Relationship Id="rId16" Type="http://schemas.openxmlformats.org/officeDocument/2006/relationships/hyperlink" Target="https://www.sec.gov/ix?doc=/Archives/edgar/data/0000002488/000000248822000016/amd-20211225.htm" TargetMode="External"/><Relationship Id="rId37" Type="http://schemas.openxmlformats.org/officeDocument/2006/relationships/hyperlink" Target="https://www.sec.gov/ix?doc=/Archives/edgar/data/0000002488/000000248822000016/amd-20211225.htm" TargetMode="External"/><Relationship Id="rId58" Type="http://schemas.openxmlformats.org/officeDocument/2006/relationships/hyperlink" Target="https://www.sec.gov/ix?doc=/Archives/edgar/data/0000002488/000000248822000016/amd-20211225.htm" TargetMode="External"/><Relationship Id="rId79" Type="http://schemas.openxmlformats.org/officeDocument/2006/relationships/hyperlink" Target="https://www.sec.gov/ix?doc=/Archives/edgar/data/0000002488/000000248822000016/amd-20211225.htm" TargetMode="External"/><Relationship Id="rId102" Type="http://schemas.openxmlformats.org/officeDocument/2006/relationships/hyperlink" Target="http://www.sec.gov/Archives/edgar/data/2488/000119312512357533/d397602dex41.htm" TargetMode="External"/><Relationship Id="rId123" Type="http://schemas.openxmlformats.org/officeDocument/2006/relationships/hyperlink" Target="http://www.sec.gov/Archives/edgar/data/2488/000119312515054362/d871455dex1066.htm" TargetMode="External"/><Relationship Id="rId144" Type="http://schemas.openxmlformats.org/officeDocument/2006/relationships/hyperlink" Target="https://www.sec.gov/Archives/edgar/data/2488/000000248819000088/creditagreement-amd2019fin.htm" TargetMode="External"/><Relationship Id="rId90" Type="http://schemas.openxmlformats.org/officeDocument/2006/relationships/hyperlink" Target="https://www.sec.gov/ix?doc=/Archives/edgar/data/0000002488/000000248822000016/amd-20211225.htm" TargetMode="External"/><Relationship Id="rId165" Type="http://schemas.openxmlformats.org/officeDocument/2006/relationships/hyperlink" Target="https://www.sec.gov/Archives/edgar/data/2488/000162828021001185/exh10_58jetpolicy1x25x2021.htm" TargetMode="External"/><Relationship Id="rId27" Type="http://schemas.openxmlformats.org/officeDocument/2006/relationships/hyperlink" Target="https://www.sec.gov/ix?doc=/Archives/edgar/data/0000002488/000000248822000016/amd-20211225.htm" TargetMode="External"/><Relationship Id="rId48" Type="http://schemas.openxmlformats.org/officeDocument/2006/relationships/hyperlink" Target="https://www.sec.gov/ix?doc=/Archives/edgar/data/0000002488/000000248822000016/amd-20211225.htm" TargetMode="External"/><Relationship Id="rId69" Type="http://schemas.openxmlformats.org/officeDocument/2006/relationships/hyperlink" Target="https://www.sec.gov/ix?doc=/Archives/edgar/data/0000002488/000000248822000016/amd-20211225.htm" TargetMode="External"/><Relationship Id="rId113" Type="http://schemas.openxmlformats.org/officeDocument/2006/relationships/hyperlink" Target="http://www.sec.gov/Archives/edgar/data/2488/000119312510035218/dex1011.htm" TargetMode="External"/><Relationship Id="rId134" Type="http://schemas.openxmlformats.org/officeDocument/2006/relationships/hyperlink" Target="http://www.sec.gov/Archives/edgar/data/2488/000000248817000109/exhibit101amdamendedandres.htm" TargetMode="External"/><Relationship Id="rId80" Type="http://schemas.openxmlformats.org/officeDocument/2006/relationships/hyperlink" Target="https://www.sec.gov/ix?doc=/Archives/edgar/data/0000002488/000000248822000016/amd-20211225.htm" TargetMode="External"/><Relationship Id="rId155" Type="http://schemas.openxmlformats.org/officeDocument/2006/relationships/hyperlink" Target="https://www.sec.gov/Archives/edgar/data/2488/000000248820000164/exh101amdq310q20.htm" TargetMode="External"/><Relationship Id="rId176" Type="http://schemas.openxmlformats.org/officeDocument/2006/relationships/hyperlink" Target="https://www.sec.gov/Archives/edgar/data/0000002488/000000248822000016/ex24-10kfy21.htm" TargetMode="External"/><Relationship Id="rId17" Type="http://schemas.openxmlformats.org/officeDocument/2006/relationships/hyperlink" Target="https://www.sec.gov/ix?doc=/Archives/edgar/data/0000002488/000000248822000016/amd-20211225.htm" TargetMode="External"/><Relationship Id="rId38" Type="http://schemas.openxmlformats.org/officeDocument/2006/relationships/hyperlink" Target="https://www.sec.gov/ix?doc=/Archives/edgar/data/0000002488/000000248822000016/amd-20211225.htm" TargetMode="External"/><Relationship Id="rId59" Type="http://schemas.openxmlformats.org/officeDocument/2006/relationships/hyperlink" Target="https://www.sec.gov/ix?doc=/Archives/edgar/data/0000002488/000000248822000016/amd-20211225.htm" TargetMode="External"/><Relationship Id="rId103" Type="http://schemas.openxmlformats.org/officeDocument/2006/relationships/hyperlink" Target="http://www.sec.gov/Archives/edgar/data/2488/000119312516709676/d258400dex41.htm" TargetMode="External"/><Relationship Id="rId124" Type="http://schemas.openxmlformats.org/officeDocument/2006/relationships/hyperlink" Target="http://www.sec.gov/Archives/edgar/data/2488/000119312515054362/d871455dex1068.htm" TargetMode="External"/><Relationship Id="rId70" Type="http://schemas.openxmlformats.org/officeDocument/2006/relationships/hyperlink" Target="https://www.sec.gov/ix?doc=/Archives/edgar/data/0000002488/000000248822000016/amd-20211225.htm" TargetMode="External"/><Relationship Id="rId91" Type="http://schemas.openxmlformats.org/officeDocument/2006/relationships/hyperlink" Target="https://www.sec.gov/ix?doc=/Archives/edgar/data/0000002488/000000248822000016/amd-20211225.htm" TargetMode="External"/><Relationship Id="rId145" Type="http://schemas.openxmlformats.org/officeDocument/2006/relationships/hyperlink" Target="https://www.sec.gov/Archives/edgar/data/2488/000000248819000159/exh101offerltrbergman.htm" TargetMode="External"/><Relationship Id="rId166" Type="http://schemas.openxmlformats.org/officeDocument/2006/relationships/hyperlink" Target="https://www.sec.gov/Archives/edgar/data/2488/000162828021001185/exh10_58jetpolicy1x25x2021.htm" TargetMode="External"/><Relationship Id="rId1" Type="http://schemas.openxmlformats.org/officeDocument/2006/relationships/styles" Target="styles.xml"/><Relationship Id="rId28" Type="http://schemas.openxmlformats.org/officeDocument/2006/relationships/hyperlink" Target="https://www.sec.gov/ix?doc=/Archives/edgar/data/0000002488/000000248822000016/amd-20211225.htm" TargetMode="External"/><Relationship Id="rId49" Type="http://schemas.openxmlformats.org/officeDocument/2006/relationships/hyperlink" Target="https://www.sec.gov/ix?doc=/Archives/edgar/data/0000002488/000000248822000016/amd-20211225.htm" TargetMode="External"/><Relationship Id="rId114" Type="http://schemas.openxmlformats.org/officeDocument/2006/relationships/hyperlink" Target="http://www.sec.gov/Archives/edgar/data/2488/000119312512446647/d430047dex1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60129</Words>
  <Characters>342739</Characters>
  <Application>Microsoft Office Word</Application>
  <DocSecurity>0</DocSecurity>
  <Lines>2856</Lines>
  <Paragraphs>804</Paragraphs>
  <ScaleCrop>false</ScaleCrop>
  <Company/>
  <LinksUpToDate>false</LinksUpToDate>
  <CharactersWithSpaces>402064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2023-02-11T00:57:00Z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16F92F04E65B98426D77E663EC2C4E83</vt:lpwstr>
  </property>
</Properties>
</file>