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A46AEED" w14:textId="77777777">
        <w:trPr>
          <w:divId w:val="911279972"/>
          <w:tblCellSpacing w:w="0" w:type="dxa"/>
        </w:trPr>
        <w:tc>
          <w:tcPr>
            <w:tcW w:w="0" w:type="auto"/>
            <w:vAlign w:val="center"/>
            <w:hideMark/>
          </w:tcPr>
          <w:p w14:paraId="33EF3165" w14:textId="77777777" w:rsidR="00000000" w:rsidRDefault="007E65A2">
            <w:pPr>
              <w:rPr>
                <w:sz w:val="20"/>
                <w:szCs w:val="20"/>
              </w:rPr>
            </w:pPr>
          </w:p>
        </w:tc>
      </w:tr>
    </w:tbl>
    <w:p w14:paraId="04B1C5FE" w14:textId="77777777" w:rsidR="00000000" w:rsidRDefault="007E65A2">
      <w:pPr>
        <w:pStyle w:val="a3"/>
        <w:spacing w:before="0" w:beforeAutospacing="0" w:after="0" w:afterAutospacing="0"/>
        <w:jc w:val="both"/>
        <w:divId w:val="911279972"/>
        <w:rPr>
          <w:sz w:val="20"/>
          <w:szCs w:val="20"/>
        </w:rPr>
      </w:pPr>
      <w:r>
        <w:rPr>
          <w:sz w:val="20"/>
          <w:szCs w:val="20"/>
        </w:rPr>
        <w:t> </w:t>
      </w:r>
    </w:p>
    <w:p w14:paraId="3305598C" w14:textId="77777777" w:rsidR="00000000" w:rsidRDefault="007E65A2">
      <w:pPr>
        <w:pStyle w:val="a3"/>
        <w:spacing w:before="0" w:beforeAutospacing="0" w:after="0" w:afterAutospacing="0"/>
        <w:jc w:val="center"/>
        <w:divId w:val="911279972"/>
        <w:rPr>
          <w:sz w:val="20"/>
          <w:szCs w:val="20"/>
        </w:rPr>
      </w:pPr>
      <w:r>
        <w:rPr>
          <w:b/>
          <w:bCs/>
        </w:rPr>
        <w:t>UNITED STATES</w:t>
      </w:r>
    </w:p>
    <w:p w14:paraId="6F491324" w14:textId="77777777" w:rsidR="00000000" w:rsidRDefault="007E65A2">
      <w:pPr>
        <w:pStyle w:val="a3"/>
        <w:spacing w:before="0" w:beforeAutospacing="0" w:after="0" w:afterAutospacing="0"/>
        <w:jc w:val="center"/>
        <w:divId w:val="911279972"/>
        <w:rPr>
          <w:sz w:val="20"/>
          <w:szCs w:val="20"/>
        </w:rPr>
      </w:pPr>
      <w:r>
        <w:rPr>
          <w:b/>
          <w:bCs/>
        </w:rPr>
        <w:t>SECURITIES AND EXCHANGE COMMISSION</w:t>
      </w:r>
    </w:p>
    <w:p w14:paraId="617050A0" w14:textId="77777777" w:rsidR="00000000" w:rsidRDefault="007E65A2">
      <w:pPr>
        <w:pStyle w:val="a3"/>
        <w:spacing w:before="0" w:beforeAutospacing="0" w:after="0" w:afterAutospacing="0"/>
        <w:jc w:val="center"/>
        <w:divId w:val="911279972"/>
        <w:rPr>
          <w:sz w:val="20"/>
          <w:szCs w:val="20"/>
        </w:rPr>
      </w:pPr>
      <w:r>
        <w:rPr>
          <w:b/>
          <w:bCs/>
        </w:rPr>
        <w:t>Washington, D.C. 20549</w:t>
      </w:r>
    </w:p>
    <w:p w14:paraId="2CD1F067" w14:textId="77777777" w:rsidR="00000000" w:rsidRDefault="007E65A2">
      <w:pPr>
        <w:pStyle w:val="a3"/>
        <w:spacing w:before="0" w:beforeAutospacing="0" w:after="0" w:afterAutospacing="0"/>
        <w:jc w:val="both"/>
        <w:divId w:val="911279972"/>
        <w:rPr>
          <w:sz w:val="20"/>
          <w:szCs w:val="20"/>
        </w:rPr>
      </w:pPr>
      <w:r>
        <w:rPr>
          <w:sz w:val="20"/>
          <w:szCs w:val="20"/>
        </w:rPr>
        <w:t> </w:t>
      </w:r>
    </w:p>
    <w:p w14:paraId="0D0076F0" w14:textId="77777777" w:rsidR="00000000" w:rsidRDefault="007E65A2">
      <w:pPr>
        <w:pStyle w:val="a3"/>
        <w:spacing w:before="0" w:beforeAutospacing="0" w:after="0" w:afterAutospacing="0"/>
        <w:jc w:val="center"/>
        <w:divId w:val="911279972"/>
        <w:rPr>
          <w:sz w:val="20"/>
          <w:szCs w:val="20"/>
        </w:rPr>
      </w:pPr>
      <w:r>
        <w:rPr>
          <w:b/>
          <w:bCs/>
          <w:sz w:val="36"/>
          <w:szCs w:val="36"/>
        </w:rPr>
        <w:t>FORM 10-K</w:t>
      </w:r>
    </w:p>
    <w:p w14:paraId="65DF8EA8" w14:textId="77777777" w:rsidR="00000000" w:rsidRDefault="007E65A2">
      <w:pPr>
        <w:pStyle w:val="a3"/>
        <w:spacing w:before="0" w:beforeAutospacing="0" w:after="0" w:afterAutospacing="0"/>
        <w:jc w:val="both"/>
        <w:divId w:val="911279972"/>
        <w:rPr>
          <w:sz w:val="20"/>
          <w:szCs w:val="20"/>
        </w:rPr>
      </w:pPr>
      <w:r>
        <w:rPr>
          <w:sz w:val="20"/>
          <w:szCs w:val="20"/>
        </w:rPr>
        <w:t>(Mark One)</w:t>
      </w:r>
    </w:p>
    <w:tbl>
      <w:tblPr>
        <w:tblW w:w="5000" w:type="pct"/>
        <w:tblCellSpacing w:w="0" w:type="dxa"/>
        <w:tblCellMar>
          <w:left w:w="0" w:type="dxa"/>
          <w:right w:w="0" w:type="dxa"/>
        </w:tblCellMar>
        <w:tblLook w:val="04A0" w:firstRow="1" w:lastRow="0" w:firstColumn="1" w:lastColumn="0" w:noHBand="0" w:noVBand="1"/>
      </w:tblPr>
      <w:tblGrid>
        <w:gridCol w:w="332"/>
        <w:gridCol w:w="7974"/>
      </w:tblGrid>
      <w:tr w:rsidR="00000000" w14:paraId="1A46C725" w14:textId="77777777">
        <w:trPr>
          <w:divId w:val="911279972"/>
          <w:tblCellSpacing w:w="0" w:type="dxa"/>
        </w:trPr>
        <w:tc>
          <w:tcPr>
            <w:tcW w:w="200" w:type="pct"/>
            <w:hideMark/>
          </w:tcPr>
          <w:p w14:paraId="4C70A915" w14:textId="77777777" w:rsidR="00000000" w:rsidRDefault="007E65A2">
            <w:pPr>
              <w:pStyle w:val="a3"/>
              <w:spacing w:before="0" w:beforeAutospacing="0" w:after="0" w:afterAutospacing="0"/>
              <w:jc w:val="both"/>
              <w:rPr>
                <w:sz w:val="20"/>
                <w:szCs w:val="20"/>
              </w:rPr>
            </w:pPr>
            <w:r>
              <w:rPr>
                <w:rFonts w:ascii="Wingdings" w:hAnsi="Wingdings"/>
                <w:b/>
                <w:bCs/>
                <w:sz w:val="20"/>
                <w:szCs w:val="20"/>
              </w:rPr>
              <w:t>x</w:t>
            </w:r>
          </w:p>
        </w:tc>
        <w:tc>
          <w:tcPr>
            <w:tcW w:w="0" w:type="auto"/>
            <w:hideMark/>
          </w:tcPr>
          <w:p w14:paraId="1913739B" w14:textId="77777777" w:rsidR="00000000" w:rsidRDefault="007E65A2">
            <w:pPr>
              <w:pStyle w:val="a3"/>
              <w:spacing w:before="0" w:beforeAutospacing="0" w:after="0" w:afterAutospacing="0"/>
              <w:jc w:val="both"/>
              <w:rPr>
                <w:sz w:val="20"/>
                <w:szCs w:val="20"/>
              </w:rPr>
            </w:pPr>
            <w:r>
              <w:rPr>
                <w:b/>
                <w:bCs/>
                <w:sz w:val="20"/>
                <w:szCs w:val="20"/>
              </w:rPr>
              <w:t>ANNUAL REPORT PURSUANT TO SECTION 13 OR 15(d) OF THE SECURITIES EXCHANGE ACT OF 1934</w:t>
            </w:r>
          </w:p>
        </w:tc>
      </w:tr>
      <w:tr w:rsidR="00000000" w14:paraId="2C7F8D35" w14:textId="77777777">
        <w:trPr>
          <w:divId w:val="911279972"/>
          <w:trHeight w:val="180"/>
          <w:tblCellSpacing w:w="0" w:type="dxa"/>
        </w:trPr>
        <w:tc>
          <w:tcPr>
            <w:tcW w:w="0" w:type="auto"/>
            <w:vAlign w:val="center"/>
            <w:hideMark/>
          </w:tcPr>
          <w:p w14:paraId="28529502"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032B3AE8" w14:textId="77777777" w:rsidR="00000000" w:rsidRDefault="007E65A2">
            <w:pPr>
              <w:pStyle w:val="a3"/>
              <w:spacing w:before="0" w:beforeAutospacing="0" w:after="0" w:afterAutospacing="0"/>
              <w:jc w:val="both"/>
              <w:rPr>
                <w:sz w:val="20"/>
                <w:szCs w:val="20"/>
              </w:rPr>
            </w:pPr>
            <w:r>
              <w:rPr>
                <w:sz w:val="20"/>
                <w:szCs w:val="20"/>
              </w:rPr>
              <w:t> </w:t>
            </w:r>
          </w:p>
        </w:tc>
      </w:tr>
      <w:tr w:rsidR="00000000" w14:paraId="16595E04" w14:textId="77777777">
        <w:trPr>
          <w:divId w:val="911279972"/>
          <w:trHeight w:val="180"/>
          <w:tblCellSpacing w:w="0" w:type="dxa"/>
        </w:trPr>
        <w:tc>
          <w:tcPr>
            <w:tcW w:w="0" w:type="auto"/>
            <w:vAlign w:val="center"/>
            <w:hideMark/>
          </w:tcPr>
          <w:p w14:paraId="3458E33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51110E2B" w14:textId="77777777" w:rsidR="00000000" w:rsidRDefault="007E65A2">
            <w:pPr>
              <w:pStyle w:val="a3"/>
              <w:spacing w:before="0" w:beforeAutospacing="0" w:after="0" w:afterAutospacing="0"/>
              <w:jc w:val="both"/>
              <w:rPr>
                <w:sz w:val="20"/>
                <w:szCs w:val="20"/>
              </w:rPr>
            </w:pPr>
            <w:r>
              <w:rPr>
                <w:sz w:val="20"/>
                <w:szCs w:val="20"/>
              </w:rPr>
              <w:t xml:space="preserve">For the fiscal year ended </w:t>
            </w:r>
            <w:r>
              <w:rPr>
                <w:b/>
                <w:bCs/>
                <w:sz w:val="20"/>
                <w:szCs w:val="20"/>
                <w:u w:val="single"/>
              </w:rPr>
              <w:t>June 30, 2019</w:t>
            </w:r>
            <w:r>
              <w:rPr>
                <w:sz w:val="20"/>
                <w:szCs w:val="20"/>
                <w:u w:val="single"/>
              </w:rPr>
              <w:t xml:space="preserve"> </w:t>
            </w:r>
          </w:p>
        </w:tc>
      </w:tr>
    </w:tbl>
    <w:p w14:paraId="7D78837C" w14:textId="77777777" w:rsidR="00000000" w:rsidRDefault="007E65A2">
      <w:pPr>
        <w:pStyle w:val="a3"/>
        <w:spacing w:before="0" w:beforeAutospacing="0" w:after="0" w:afterAutospacing="0"/>
        <w:jc w:val="center"/>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7974"/>
      </w:tblGrid>
      <w:tr w:rsidR="00000000" w14:paraId="1E5F86EF" w14:textId="77777777">
        <w:trPr>
          <w:divId w:val="911279972"/>
          <w:tblCellSpacing w:w="0" w:type="dxa"/>
        </w:trPr>
        <w:tc>
          <w:tcPr>
            <w:tcW w:w="200" w:type="pct"/>
            <w:hideMark/>
          </w:tcPr>
          <w:p w14:paraId="1359298E" w14:textId="77777777" w:rsidR="00000000" w:rsidRDefault="007E65A2">
            <w:pPr>
              <w:pStyle w:val="a3"/>
              <w:spacing w:before="0" w:beforeAutospacing="0" w:after="0" w:afterAutospacing="0"/>
              <w:jc w:val="both"/>
              <w:rPr>
                <w:sz w:val="20"/>
                <w:szCs w:val="20"/>
              </w:rPr>
            </w:pPr>
            <w:r>
              <w:rPr>
                <w:rFonts w:ascii="Wingdings" w:hAnsi="Wingdings"/>
                <w:b/>
                <w:bCs/>
                <w:sz w:val="20"/>
                <w:szCs w:val="20"/>
              </w:rPr>
              <w:t>¨</w:t>
            </w:r>
          </w:p>
        </w:tc>
        <w:tc>
          <w:tcPr>
            <w:tcW w:w="0" w:type="auto"/>
            <w:hideMark/>
          </w:tcPr>
          <w:p w14:paraId="5E9BE9A7" w14:textId="77777777" w:rsidR="00000000" w:rsidRDefault="007E65A2">
            <w:pPr>
              <w:pStyle w:val="a3"/>
              <w:spacing w:before="0" w:beforeAutospacing="0" w:after="0" w:afterAutospacing="0"/>
              <w:jc w:val="both"/>
              <w:rPr>
                <w:sz w:val="20"/>
                <w:szCs w:val="20"/>
              </w:rPr>
            </w:pPr>
            <w:r>
              <w:rPr>
                <w:b/>
                <w:bCs/>
                <w:sz w:val="20"/>
                <w:szCs w:val="20"/>
              </w:rPr>
              <w:t>TRANSITION REPORT UNDER SECTION 13 OR 15(d) OF THE SECURITIES EXCHANGE ACT OF 1934</w:t>
            </w:r>
          </w:p>
        </w:tc>
      </w:tr>
      <w:tr w:rsidR="00000000" w14:paraId="6F285AFD" w14:textId="77777777">
        <w:trPr>
          <w:divId w:val="911279972"/>
          <w:trHeight w:val="180"/>
          <w:tblCellSpacing w:w="0" w:type="dxa"/>
        </w:trPr>
        <w:tc>
          <w:tcPr>
            <w:tcW w:w="0" w:type="auto"/>
            <w:vAlign w:val="center"/>
            <w:hideMark/>
          </w:tcPr>
          <w:p w14:paraId="51C83B71"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099D35DF" w14:textId="77777777" w:rsidR="00000000" w:rsidRDefault="007E65A2">
            <w:pPr>
              <w:pStyle w:val="a3"/>
              <w:spacing w:before="0" w:beforeAutospacing="0" w:after="0" w:afterAutospacing="0"/>
              <w:jc w:val="both"/>
              <w:rPr>
                <w:sz w:val="20"/>
                <w:szCs w:val="20"/>
              </w:rPr>
            </w:pPr>
            <w:r>
              <w:rPr>
                <w:sz w:val="20"/>
                <w:szCs w:val="20"/>
              </w:rPr>
              <w:t> </w:t>
            </w:r>
          </w:p>
        </w:tc>
      </w:tr>
      <w:tr w:rsidR="00000000" w14:paraId="56BAB4B1" w14:textId="77777777">
        <w:trPr>
          <w:divId w:val="911279972"/>
          <w:trHeight w:val="180"/>
          <w:tblCellSpacing w:w="0" w:type="dxa"/>
        </w:trPr>
        <w:tc>
          <w:tcPr>
            <w:tcW w:w="0" w:type="auto"/>
            <w:vAlign w:val="center"/>
            <w:hideMark/>
          </w:tcPr>
          <w:p w14:paraId="7A3797D7"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41C8FDBB" w14:textId="77777777" w:rsidR="00000000" w:rsidRDefault="007E65A2">
            <w:pPr>
              <w:pStyle w:val="a3"/>
              <w:spacing w:before="0" w:beforeAutospacing="0" w:after="0" w:afterAutospacing="0"/>
              <w:rPr>
                <w:sz w:val="20"/>
                <w:szCs w:val="20"/>
              </w:rPr>
            </w:pPr>
            <w:r>
              <w:rPr>
                <w:sz w:val="20"/>
                <w:szCs w:val="20"/>
              </w:rPr>
              <w:t>For the transition period from __________ to __________</w:t>
            </w:r>
          </w:p>
        </w:tc>
      </w:tr>
    </w:tbl>
    <w:p w14:paraId="53B2C843" w14:textId="77777777" w:rsidR="00000000" w:rsidRDefault="007E65A2">
      <w:pPr>
        <w:pStyle w:val="a3"/>
        <w:spacing w:before="0" w:beforeAutospacing="0" w:after="0" w:afterAutospacing="0"/>
        <w:jc w:val="both"/>
        <w:divId w:val="911279972"/>
        <w:rPr>
          <w:sz w:val="20"/>
          <w:szCs w:val="20"/>
        </w:rPr>
      </w:pPr>
      <w:r>
        <w:rPr>
          <w:sz w:val="20"/>
          <w:szCs w:val="20"/>
        </w:rPr>
        <w:t>  </w:t>
      </w:r>
    </w:p>
    <w:p w14:paraId="0CB983A4" w14:textId="77777777" w:rsidR="00000000" w:rsidRDefault="007E65A2">
      <w:pPr>
        <w:pStyle w:val="a3"/>
        <w:spacing w:before="0" w:beforeAutospacing="0" w:after="0" w:afterAutospacing="0"/>
        <w:jc w:val="center"/>
        <w:divId w:val="911279972"/>
        <w:rPr>
          <w:sz w:val="20"/>
          <w:szCs w:val="20"/>
        </w:rPr>
      </w:pPr>
      <w:r>
        <w:rPr>
          <w:sz w:val="20"/>
          <w:szCs w:val="20"/>
        </w:rPr>
        <w:t xml:space="preserve">Commission file number </w:t>
      </w:r>
      <w:r>
        <w:rPr>
          <w:b/>
          <w:bCs/>
          <w:sz w:val="20"/>
          <w:szCs w:val="20"/>
          <w:u w:val="single"/>
        </w:rPr>
        <w:t>000-55403</w:t>
      </w:r>
      <w:r>
        <w:rPr>
          <w:sz w:val="20"/>
          <w:szCs w:val="20"/>
          <w:u w:val="single"/>
        </w:rPr>
        <w:t xml:space="preserve"> </w:t>
      </w:r>
    </w:p>
    <w:p w14:paraId="43FBE120" w14:textId="77777777" w:rsidR="00000000" w:rsidRDefault="007E65A2">
      <w:pPr>
        <w:pStyle w:val="a3"/>
        <w:spacing w:before="0" w:beforeAutospacing="0" w:after="0" w:afterAutospacing="0"/>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53F3162" w14:textId="77777777">
        <w:trPr>
          <w:divId w:val="911279972"/>
          <w:tblCellSpacing w:w="0" w:type="dxa"/>
        </w:trPr>
        <w:tc>
          <w:tcPr>
            <w:tcW w:w="0" w:type="auto"/>
            <w:vAlign w:val="center"/>
            <w:hideMark/>
          </w:tcPr>
          <w:p w14:paraId="30F86B75" w14:textId="77777777" w:rsidR="00000000" w:rsidRDefault="007E65A2">
            <w:pPr>
              <w:pStyle w:val="a3"/>
              <w:rPr>
                <w:sz w:val="20"/>
                <w:szCs w:val="20"/>
              </w:rPr>
            </w:pPr>
          </w:p>
        </w:tc>
      </w:tr>
    </w:tbl>
    <w:p w14:paraId="24565A30" w14:textId="77777777" w:rsidR="00000000" w:rsidRDefault="007E65A2">
      <w:pPr>
        <w:jc w:val="both"/>
        <w:divId w:val="911279972"/>
        <w:rPr>
          <w:rFonts w:eastAsia="Times New Roman"/>
          <w:vanish/>
          <w:sz w:val="20"/>
          <w:szCs w:val="20"/>
        </w:rPr>
      </w:pPr>
    </w:p>
    <w:tbl>
      <w:tblPr>
        <w:tblW w:w="2500" w:type="pct"/>
        <w:jc w:val="center"/>
        <w:tblCellSpacing w:w="0" w:type="dxa"/>
        <w:shd w:val="clear" w:color="auto" w:fill="FFFFFF"/>
        <w:tblCellMar>
          <w:left w:w="0" w:type="dxa"/>
          <w:right w:w="0" w:type="dxa"/>
        </w:tblCellMar>
        <w:tblLook w:val="04A0" w:firstRow="1" w:lastRow="0" w:firstColumn="1" w:lastColumn="0" w:noHBand="0" w:noVBand="1"/>
      </w:tblPr>
      <w:tblGrid>
        <w:gridCol w:w="4153"/>
      </w:tblGrid>
      <w:tr w:rsidR="00000000" w14:paraId="587F8721" w14:textId="77777777">
        <w:trPr>
          <w:divId w:val="911279972"/>
          <w:tblCellSpacing w:w="0" w:type="dxa"/>
          <w:jc w:val="center"/>
        </w:trPr>
        <w:tc>
          <w:tcPr>
            <w:tcW w:w="4000" w:type="pct"/>
            <w:tcBorders>
              <w:bottom w:val="single" w:sz="6" w:space="0" w:color="auto"/>
            </w:tcBorders>
            <w:shd w:val="clear" w:color="auto" w:fill="FFFFFF"/>
            <w:hideMark/>
          </w:tcPr>
          <w:p w14:paraId="1FCEB842" w14:textId="77777777" w:rsidR="00000000" w:rsidRDefault="007E65A2">
            <w:pPr>
              <w:pStyle w:val="a3"/>
              <w:spacing w:before="0" w:beforeAutospacing="0" w:after="0" w:afterAutospacing="0"/>
              <w:jc w:val="center"/>
              <w:rPr>
                <w:sz w:val="20"/>
                <w:szCs w:val="20"/>
              </w:rPr>
            </w:pPr>
            <w:r>
              <w:rPr>
                <w:b/>
                <w:bCs/>
                <w:sz w:val="36"/>
                <w:szCs w:val="36"/>
              </w:rPr>
              <w:t>APPYEA, INC.</w:t>
            </w:r>
          </w:p>
        </w:tc>
      </w:tr>
      <w:tr w:rsidR="00000000" w14:paraId="71A26866" w14:textId="77777777">
        <w:trPr>
          <w:divId w:val="911279972"/>
          <w:tblCellSpacing w:w="0" w:type="dxa"/>
          <w:jc w:val="center"/>
        </w:trPr>
        <w:tc>
          <w:tcPr>
            <w:tcW w:w="4000" w:type="pct"/>
            <w:shd w:val="clear" w:color="auto" w:fill="FFFFFF"/>
            <w:hideMark/>
          </w:tcPr>
          <w:p w14:paraId="2F6FDDF2" w14:textId="77777777" w:rsidR="00000000" w:rsidRDefault="007E65A2">
            <w:pPr>
              <w:pStyle w:val="a3"/>
              <w:spacing w:before="0" w:beforeAutospacing="0" w:after="0" w:afterAutospacing="0"/>
              <w:jc w:val="center"/>
              <w:rPr>
                <w:sz w:val="20"/>
                <w:szCs w:val="20"/>
              </w:rPr>
            </w:pPr>
            <w:r>
              <w:rPr>
                <w:sz w:val="20"/>
                <w:szCs w:val="20"/>
              </w:rPr>
              <w:t>(Exact name of registrant as specified in its charter)</w:t>
            </w:r>
          </w:p>
        </w:tc>
      </w:tr>
    </w:tbl>
    <w:p w14:paraId="7E8C08F0" w14:textId="77777777" w:rsidR="00000000" w:rsidRDefault="007E65A2">
      <w:pPr>
        <w:pStyle w:val="a3"/>
        <w:spacing w:before="0" w:beforeAutospacing="0" w:after="0" w:afterAutospacing="0"/>
        <w:jc w:val="both"/>
        <w:divId w:val="911279972"/>
        <w:rPr>
          <w:sz w:val="20"/>
          <w:szCs w:val="20"/>
        </w:rPr>
      </w:pP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441E9E7" w14:textId="77777777">
        <w:trPr>
          <w:divId w:val="911279972"/>
          <w:tblCellSpacing w:w="0" w:type="dxa"/>
        </w:trPr>
        <w:tc>
          <w:tcPr>
            <w:tcW w:w="0" w:type="auto"/>
            <w:vAlign w:val="center"/>
            <w:hideMark/>
          </w:tcPr>
          <w:p w14:paraId="5D3FD101" w14:textId="77777777" w:rsidR="00000000" w:rsidRDefault="007E65A2">
            <w:pPr>
              <w:pStyle w:val="a3"/>
              <w:spacing w:before="0" w:beforeAutospacing="0" w:after="0" w:afterAutospacing="0"/>
              <w:jc w:val="both"/>
              <w:rPr>
                <w:sz w:val="20"/>
                <w:szCs w:val="20"/>
              </w:rPr>
            </w:pPr>
          </w:p>
        </w:tc>
      </w:tr>
    </w:tbl>
    <w:p w14:paraId="1FB73B41" w14:textId="77777777" w:rsidR="00000000" w:rsidRDefault="007E65A2">
      <w:pPr>
        <w:jc w:val="both"/>
        <w:divId w:val="911279972"/>
        <w:rPr>
          <w:rFonts w:eastAsia="Times New Roman"/>
          <w:vanish/>
          <w:sz w:val="20"/>
          <w:szCs w:val="20"/>
        </w:rPr>
      </w:pPr>
    </w:p>
    <w:tbl>
      <w:tblPr>
        <w:tblW w:w="4250" w:type="pct"/>
        <w:jc w:val="center"/>
        <w:tblCellSpacing w:w="0" w:type="dxa"/>
        <w:shd w:val="clear" w:color="auto" w:fill="FFFFFF"/>
        <w:tblCellMar>
          <w:left w:w="0" w:type="dxa"/>
          <w:right w:w="0" w:type="dxa"/>
        </w:tblCellMar>
        <w:tblLook w:val="04A0" w:firstRow="1" w:lastRow="0" w:firstColumn="1" w:lastColumn="0" w:noHBand="0" w:noVBand="1"/>
      </w:tblPr>
      <w:tblGrid>
        <w:gridCol w:w="3177"/>
        <w:gridCol w:w="706"/>
        <w:gridCol w:w="3177"/>
      </w:tblGrid>
      <w:tr w:rsidR="00000000" w14:paraId="6AF3DEBD" w14:textId="77777777">
        <w:trPr>
          <w:divId w:val="911279972"/>
          <w:tblCellSpacing w:w="0" w:type="dxa"/>
          <w:jc w:val="center"/>
        </w:trPr>
        <w:tc>
          <w:tcPr>
            <w:tcW w:w="2250" w:type="pct"/>
            <w:tcBorders>
              <w:bottom w:val="single" w:sz="6" w:space="0" w:color="auto"/>
            </w:tcBorders>
            <w:shd w:val="clear" w:color="auto" w:fill="FFFFFF"/>
            <w:vAlign w:val="bottom"/>
            <w:hideMark/>
          </w:tcPr>
          <w:p w14:paraId="5368FBA9" w14:textId="77777777" w:rsidR="00000000" w:rsidRDefault="007E65A2">
            <w:pPr>
              <w:pStyle w:val="a3"/>
              <w:spacing w:before="0" w:beforeAutospacing="0" w:after="0" w:afterAutospacing="0"/>
              <w:jc w:val="center"/>
              <w:rPr>
                <w:sz w:val="20"/>
                <w:szCs w:val="20"/>
              </w:rPr>
            </w:pPr>
            <w:r>
              <w:rPr>
                <w:b/>
                <w:bCs/>
                <w:sz w:val="20"/>
                <w:szCs w:val="20"/>
              </w:rPr>
              <w:t>South Dakota</w:t>
            </w:r>
          </w:p>
        </w:tc>
        <w:tc>
          <w:tcPr>
            <w:tcW w:w="500" w:type="pct"/>
            <w:shd w:val="clear" w:color="auto" w:fill="FFFFFF"/>
            <w:hideMark/>
          </w:tcPr>
          <w:p w14:paraId="7D8B746F" w14:textId="77777777" w:rsidR="00000000" w:rsidRDefault="007E65A2">
            <w:pPr>
              <w:pStyle w:val="a3"/>
              <w:spacing w:before="0" w:beforeAutospacing="0" w:after="0" w:afterAutospacing="0"/>
              <w:jc w:val="both"/>
              <w:rPr>
                <w:sz w:val="20"/>
                <w:szCs w:val="20"/>
              </w:rPr>
            </w:pPr>
            <w:r>
              <w:rPr>
                <w:sz w:val="20"/>
                <w:szCs w:val="20"/>
              </w:rPr>
              <w:t> </w:t>
            </w:r>
          </w:p>
        </w:tc>
        <w:tc>
          <w:tcPr>
            <w:tcW w:w="2250" w:type="pct"/>
            <w:tcBorders>
              <w:bottom w:val="single" w:sz="6" w:space="0" w:color="auto"/>
            </w:tcBorders>
            <w:shd w:val="clear" w:color="auto" w:fill="FFFFFF"/>
            <w:vAlign w:val="bottom"/>
            <w:hideMark/>
          </w:tcPr>
          <w:p w14:paraId="69FEB1B2" w14:textId="77777777" w:rsidR="00000000" w:rsidRDefault="007E65A2">
            <w:pPr>
              <w:pStyle w:val="a3"/>
              <w:spacing w:before="0" w:beforeAutospacing="0" w:after="0" w:afterAutospacing="0"/>
              <w:jc w:val="center"/>
              <w:rPr>
                <w:sz w:val="20"/>
                <w:szCs w:val="20"/>
              </w:rPr>
            </w:pPr>
            <w:r>
              <w:rPr>
                <w:b/>
                <w:bCs/>
                <w:sz w:val="20"/>
                <w:szCs w:val="20"/>
              </w:rPr>
              <w:t>46-1496846</w:t>
            </w:r>
          </w:p>
        </w:tc>
      </w:tr>
      <w:tr w:rsidR="00000000" w14:paraId="05A91704" w14:textId="77777777">
        <w:trPr>
          <w:divId w:val="911279972"/>
          <w:tblCellSpacing w:w="0" w:type="dxa"/>
          <w:jc w:val="center"/>
        </w:trPr>
        <w:tc>
          <w:tcPr>
            <w:tcW w:w="0" w:type="auto"/>
            <w:shd w:val="clear" w:color="auto" w:fill="FFFFFF"/>
            <w:hideMark/>
          </w:tcPr>
          <w:p w14:paraId="28B4FA23" w14:textId="77777777" w:rsidR="00000000" w:rsidRDefault="007E65A2">
            <w:pPr>
              <w:pStyle w:val="a3"/>
              <w:spacing w:before="0" w:beforeAutospacing="0" w:after="0" w:afterAutospacing="0"/>
              <w:jc w:val="center"/>
              <w:rPr>
                <w:sz w:val="20"/>
                <w:szCs w:val="20"/>
              </w:rPr>
            </w:pPr>
            <w:r>
              <w:rPr>
                <w:sz w:val="20"/>
                <w:szCs w:val="20"/>
              </w:rPr>
              <w:t>(State or other jurisdiction</w:t>
            </w:r>
          </w:p>
          <w:p w14:paraId="41ECE5C2" w14:textId="77777777" w:rsidR="00000000" w:rsidRDefault="007E65A2">
            <w:pPr>
              <w:pStyle w:val="a3"/>
              <w:spacing w:before="0" w:beforeAutospacing="0" w:after="0" w:afterAutospacing="0"/>
              <w:jc w:val="center"/>
              <w:rPr>
                <w:sz w:val="20"/>
                <w:szCs w:val="20"/>
              </w:rPr>
            </w:pPr>
            <w:r>
              <w:rPr>
                <w:sz w:val="20"/>
                <w:szCs w:val="20"/>
              </w:rPr>
              <w:t>of incorporation or organization)</w:t>
            </w:r>
          </w:p>
        </w:tc>
        <w:tc>
          <w:tcPr>
            <w:tcW w:w="0" w:type="auto"/>
            <w:shd w:val="clear" w:color="auto" w:fill="FFFFFF"/>
            <w:hideMark/>
          </w:tcPr>
          <w:p w14:paraId="3837238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365B135D" w14:textId="77777777" w:rsidR="00000000" w:rsidRDefault="007E65A2">
            <w:pPr>
              <w:pStyle w:val="a3"/>
              <w:spacing w:before="0" w:beforeAutospacing="0" w:after="0" w:afterAutospacing="0"/>
              <w:jc w:val="center"/>
              <w:rPr>
                <w:sz w:val="20"/>
                <w:szCs w:val="20"/>
              </w:rPr>
            </w:pPr>
            <w:r>
              <w:rPr>
                <w:sz w:val="20"/>
                <w:szCs w:val="20"/>
              </w:rPr>
              <w:t>(I.R.S. Employer</w:t>
            </w:r>
          </w:p>
          <w:p w14:paraId="5F02B365" w14:textId="77777777" w:rsidR="00000000" w:rsidRDefault="007E65A2">
            <w:pPr>
              <w:pStyle w:val="a3"/>
              <w:spacing w:before="0" w:beforeAutospacing="0" w:after="0" w:afterAutospacing="0"/>
              <w:jc w:val="center"/>
              <w:rPr>
                <w:sz w:val="20"/>
                <w:szCs w:val="20"/>
              </w:rPr>
            </w:pPr>
            <w:r>
              <w:rPr>
                <w:sz w:val="20"/>
                <w:szCs w:val="20"/>
              </w:rPr>
              <w:t>Identification No.)</w:t>
            </w:r>
          </w:p>
        </w:tc>
      </w:tr>
    </w:tbl>
    <w:p w14:paraId="42E4A874" w14:textId="77777777" w:rsidR="00000000" w:rsidRDefault="007E65A2">
      <w:pPr>
        <w:jc w:val="both"/>
        <w:divId w:val="911279972"/>
        <w:rPr>
          <w:rFonts w:eastAsia="Times New Roman"/>
          <w:sz w:val="20"/>
          <w:szCs w:val="20"/>
        </w:rPr>
      </w:pPr>
      <w:r>
        <w:rPr>
          <w:rFonts w:eastAsia="Times New Roman"/>
          <w:sz w:val="20"/>
          <w:szCs w:val="20"/>
        </w:rPr>
        <w:t xml:space="preserve">  </w:t>
      </w:r>
    </w:p>
    <w:tbl>
      <w:tblPr>
        <w:tblW w:w="4250" w:type="pct"/>
        <w:jc w:val="center"/>
        <w:tblCellSpacing w:w="0" w:type="dxa"/>
        <w:shd w:val="clear" w:color="auto" w:fill="FFFFFF"/>
        <w:tblCellMar>
          <w:left w:w="0" w:type="dxa"/>
          <w:right w:w="0" w:type="dxa"/>
        </w:tblCellMar>
        <w:tblLook w:val="04A0" w:firstRow="1" w:lastRow="0" w:firstColumn="1" w:lastColumn="0" w:noHBand="0" w:noVBand="1"/>
      </w:tblPr>
      <w:tblGrid>
        <w:gridCol w:w="3177"/>
        <w:gridCol w:w="706"/>
        <w:gridCol w:w="3177"/>
      </w:tblGrid>
      <w:tr w:rsidR="00000000" w14:paraId="2FB80D96" w14:textId="77777777">
        <w:trPr>
          <w:divId w:val="911279972"/>
          <w:tblCellSpacing w:w="0" w:type="dxa"/>
          <w:jc w:val="center"/>
        </w:trPr>
        <w:tc>
          <w:tcPr>
            <w:tcW w:w="2250" w:type="pct"/>
            <w:tcBorders>
              <w:bottom w:val="single" w:sz="6" w:space="0" w:color="auto"/>
            </w:tcBorders>
            <w:shd w:val="clear" w:color="auto" w:fill="FFFFFF"/>
            <w:vAlign w:val="bottom"/>
            <w:hideMark/>
          </w:tcPr>
          <w:p w14:paraId="591F463A" w14:textId="77777777" w:rsidR="00000000" w:rsidRDefault="007E65A2">
            <w:pPr>
              <w:pStyle w:val="a3"/>
              <w:spacing w:before="0" w:beforeAutospacing="0" w:after="0" w:afterAutospacing="0"/>
              <w:jc w:val="center"/>
              <w:rPr>
                <w:sz w:val="20"/>
                <w:szCs w:val="20"/>
              </w:rPr>
            </w:pPr>
            <w:r>
              <w:rPr>
                <w:b/>
                <w:bCs/>
                <w:sz w:val="20"/>
                <w:szCs w:val="20"/>
              </w:rPr>
              <w:t>777 Main Street, Suite 600, Fort Worth, Texas</w:t>
            </w:r>
          </w:p>
        </w:tc>
        <w:tc>
          <w:tcPr>
            <w:tcW w:w="500" w:type="pct"/>
            <w:shd w:val="clear" w:color="auto" w:fill="FFFFFF"/>
            <w:hideMark/>
          </w:tcPr>
          <w:p w14:paraId="1FD601FA" w14:textId="77777777" w:rsidR="00000000" w:rsidRDefault="007E65A2">
            <w:pPr>
              <w:pStyle w:val="a3"/>
              <w:spacing w:before="0" w:beforeAutospacing="0" w:after="0" w:afterAutospacing="0"/>
              <w:jc w:val="center"/>
              <w:rPr>
                <w:sz w:val="20"/>
                <w:szCs w:val="20"/>
              </w:rPr>
            </w:pPr>
            <w:r>
              <w:rPr>
                <w:sz w:val="20"/>
                <w:szCs w:val="20"/>
              </w:rPr>
              <w:t> </w:t>
            </w:r>
          </w:p>
        </w:tc>
        <w:tc>
          <w:tcPr>
            <w:tcW w:w="2250" w:type="pct"/>
            <w:tcBorders>
              <w:bottom w:val="single" w:sz="6" w:space="0" w:color="auto"/>
            </w:tcBorders>
            <w:shd w:val="clear" w:color="auto" w:fill="FFFFFF"/>
            <w:vAlign w:val="bottom"/>
            <w:hideMark/>
          </w:tcPr>
          <w:p w14:paraId="7016A4AA" w14:textId="77777777" w:rsidR="00000000" w:rsidRDefault="007E65A2">
            <w:pPr>
              <w:pStyle w:val="a3"/>
              <w:spacing w:before="0" w:beforeAutospacing="0" w:after="0" w:afterAutospacing="0"/>
              <w:jc w:val="center"/>
              <w:rPr>
                <w:sz w:val="20"/>
                <w:szCs w:val="20"/>
              </w:rPr>
            </w:pPr>
            <w:r>
              <w:rPr>
                <w:b/>
                <w:bCs/>
                <w:sz w:val="20"/>
                <w:szCs w:val="20"/>
              </w:rPr>
              <w:t>76102</w:t>
            </w:r>
          </w:p>
        </w:tc>
      </w:tr>
      <w:tr w:rsidR="00000000" w14:paraId="526A1A18" w14:textId="77777777">
        <w:trPr>
          <w:divId w:val="911279972"/>
          <w:tblCellSpacing w:w="0" w:type="dxa"/>
          <w:jc w:val="center"/>
        </w:trPr>
        <w:tc>
          <w:tcPr>
            <w:tcW w:w="0" w:type="auto"/>
            <w:shd w:val="clear" w:color="auto" w:fill="FFFFFF"/>
            <w:hideMark/>
          </w:tcPr>
          <w:p w14:paraId="42EE08D6" w14:textId="77777777" w:rsidR="00000000" w:rsidRDefault="007E65A2">
            <w:pPr>
              <w:pStyle w:val="a3"/>
              <w:spacing w:before="0" w:beforeAutospacing="0" w:after="0" w:afterAutospacing="0"/>
              <w:jc w:val="center"/>
              <w:rPr>
                <w:sz w:val="20"/>
                <w:szCs w:val="20"/>
              </w:rPr>
            </w:pPr>
            <w:r>
              <w:rPr>
                <w:sz w:val="20"/>
                <w:szCs w:val="20"/>
              </w:rPr>
              <w:t>(Address of principal executive offices)</w:t>
            </w:r>
          </w:p>
        </w:tc>
        <w:tc>
          <w:tcPr>
            <w:tcW w:w="0" w:type="auto"/>
            <w:shd w:val="clear" w:color="auto" w:fill="FFFFFF"/>
            <w:hideMark/>
          </w:tcPr>
          <w:p w14:paraId="40D5CF50" w14:textId="77777777" w:rsidR="00000000" w:rsidRDefault="007E65A2">
            <w:pPr>
              <w:pStyle w:val="a3"/>
              <w:spacing w:before="0" w:beforeAutospacing="0" w:after="0" w:afterAutospacing="0"/>
              <w:jc w:val="center"/>
              <w:rPr>
                <w:sz w:val="20"/>
                <w:szCs w:val="20"/>
              </w:rPr>
            </w:pPr>
            <w:r>
              <w:rPr>
                <w:sz w:val="20"/>
                <w:szCs w:val="20"/>
              </w:rPr>
              <w:t> </w:t>
            </w:r>
          </w:p>
        </w:tc>
        <w:tc>
          <w:tcPr>
            <w:tcW w:w="0" w:type="auto"/>
            <w:shd w:val="clear" w:color="auto" w:fill="FFFFFF"/>
            <w:hideMark/>
          </w:tcPr>
          <w:p w14:paraId="657EF42C" w14:textId="77777777" w:rsidR="00000000" w:rsidRDefault="007E65A2">
            <w:pPr>
              <w:pStyle w:val="a3"/>
              <w:spacing w:before="0" w:beforeAutospacing="0" w:after="0" w:afterAutospacing="0"/>
              <w:jc w:val="center"/>
              <w:rPr>
                <w:sz w:val="20"/>
                <w:szCs w:val="20"/>
              </w:rPr>
            </w:pPr>
            <w:r>
              <w:rPr>
                <w:sz w:val="20"/>
                <w:szCs w:val="20"/>
              </w:rPr>
              <w:t>(Zip Code)</w:t>
            </w:r>
          </w:p>
        </w:tc>
      </w:tr>
    </w:tbl>
    <w:p w14:paraId="4B77E9F4" w14:textId="77777777" w:rsidR="00000000" w:rsidRDefault="007E65A2">
      <w:pPr>
        <w:pStyle w:val="a3"/>
        <w:spacing w:before="0" w:beforeAutospacing="0" w:after="0" w:afterAutospacing="0"/>
        <w:jc w:val="center"/>
        <w:divId w:val="911279972"/>
        <w:rPr>
          <w:sz w:val="20"/>
          <w:szCs w:val="20"/>
        </w:rPr>
      </w:pPr>
      <w:r>
        <w:rPr>
          <w:sz w:val="20"/>
          <w:szCs w:val="20"/>
        </w:rPr>
        <w:t> </w:t>
      </w:r>
    </w:p>
    <w:p w14:paraId="52570A4F" w14:textId="77777777" w:rsidR="00000000" w:rsidRDefault="007E65A2">
      <w:pPr>
        <w:pStyle w:val="a3"/>
        <w:spacing w:before="0" w:beforeAutospacing="0" w:after="0" w:afterAutospacing="0"/>
        <w:jc w:val="center"/>
        <w:divId w:val="911279972"/>
        <w:rPr>
          <w:sz w:val="20"/>
          <w:szCs w:val="20"/>
        </w:rPr>
      </w:pPr>
      <w:r>
        <w:rPr>
          <w:sz w:val="20"/>
          <w:szCs w:val="20"/>
        </w:rPr>
        <w:t xml:space="preserve">Registrant’s telephone number, including area code: </w:t>
      </w:r>
      <w:r>
        <w:rPr>
          <w:b/>
          <w:bCs/>
          <w:sz w:val="20"/>
          <w:szCs w:val="20"/>
          <w:u w:val="single"/>
        </w:rPr>
        <w:t xml:space="preserve">(817) 887-814 </w:t>
      </w:r>
    </w:p>
    <w:p w14:paraId="70335C47" w14:textId="77777777" w:rsidR="00000000" w:rsidRDefault="007E65A2">
      <w:pPr>
        <w:pStyle w:val="a3"/>
        <w:spacing w:before="0" w:beforeAutospacing="0" w:after="0" w:afterAutospacing="0"/>
        <w:jc w:val="center"/>
        <w:divId w:val="911279972"/>
        <w:rPr>
          <w:sz w:val="20"/>
          <w:szCs w:val="20"/>
        </w:rPr>
      </w:pPr>
      <w:r>
        <w:rPr>
          <w:sz w:val="20"/>
          <w:szCs w:val="20"/>
        </w:rPr>
        <w:t> </w:t>
      </w:r>
    </w:p>
    <w:p w14:paraId="7D67F8FD" w14:textId="77777777" w:rsidR="00000000" w:rsidRDefault="007E65A2">
      <w:pPr>
        <w:pStyle w:val="a3"/>
        <w:spacing w:before="0" w:beforeAutospacing="0" w:after="0" w:afterAutospacing="0"/>
        <w:jc w:val="center"/>
        <w:divId w:val="911279972"/>
        <w:rPr>
          <w:sz w:val="20"/>
          <w:szCs w:val="20"/>
        </w:rPr>
      </w:pPr>
      <w:r>
        <w:rPr>
          <w:sz w:val="20"/>
          <w:szCs w:val="20"/>
        </w:rPr>
        <w:t xml:space="preserve">Securities registered pursuant to Section 12(b) of the Act: </w:t>
      </w:r>
    </w:p>
    <w:p w14:paraId="18C80304" w14:textId="77777777" w:rsidR="00000000" w:rsidRDefault="007E65A2">
      <w:pPr>
        <w:pStyle w:val="a3"/>
        <w:spacing w:before="0" w:beforeAutospacing="0" w:after="0" w:afterAutospacing="0"/>
        <w:jc w:val="center"/>
        <w:divId w:val="911279972"/>
        <w:rPr>
          <w:sz w:val="20"/>
          <w:szCs w:val="20"/>
        </w:rPr>
      </w:pPr>
      <w:r>
        <w:rPr>
          <w:sz w:val="20"/>
          <w:szCs w:val="20"/>
        </w:rPr>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000000" w14:paraId="44607534" w14:textId="77777777">
        <w:trPr>
          <w:divId w:val="911279972"/>
          <w:tblCellSpacing w:w="0" w:type="dxa"/>
          <w:jc w:val="center"/>
        </w:trPr>
        <w:tc>
          <w:tcPr>
            <w:tcW w:w="0" w:type="auto"/>
            <w:vAlign w:val="center"/>
            <w:hideMark/>
          </w:tcPr>
          <w:p w14:paraId="4C2862BB" w14:textId="77777777" w:rsidR="00000000" w:rsidRDefault="007E65A2">
            <w:pPr>
              <w:pStyle w:val="a3"/>
              <w:rPr>
                <w:sz w:val="20"/>
                <w:szCs w:val="20"/>
              </w:rPr>
            </w:pPr>
          </w:p>
        </w:tc>
      </w:tr>
    </w:tbl>
    <w:p w14:paraId="437D1A7E" w14:textId="77777777" w:rsidR="00000000" w:rsidRDefault="007E65A2">
      <w:pPr>
        <w:pStyle w:val="a3"/>
        <w:spacing w:before="0" w:beforeAutospacing="0" w:after="0" w:afterAutospacing="0"/>
        <w:jc w:val="both"/>
        <w:divId w:val="911279972"/>
        <w:rPr>
          <w:vanish/>
          <w:sz w:val="20"/>
          <w:szCs w:val="20"/>
        </w:rPr>
      </w:pPr>
    </w:p>
    <w:tbl>
      <w:tblPr>
        <w:tblW w:w="4250" w:type="pct"/>
        <w:jc w:val="center"/>
        <w:tblCellSpacing w:w="0" w:type="dxa"/>
        <w:tblBorders>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325"/>
        <w:gridCol w:w="2326"/>
        <w:gridCol w:w="2396"/>
      </w:tblGrid>
      <w:tr w:rsidR="00000000" w14:paraId="4E502804" w14:textId="77777777">
        <w:trPr>
          <w:divId w:val="911279972"/>
          <w:tblCellSpacing w:w="0" w:type="dxa"/>
          <w:jc w:val="center"/>
        </w:trPr>
        <w:tc>
          <w:tcPr>
            <w:tcW w:w="1650" w:type="pct"/>
            <w:tcBorders>
              <w:top w:val="single" w:sz="6" w:space="0" w:color="000000"/>
              <w:left w:val="single" w:sz="6" w:space="0" w:color="000000"/>
            </w:tcBorders>
            <w:shd w:val="clear" w:color="auto" w:fill="FFFFFF"/>
            <w:hideMark/>
          </w:tcPr>
          <w:p w14:paraId="316E1C01" w14:textId="77777777" w:rsidR="00000000" w:rsidRDefault="007E65A2">
            <w:pPr>
              <w:pStyle w:val="a3"/>
              <w:spacing w:before="0" w:beforeAutospacing="0" w:after="0" w:afterAutospacing="0"/>
              <w:jc w:val="center"/>
              <w:rPr>
                <w:sz w:val="20"/>
                <w:szCs w:val="20"/>
              </w:rPr>
            </w:pPr>
            <w:r>
              <w:rPr>
                <w:sz w:val="20"/>
                <w:szCs w:val="20"/>
              </w:rPr>
              <w:t>Title of each class</w:t>
            </w:r>
          </w:p>
        </w:tc>
        <w:tc>
          <w:tcPr>
            <w:tcW w:w="1650" w:type="pct"/>
            <w:tcBorders>
              <w:top w:val="single" w:sz="6" w:space="0" w:color="000000"/>
              <w:left w:val="single" w:sz="6" w:space="0" w:color="000000"/>
            </w:tcBorders>
            <w:shd w:val="clear" w:color="auto" w:fill="FFFFFF"/>
            <w:hideMark/>
          </w:tcPr>
          <w:p w14:paraId="68353019" w14:textId="77777777" w:rsidR="00000000" w:rsidRDefault="007E65A2">
            <w:pPr>
              <w:pStyle w:val="a3"/>
              <w:spacing w:before="0" w:beforeAutospacing="0" w:after="0" w:afterAutospacing="0"/>
              <w:jc w:val="center"/>
              <w:rPr>
                <w:sz w:val="20"/>
                <w:szCs w:val="20"/>
              </w:rPr>
            </w:pPr>
            <w:r>
              <w:rPr>
                <w:sz w:val="20"/>
                <w:szCs w:val="20"/>
              </w:rPr>
              <w:t>Trading Symbol(s)</w:t>
            </w:r>
          </w:p>
        </w:tc>
        <w:tc>
          <w:tcPr>
            <w:tcW w:w="1700" w:type="pct"/>
            <w:tcBorders>
              <w:top w:val="single" w:sz="6" w:space="0" w:color="000000"/>
              <w:left w:val="single" w:sz="6" w:space="0" w:color="000000"/>
            </w:tcBorders>
            <w:shd w:val="clear" w:color="auto" w:fill="FFFFFF"/>
            <w:hideMark/>
          </w:tcPr>
          <w:p w14:paraId="5B8311D6" w14:textId="77777777" w:rsidR="00000000" w:rsidRDefault="007E65A2">
            <w:pPr>
              <w:pStyle w:val="a3"/>
              <w:spacing w:before="0" w:beforeAutospacing="0" w:after="0" w:afterAutospacing="0"/>
              <w:jc w:val="center"/>
              <w:rPr>
                <w:sz w:val="20"/>
                <w:szCs w:val="20"/>
              </w:rPr>
            </w:pPr>
            <w:r>
              <w:rPr>
                <w:sz w:val="20"/>
                <w:szCs w:val="20"/>
              </w:rPr>
              <w:t>Name of each exchange on which registered</w:t>
            </w:r>
          </w:p>
        </w:tc>
      </w:tr>
      <w:tr w:rsidR="00000000" w14:paraId="742C814C" w14:textId="77777777">
        <w:trPr>
          <w:divId w:val="911279972"/>
          <w:tblCellSpacing w:w="0" w:type="dxa"/>
          <w:jc w:val="center"/>
        </w:trPr>
        <w:tc>
          <w:tcPr>
            <w:tcW w:w="0" w:type="auto"/>
            <w:tcBorders>
              <w:top w:val="single" w:sz="6" w:space="0" w:color="000000"/>
              <w:left w:val="single" w:sz="6" w:space="0" w:color="000000"/>
            </w:tcBorders>
            <w:shd w:val="clear" w:color="auto" w:fill="FFFFFF"/>
            <w:hideMark/>
          </w:tcPr>
          <w:p w14:paraId="741C0328" w14:textId="77777777" w:rsidR="00000000" w:rsidRDefault="007E65A2">
            <w:pPr>
              <w:pStyle w:val="a3"/>
              <w:spacing w:before="0" w:beforeAutospacing="0" w:after="0" w:afterAutospacing="0"/>
              <w:jc w:val="center"/>
              <w:rPr>
                <w:sz w:val="20"/>
                <w:szCs w:val="20"/>
              </w:rPr>
            </w:pPr>
            <w:r>
              <w:rPr>
                <w:b/>
                <w:bCs/>
                <w:sz w:val="20"/>
                <w:szCs w:val="20"/>
              </w:rPr>
              <w:t>None</w:t>
            </w:r>
          </w:p>
        </w:tc>
        <w:tc>
          <w:tcPr>
            <w:tcW w:w="0" w:type="auto"/>
            <w:tcBorders>
              <w:top w:val="single" w:sz="6" w:space="0" w:color="000000"/>
              <w:left w:val="single" w:sz="6" w:space="0" w:color="000000"/>
            </w:tcBorders>
            <w:shd w:val="clear" w:color="auto" w:fill="FFFFFF"/>
            <w:hideMark/>
          </w:tcPr>
          <w:p w14:paraId="71B21056" w14:textId="77777777" w:rsidR="00000000" w:rsidRDefault="007E65A2">
            <w:pPr>
              <w:pStyle w:val="a3"/>
              <w:spacing w:before="0" w:beforeAutospacing="0" w:after="0" w:afterAutospacing="0"/>
              <w:jc w:val="center"/>
              <w:rPr>
                <w:sz w:val="20"/>
                <w:szCs w:val="20"/>
              </w:rPr>
            </w:pPr>
            <w:r>
              <w:rPr>
                <w:b/>
                <w:bCs/>
                <w:sz w:val="20"/>
                <w:szCs w:val="20"/>
              </w:rPr>
              <w:t>None</w:t>
            </w:r>
          </w:p>
        </w:tc>
        <w:tc>
          <w:tcPr>
            <w:tcW w:w="0" w:type="auto"/>
            <w:tcBorders>
              <w:top w:val="single" w:sz="6" w:space="0" w:color="000000"/>
              <w:left w:val="single" w:sz="6" w:space="0" w:color="000000"/>
            </w:tcBorders>
            <w:shd w:val="clear" w:color="auto" w:fill="FFFFFF"/>
            <w:hideMark/>
          </w:tcPr>
          <w:p w14:paraId="5729A85B" w14:textId="77777777" w:rsidR="00000000" w:rsidRDefault="007E65A2">
            <w:pPr>
              <w:pStyle w:val="a3"/>
              <w:spacing w:before="0" w:beforeAutospacing="0" w:after="0" w:afterAutospacing="0"/>
              <w:jc w:val="center"/>
              <w:rPr>
                <w:sz w:val="20"/>
                <w:szCs w:val="20"/>
              </w:rPr>
            </w:pPr>
            <w:r>
              <w:rPr>
                <w:b/>
                <w:bCs/>
                <w:sz w:val="20"/>
                <w:szCs w:val="20"/>
              </w:rPr>
              <w:t>None</w:t>
            </w:r>
          </w:p>
        </w:tc>
      </w:tr>
    </w:tbl>
    <w:p w14:paraId="6A69436F" w14:textId="77777777" w:rsidR="00000000" w:rsidRDefault="007E65A2">
      <w:pPr>
        <w:pStyle w:val="a3"/>
        <w:spacing w:before="0" w:beforeAutospacing="0" w:after="0" w:afterAutospacing="0"/>
        <w:jc w:val="both"/>
        <w:divId w:val="911279972"/>
        <w:rPr>
          <w:sz w:val="20"/>
          <w:szCs w:val="20"/>
        </w:rPr>
      </w:pPr>
      <w:r>
        <w:rPr>
          <w:sz w:val="20"/>
          <w:szCs w:val="20"/>
        </w:rPr>
        <w:t> </w:t>
      </w:r>
    </w:p>
    <w:p w14:paraId="634CD8DB" w14:textId="77777777" w:rsidR="00000000" w:rsidRDefault="007E65A2">
      <w:pPr>
        <w:pStyle w:val="a3"/>
        <w:spacing w:before="0" w:beforeAutospacing="0" w:after="0" w:afterAutospacing="0"/>
        <w:jc w:val="center"/>
        <w:divId w:val="911279972"/>
        <w:rPr>
          <w:sz w:val="20"/>
          <w:szCs w:val="20"/>
        </w:rPr>
      </w:pPr>
      <w:r>
        <w:rPr>
          <w:sz w:val="20"/>
          <w:szCs w:val="20"/>
        </w:rPr>
        <w:t>Securities registered pursuant to Section 12(g) of the Act:</w:t>
      </w:r>
    </w:p>
    <w:p w14:paraId="16283A1B" w14:textId="77777777" w:rsidR="00000000" w:rsidRDefault="007E65A2">
      <w:pPr>
        <w:pStyle w:val="a3"/>
        <w:spacing w:before="0" w:beforeAutospacing="0" w:after="0" w:afterAutospacing="0"/>
        <w:jc w:val="center"/>
        <w:divId w:val="911279972"/>
        <w:rPr>
          <w:sz w:val="20"/>
          <w:szCs w:val="20"/>
        </w:rPr>
      </w:pPr>
      <w:r>
        <w:rPr>
          <w:sz w:val="20"/>
          <w:szCs w:val="20"/>
        </w:rPr>
        <w:t> </w:t>
      </w:r>
    </w:p>
    <w:p w14:paraId="2049CA8B" w14:textId="77777777" w:rsidR="00000000" w:rsidRDefault="007E65A2">
      <w:pPr>
        <w:pStyle w:val="a3"/>
        <w:spacing w:before="0" w:beforeAutospacing="0" w:after="0" w:afterAutospacing="0"/>
        <w:jc w:val="center"/>
        <w:divId w:val="911279972"/>
        <w:rPr>
          <w:sz w:val="20"/>
          <w:szCs w:val="20"/>
        </w:rPr>
      </w:pPr>
      <w:r>
        <w:rPr>
          <w:b/>
          <w:bCs/>
          <w:sz w:val="20"/>
          <w:szCs w:val="20"/>
          <w:u w:val="single"/>
        </w:rPr>
        <w:t>Common Stock, $0.0001 par value per share</w:t>
      </w:r>
    </w:p>
    <w:p w14:paraId="49EBFAD5" w14:textId="77777777" w:rsidR="00000000" w:rsidRDefault="007E65A2">
      <w:pPr>
        <w:pStyle w:val="a3"/>
        <w:spacing w:before="0" w:beforeAutospacing="0" w:after="0" w:afterAutospacing="0"/>
        <w:jc w:val="center"/>
        <w:divId w:val="911279972"/>
        <w:rPr>
          <w:sz w:val="20"/>
          <w:szCs w:val="20"/>
        </w:rPr>
      </w:pPr>
      <w:r>
        <w:rPr>
          <w:sz w:val="20"/>
          <w:szCs w:val="20"/>
        </w:rPr>
        <w:t>(Title of class)</w:t>
      </w:r>
    </w:p>
    <w:p w14:paraId="7D028A07" w14:textId="77777777" w:rsidR="00000000" w:rsidRDefault="007E65A2">
      <w:pPr>
        <w:pStyle w:val="a3"/>
        <w:spacing w:before="0" w:beforeAutospacing="0" w:after="0" w:afterAutospacing="0"/>
        <w:jc w:val="both"/>
        <w:divId w:val="911279972"/>
        <w:rPr>
          <w:sz w:val="20"/>
          <w:szCs w:val="20"/>
        </w:rPr>
      </w:pPr>
      <w:r>
        <w:rPr>
          <w:sz w:val="20"/>
          <w:szCs w:val="20"/>
        </w:rPr>
        <w:t> </w:t>
      </w:r>
    </w:p>
    <w:p w14:paraId="657627C6" w14:textId="77777777" w:rsidR="00000000" w:rsidRDefault="007E65A2">
      <w:pPr>
        <w:pStyle w:val="a3"/>
        <w:spacing w:before="0" w:beforeAutospacing="0" w:after="0" w:afterAutospacing="0"/>
        <w:jc w:val="both"/>
        <w:divId w:val="911279972"/>
        <w:rPr>
          <w:sz w:val="20"/>
          <w:szCs w:val="20"/>
        </w:rPr>
      </w:pPr>
      <w:r>
        <w:rPr>
          <w:sz w:val="20"/>
          <w:szCs w:val="20"/>
        </w:rPr>
        <w:t>Indicate by check mark if the registrant is a well-known seasoned issuer, as defined in Rule 405 the Securities Act. Yes </w:t>
      </w:r>
      <w:r>
        <w:rPr>
          <w:rFonts w:ascii="Wingdings" w:hAnsi="Wingdings"/>
          <w:sz w:val="20"/>
          <w:szCs w:val="20"/>
        </w:rPr>
        <w:t>¨</w:t>
      </w:r>
      <w:r>
        <w:rPr>
          <w:rFonts w:ascii="Wingdings" w:hAnsi="Wingdings"/>
          <w:sz w:val="20"/>
          <w:szCs w:val="20"/>
        </w:rPr>
        <w:t xml:space="preserve"> </w:t>
      </w:r>
      <w:r>
        <w:rPr>
          <w:sz w:val="20"/>
          <w:szCs w:val="20"/>
        </w:rPr>
        <w:t xml:space="preserve">No </w:t>
      </w:r>
      <w:r>
        <w:rPr>
          <w:rFonts w:ascii="Wingdings" w:hAnsi="Wingdings"/>
          <w:sz w:val="20"/>
          <w:szCs w:val="20"/>
        </w:rPr>
        <w:t>x</w:t>
      </w:r>
    </w:p>
    <w:p w14:paraId="00E0D33D" w14:textId="77777777" w:rsidR="00000000" w:rsidRDefault="007E65A2">
      <w:pPr>
        <w:pStyle w:val="a3"/>
        <w:spacing w:before="0" w:beforeAutospacing="0" w:after="0" w:afterAutospacing="0"/>
        <w:jc w:val="both"/>
        <w:divId w:val="911279972"/>
        <w:rPr>
          <w:sz w:val="20"/>
          <w:szCs w:val="20"/>
        </w:rPr>
      </w:pPr>
      <w:r>
        <w:rPr>
          <w:sz w:val="20"/>
          <w:szCs w:val="20"/>
        </w:rPr>
        <w:t> </w:t>
      </w:r>
    </w:p>
    <w:p w14:paraId="4C148BBF" w14:textId="77777777" w:rsidR="00000000" w:rsidRDefault="007E65A2">
      <w:pPr>
        <w:pStyle w:val="a3"/>
        <w:spacing w:before="0" w:beforeAutospacing="0" w:after="0" w:afterAutospacing="0"/>
        <w:jc w:val="both"/>
        <w:divId w:val="911279972"/>
        <w:rPr>
          <w:sz w:val="20"/>
          <w:szCs w:val="20"/>
        </w:rPr>
      </w:pPr>
      <w:r>
        <w:rPr>
          <w:sz w:val="20"/>
          <w:szCs w:val="20"/>
        </w:rPr>
        <w:t>Indicate by check mark if the registrant is not required to file reports pursuant to Section 13 or Section 15(d) of the Act Ye</w:t>
      </w:r>
      <w:r>
        <w:rPr>
          <w:sz w:val="20"/>
          <w:szCs w:val="20"/>
        </w:rPr>
        <w:t>s </w:t>
      </w:r>
      <w:r>
        <w:rPr>
          <w:rFonts w:ascii="Wingdings" w:hAnsi="Wingdings"/>
          <w:sz w:val="20"/>
          <w:szCs w:val="20"/>
        </w:rPr>
        <w:t>¨</w:t>
      </w:r>
      <w:r>
        <w:rPr>
          <w:rFonts w:ascii="Wingdings" w:hAnsi="Wingdings"/>
          <w:sz w:val="20"/>
          <w:szCs w:val="20"/>
        </w:rPr>
        <w:t xml:space="preserve"> </w:t>
      </w:r>
      <w:r>
        <w:rPr>
          <w:sz w:val="20"/>
          <w:szCs w:val="20"/>
        </w:rPr>
        <w:t xml:space="preserve">No </w:t>
      </w:r>
      <w:r>
        <w:rPr>
          <w:rFonts w:ascii="Wingdings" w:hAnsi="Wingdings"/>
          <w:sz w:val="20"/>
          <w:szCs w:val="20"/>
        </w:rPr>
        <w:t>x</w:t>
      </w:r>
    </w:p>
    <w:p w14:paraId="4B420E41" w14:textId="77777777" w:rsidR="00000000" w:rsidRDefault="007E65A2">
      <w:pPr>
        <w:pStyle w:val="a3"/>
        <w:spacing w:before="0" w:beforeAutospacing="0" w:after="0" w:afterAutospacing="0"/>
        <w:jc w:val="both"/>
        <w:divId w:val="911279972"/>
        <w:rPr>
          <w:sz w:val="20"/>
          <w:szCs w:val="20"/>
        </w:rPr>
      </w:pPr>
      <w:r>
        <w:rPr>
          <w:sz w:val="20"/>
          <w:szCs w:val="20"/>
        </w:rPr>
        <w:t> </w:t>
      </w:r>
    </w:p>
    <w:p w14:paraId="4029C02F" w14:textId="77777777" w:rsidR="00000000" w:rsidRDefault="007E65A2">
      <w:pPr>
        <w:pStyle w:val="a3"/>
        <w:spacing w:before="0" w:beforeAutospacing="0" w:after="0" w:afterAutospacing="0"/>
        <w:jc w:val="both"/>
        <w:divId w:val="911279972"/>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w:t>
      </w:r>
      <w:r>
        <w:rPr>
          <w:sz w:val="20"/>
          <w:szCs w:val="20"/>
        </w:rPr>
        <w:t xml:space="preserve">d to file such reports), and (2) has been subject to such filing requirements for the last 90 days. Yes </w:t>
      </w:r>
      <w:r>
        <w:rPr>
          <w:rFonts w:ascii="Wingdings" w:hAnsi="Wingdings"/>
          <w:sz w:val="20"/>
          <w:szCs w:val="20"/>
        </w:rPr>
        <w:t>x</w:t>
      </w:r>
      <w:r>
        <w:rPr>
          <w:rFonts w:ascii="Wingdings" w:hAnsi="Wingdings"/>
          <w:b/>
          <w:bCs/>
          <w:sz w:val="20"/>
          <w:szCs w:val="20"/>
        </w:rPr>
        <w:t xml:space="preserve"> </w:t>
      </w:r>
      <w:r>
        <w:rPr>
          <w:sz w:val="20"/>
          <w:szCs w:val="20"/>
        </w:rPr>
        <w:t xml:space="preserve">No </w:t>
      </w:r>
      <w:r>
        <w:rPr>
          <w:rFonts w:ascii="Wingdings" w:hAnsi="Wingdings"/>
          <w:sz w:val="20"/>
          <w:szCs w:val="20"/>
        </w:rPr>
        <w:t>¨</w:t>
      </w:r>
    </w:p>
    <w:p w14:paraId="1CBEAC7C" w14:textId="77777777" w:rsidR="00000000" w:rsidRDefault="007E65A2">
      <w:pPr>
        <w:pStyle w:val="a3"/>
        <w:spacing w:before="0" w:beforeAutospacing="0" w:after="0" w:afterAutospacing="0"/>
        <w:jc w:val="both"/>
        <w:divId w:val="911279972"/>
        <w:rPr>
          <w:sz w:val="20"/>
          <w:szCs w:val="20"/>
        </w:rPr>
      </w:pPr>
      <w:r>
        <w:rPr>
          <w:sz w:val="20"/>
          <w:szCs w:val="20"/>
        </w:rPr>
        <w:t> </w:t>
      </w:r>
    </w:p>
    <w:p w14:paraId="59EBC99E" w14:textId="77777777" w:rsidR="00000000" w:rsidRDefault="007E65A2">
      <w:pPr>
        <w:pStyle w:val="a3"/>
        <w:spacing w:before="0" w:beforeAutospacing="0" w:after="0" w:afterAutospacing="0"/>
        <w:jc w:val="both"/>
        <w:divId w:val="911279972"/>
        <w:rPr>
          <w:sz w:val="20"/>
          <w:szCs w:val="20"/>
        </w:rPr>
      </w:pPr>
      <w:r>
        <w:rPr>
          <w:sz w:val="20"/>
          <w:szCs w:val="20"/>
        </w:rPr>
        <w:t>Indicate by check mark whether the registrant has submitted electronically every Interactive Data File required to be submitted pursuant to Rul</w:t>
      </w:r>
      <w:r>
        <w:rPr>
          <w:sz w:val="20"/>
          <w:szCs w:val="20"/>
        </w:rPr>
        <w:t xml:space="preserve">e 405 of Regulation S-T (§232.405 of this chapter) during the preceding 12 months (or for such shorter period that the registrant was required to submit such files). Yes </w:t>
      </w:r>
      <w:r>
        <w:rPr>
          <w:rFonts w:ascii="Wingdings" w:hAnsi="Wingdings"/>
          <w:sz w:val="20"/>
          <w:szCs w:val="20"/>
        </w:rPr>
        <w:t>x</w:t>
      </w:r>
      <w:r>
        <w:rPr>
          <w:rFonts w:ascii="Wingdings" w:hAnsi="Wingdings"/>
          <w:b/>
          <w:bCs/>
          <w:sz w:val="20"/>
          <w:szCs w:val="20"/>
        </w:rPr>
        <w:t xml:space="preserve"> </w:t>
      </w:r>
      <w:r>
        <w:rPr>
          <w:sz w:val="20"/>
          <w:szCs w:val="20"/>
        </w:rPr>
        <w:t xml:space="preserve">No </w:t>
      </w:r>
      <w:r>
        <w:rPr>
          <w:rFonts w:ascii="Wingdings" w:hAnsi="Wingdings"/>
          <w:sz w:val="20"/>
          <w:szCs w:val="20"/>
        </w:rPr>
        <w:t>¨</w:t>
      </w:r>
    </w:p>
    <w:p w14:paraId="45A2918F" w14:textId="77777777" w:rsidR="00000000" w:rsidRDefault="007E65A2">
      <w:pPr>
        <w:pStyle w:val="a3"/>
        <w:spacing w:before="0" w:beforeAutospacing="0" w:after="0" w:afterAutospacing="0"/>
        <w:jc w:val="both"/>
        <w:divId w:val="911279972"/>
        <w:rPr>
          <w:sz w:val="20"/>
          <w:szCs w:val="20"/>
        </w:rPr>
      </w:pPr>
      <w:r>
        <w:rPr>
          <w:sz w:val="20"/>
          <w:szCs w:val="20"/>
        </w:rPr>
        <w:lastRenderedPageBreak/>
        <w:t> </w:t>
      </w:r>
    </w:p>
    <w:p w14:paraId="08B6E8A7" w14:textId="77777777" w:rsidR="00000000" w:rsidRDefault="007E65A2">
      <w:pPr>
        <w:pStyle w:val="a3"/>
        <w:spacing w:before="0" w:beforeAutospacing="0" w:after="0" w:afterAutospacing="0"/>
        <w:jc w:val="both"/>
        <w:divId w:val="911279972"/>
        <w:rPr>
          <w:sz w:val="20"/>
          <w:szCs w:val="20"/>
        </w:rPr>
      </w:pPr>
      <w:r>
        <w:rPr>
          <w:sz w:val="20"/>
          <w:szCs w:val="20"/>
        </w:rPr>
        <w:t>Indicate by check mark whether the registrant is a large accelerated filer, a</w:t>
      </w:r>
      <w:r>
        <w:rPr>
          <w:sz w:val="20"/>
          <w:szCs w:val="20"/>
        </w:rPr>
        <w:t>n accelerated filer, a non-accelerated filer, smaller reporting company, or an emerging growth company. See the definitions of “large accelerated filer,” “accelerated filer,” “smaller reporting company,” and “emerging growth company” in Rule 12b-2 of the E</w:t>
      </w:r>
      <w:r>
        <w:rPr>
          <w:sz w:val="20"/>
          <w:szCs w:val="20"/>
        </w:rPr>
        <w:t xml:space="preserve">xchange Act. </w:t>
      </w:r>
    </w:p>
    <w:p w14:paraId="6C081001"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4250" w:type="pct"/>
        <w:jc w:val="center"/>
        <w:tblCellSpacing w:w="0" w:type="dxa"/>
        <w:shd w:val="clear" w:color="auto" w:fill="FFFFFF"/>
        <w:tblCellMar>
          <w:left w:w="0" w:type="dxa"/>
          <w:right w:w="0" w:type="dxa"/>
        </w:tblCellMar>
        <w:tblLook w:val="04A0" w:firstRow="1" w:lastRow="0" w:firstColumn="1" w:lastColumn="0" w:noHBand="0" w:noVBand="1"/>
      </w:tblPr>
      <w:tblGrid>
        <w:gridCol w:w="1965"/>
        <w:gridCol w:w="2324"/>
        <w:gridCol w:w="1966"/>
        <w:gridCol w:w="805"/>
      </w:tblGrid>
      <w:tr w:rsidR="00000000" w14:paraId="71B1C726" w14:textId="77777777">
        <w:trPr>
          <w:divId w:val="911279972"/>
          <w:tblCellSpacing w:w="0" w:type="dxa"/>
          <w:jc w:val="center"/>
        </w:trPr>
        <w:tc>
          <w:tcPr>
            <w:tcW w:w="1100" w:type="pct"/>
            <w:shd w:val="clear" w:color="auto" w:fill="FFFFFF"/>
            <w:vAlign w:val="bottom"/>
            <w:hideMark/>
          </w:tcPr>
          <w:p w14:paraId="0C5ADF31" w14:textId="77777777" w:rsidR="00000000" w:rsidRDefault="007E65A2">
            <w:pPr>
              <w:pStyle w:val="a3"/>
              <w:spacing w:before="0" w:beforeAutospacing="0" w:after="0" w:afterAutospacing="0"/>
              <w:jc w:val="both"/>
              <w:rPr>
                <w:sz w:val="20"/>
                <w:szCs w:val="20"/>
              </w:rPr>
            </w:pPr>
            <w:r>
              <w:rPr>
                <w:sz w:val="20"/>
                <w:szCs w:val="20"/>
              </w:rPr>
              <w:t>Large accelerated filer</w:t>
            </w:r>
          </w:p>
        </w:tc>
        <w:tc>
          <w:tcPr>
            <w:tcW w:w="1300" w:type="pct"/>
            <w:shd w:val="clear" w:color="auto" w:fill="FFFFFF"/>
            <w:vAlign w:val="bottom"/>
            <w:hideMark/>
          </w:tcPr>
          <w:p w14:paraId="153112C6" w14:textId="77777777" w:rsidR="00000000" w:rsidRDefault="007E65A2">
            <w:pPr>
              <w:pStyle w:val="a3"/>
              <w:spacing w:before="0" w:beforeAutospacing="0" w:after="0" w:afterAutospacing="0"/>
              <w:jc w:val="both"/>
              <w:rPr>
                <w:sz w:val="20"/>
                <w:szCs w:val="20"/>
              </w:rPr>
            </w:pPr>
            <w:r>
              <w:rPr>
                <w:rFonts w:ascii="Wingdings" w:hAnsi="Wingdings"/>
                <w:sz w:val="20"/>
                <w:szCs w:val="20"/>
              </w:rPr>
              <w:t>¨</w:t>
            </w:r>
          </w:p>
        </w:tc>
        <w:tc>
          <w:tcPr>
            <w:tcW w:w="1100" w:type="pct"/>
            <w:shd w:val="clear" w:color="auto" w:fill="FFFFFF"/>
            <w:vAlign w:val="bottom"/>
            <w:hideMark/>
          </w:tcPr>
          <w:p w14:paraId="16AA03B5" w14:textId="77777777" w:rsidR="00000000" w:rsidRDefault="007E65A2">
            <w:pPr>
              <w:pStyle w:val="a3"/>
              <w:spacing w:before="0" w:beforeAutospacing="0" w:after="0" w:afterAutospacing="0"/>
              <w:jc w:val="both"/>
              <w:rPr>
                <w:sz w:val="20"/>
                <w:szCs w:val="20"/>
              </w:rPr>
            </w:pPr>
            <w:r>
              <w:rPr>
                <w:sz w:val="20"/>
                <w:szCs w:val="20"/>
              </w:rPr>
              <w:t>Accelerated filer</w:t>
            </w:r>
          </w:p>
        </w:tc>
        <w:tc>
          <w:tcPr>
            <w:tcW w:w="450" w:type="pct"/>
            <w:shd w:val="clear" w:color="auto" w:fill="FFFFFF"/>
            <w:vAlign w:val="bottom"/>
            <w:hideMark/>
          </w:tcPr>
          <w:p w14:paraId="135CFF10" w14:textId="77777777" w:rsidR="00000000" w:rsidRDefault="007E65A2">
            <w:pPr>
              <w:pStyle w:val="a3"/>
              <w:spacing w:before="0" w:beforeAutospacing="0" w:after="0" w:afterAutospacing="0"/>
              <w:jc w:val="both"/>
              <w:rPr>
                <w:sz w:val="20"/>
                <w:szCs w:val="20"/>
              </w:rPr>
            </w:pPr>
            <w:r>
              <w:rPr>
                <w:rFonts w:ascii="Wingdings" w:hAnsi="Wingdings"/>
                <w:sz w:val="20"/>
                <w:szCs w:val="20"/>
              </w:rPr>
              <w:t>¨</w:t>
            </w:r>
          </w:p>
        </w:tc>
      </w:tr>
      <w:tr w:rsidR="00000000" w14:paraId="6EB1D339" w14:textId="77777777">
        <w:trPr>
          <w:divId w:val="911279972"/>
          <w:tblCellSpacing w:w="0" w:type="dxa"/>
          <w:jc w:val="center"/>
        </w:trPr>
        <w:tc>
          <w:tcPr>
            <w:tcW w:w="1100" w:type="pct"/>
            <w:shd w:val="clear" w:color="auto" w:fill="FFFFFF"/>
            <w:vAlign w:val="bottom"/>
            <w:hideMark/>
          </w:tcPr>
          <w:p w14:paraId="4C3201CD" w14:textId="77777777" w:rsidR="00000000" w:rsidRDefault="007E65A2">
            <w:pPr>
              <w:pStyle w:val="a3"/>
              <w:spacing w:before="0" w:beforeAutospacing="0" w:after="0" w:afterAutospacing="0"/>
              <w:jc w:val="both"/>
              <w:rPr>
                <w:sz w:val="20"/>
                <w:szCs w:val="20"/>
              </w:rPr>
            </w:pPr>
            <w:r>
              <w:rPr>
                <w:sz w:val="20"/>
                <w:szCs w:val="20"/>
              </w:rPr>
              <w:t>Non-accelerated filer</w:t>
            </w:r>
          </w:p>
        </w:tc>
        <w:tc>
          <w:tcPr>
            <w:tcW w:w="1300" w:type="pct"/>
            <w:shd w:val="clear" w:color="auto" w:fill="FFFFFF"/>
            <w:vAlign w:val="bottom"/>
            <w:hideMark/>
          </w:tcPr>
          <w:p w14:paraId="357BFF33" w14:textId="77777777" w:rsidR="00000000" w:rsidRDefault="007E65A2">
            <w:pPr>
              <w:pStyle w:val="a3"/>
              <w:spacing w:before="0" w:beforeAutospacing="0" w:after="0" w:afterAutospacing="0"/>
              <w:jc w:val="both"/>
              <w:rPr>
                <w:sz w:val="20"/>
                <w:szCs w:val="20"/>
              </w:rPr>
            </w:pPr>
            <w:r>
              <w:rPr>
                <w:rFonts w:ascii="Wingdings" w:hAnsi="Wingdings"/>
                <w:sz w:val="20"/>
                <w:szCs w:val="20"/>
              </w:rPr>
              <w:t>x</w:t>
            </w:r>
          </w:p>
        </w:tc>
        <w:tc>
          <w:tcPr>
            <w:tcW w:w="1100" w:type="pct"/>
            <w:shd w:val="clear" w:color="auto" w:fill="FFFFFF"/>
            <w:vAlign w:val="bottom"/>
            <w:hideMark/>
          </w:tcPr>
          <w:p w14:paraId="70FA0651" w14:textId="77777777" w:rsidR="00000000" w:rsidRDefault="007E65A2">
            <w:pPr>
              <w:pStyle w:val="a3"/>
              <w:spacing w:before="0" w:beforeAutospacing="0" w:after="0" w:afterAutospacing="0"/>
              <w:jc w:val="both"/>
              <w:rPr>
                <w:sz w:val="20"/>
                <w:szCs w:val="20"/>
              </w:rPr>
            </w:pPr>
            <w:r>
              <w:rPr>
                <w:sz w:val="20"/>
                <w:szCs w:val="20"/>
              </w:rPr>
              <w:t>Smaller reporting company</w:t>
            </w:r>
          </w:p>
        </w:tc>
        <w:tc>
          <w:tcPr>
            <w:tcW w:w="450" w:type="pct"/>
            <w:shd w:val="clear" w:color="auto" w:fill="FFFFFF"/>
            <w:vAlign w:val="bottom"/>
            <w:hideMark/>
          </w:tcPr>
          <w:p w14:paraId="42D13382" w14:textId="77777777" w:rsidR="00000000" w:rsidRDefault="007E65A2">
            <w:pPr>
              <w:pStyle w:val="a3"/>
              <w:spacing w:before="0" w:beforeAutospacing="0" w:after="0" w:afterAutospacing="0"/>
              <w:jc w:val="both"/>
              <w:rPr>
                <w:sz w:val="20"/>
                <w:szCs w:val="20"/>
              </w:rPr>
            </w:pPr>
            <w:r>
              <w:rPr>
                <w:rFonts w:ascii="Wingdings" w:hAnsi="Wingdings"/>
                <w:sz w:val="20"/>
                <w:szCs w:val="20"/>
              </w:rPr>
              <w:t>x</w:t>
            </w:r>
          </w:p>
        </w:tc>
      </w:tr>
      <w:tr w:rsidR="00000000" w14:paraId="7B0C55C8" w14:textId="77777777">
        <w:trPr>
          <w:divId w:val="911279972"/>
          <w:tblCellSpacing w:w="0" w:type="dxa"/>
          <w:jc w:val="center"/>
        </w:trPr>
        <w:tc>
          <w:tcPr>
            <w:tcW w:w="1100" w:type="pct"/>
            <w:shd w:val="clear" w:color="auto" w:fill="FFFFFF"/>
            <w:vAlign w:val="bottom"/>
            <w:hideMark/>
          </w:tcPr>
          <w:p w14:paraId="3701191C" w14:textId="77777777" w:rsidR="00000000" w:rsidRDefault="007E65A2">
            <w:pPr>
              <w:rPr>
                <w:sz w:val="20"/>
                <w:szCs w:val="20"/>
              </w:rPr>
            </w:pPr>
          </w:p>
        </w:tc>
        <w:tc>
          <w:tcPr>
            <w:tcW w:w="1300" w:type="pct"/>
            <w:shd w:val="clear" w:color="auto" w:fill="FFFFFF"/>
            <w:vAlign w:val="bottom"/>
            <w:hideMark/>
          </w:tcPr>
          <w:p w14:paraId="402D1420" w14:textId="77777777" w:rsidR="00000000" w:rsidRDefault="007E65A2">
            <w:pPr>
              <w:pStyle w:val="a3"/>
              <w:spacing w:before="0" w:beforeAutospacing="0" w:after="0" w:afterAutospacing="0"/>
              <w:jc w:val="both"/>
              <w:rPr>
                <w:sz w:val="20"/>
                <w:szCs w:val="20"/>
              </w:rPr>
            </w:pPr>
            <w:r>
              <w:rPr>
                <w:sz w:val="20"/>
                <w:szCs w:val="20"/>
              </w:rPr>
              <w:t> </w:t>
            </w:r>
          </w:p>
        </w:tc>
        <w:tc>
          <w:tcPr>
            <w:tcW w:w="1100" w:type="pct"/>
            <w:shd w:val="clear" w:color="auto" w:fill="FFFFFF"/>
            <w:vAlign w:val="bottom"/>
            <w:hideMark/>
          </w:tcPr>
          <w:p w14:paraId="1C69D802" w14:textId="77777777" w:rsidR="00000000" w:rsidRDefault="007E65A2">
            <w:pPr>
              <w:pStyle w:val="a3"/>
              <w:spacing w:before="0" w:beforeAutospacing="0" w:after="0" w:afterAutospacing="0"/>
              <w:jc w:val="both"/>
              <w:rPr>
                <w:sz w:val="20"/>
                <w:szCs w:val="20"/>
              </w:rPr>
            </w:pPr>
            <w:r>
              <w:rPr>
                <w:sz w:val="20"/>
                <w:szCs w:val="20"/>
              </w:rPr>
              <w:t>Emerging Growth Company</w:t>
            </w:r>
          </w:p>
        </w:tc>
        <w:tc>
          <w:tcPr>
            <w:tcW w:w="450" w:type="pct"/>
            <w:shd w:val="clear" w:color="auto" w:fill="FFFFFF"/>
            <w:vAlign w:val="bottom"/>
            <w:hideMark/>
          </w:tcPr>
          <w:p w14:paraId="23908A0A" w14:textId="77777777" w:rsidR="00000000" w:rsidRDefault="007E65A2">
            <w:pPr>
              <w:pStyle w:val="a3"/>
              <w:spacing w:before="0" w:beforeAutospacing="0" w:after="0" w:afterAutospacing="0"/>
              <w:jc w:val="both"/>
              <w:rPr>
                <w:sz w:val="20"/>
                <w:szCs w:val="20"/>
              </w:rPr>
            </w:pPr>
            <w:r>
              <w:rPr>
                <w:rFonts w:ascii="Wingdings" w:hAnsi="Wingdings"/>
                <w:sz w:val="20"/>
                <w:szCs w:val="20"/>
              </w:rPr>
              <w:t>¨</w:t>
            </w:r>
          </w:p>
        </w:tc>
      </w:tr>
    </w:tbl>
    <w:p w14:paraId="2343C3AF" w14:textId="77777777" w:rsidR="00000000" w:rsidRDefault="007E65A2">
      <w:pPr>
        <w:pStyle w:val="a3"/>
        <w:spacing w:before="0" w:beforeAutospacing="0" w:after="0" w:afterAutospacing="0"/>
        <w:jc w:val="both"/>
        <w:divId w:val="911279972"/>
        <w:rPr>
          <w:sz w:val="20"/>
          <w:szCs w:val="20"/>
        </w:rPr>
      </w:pPr>
      <w:r>
        <w:rPr>
          <w:sz w:val="20"/>
          <w:szCs w:val="20"/>
        </w:rPr>
        <w:t> </w:t>
      </w:r>
    </w:p>
    <w:p w14:paraId="79B6C4F2" w14:textId="77777777" w:rsidR="00000000" w:rsidRDefault="007E65A2">
      <w:pPr>
        <w:pStyle w:val="a3"/>
        <w:spacing w:before="0" w:beforeAutospacing="0" w:after="0" w:afterAutospacing="0"/>
        <w:jc w:val="both"/>
        <w:divId w:val="911279972"/>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hAnsi="Wingdings"/>
          <w:sz w:val="20"/>
          <w:szCs w:val="20"/>
        </w:rPr>
        <w:t>¨</w:t>
      </w:r>
      <w:r>
        <w:rPr>
          <w:sz w:val="20"/>
          <w:szCs w:val="20"/>
        </w:rPr>
        <w:t xml:space="preserve"> </w:t>
      </w:r>
    </w:p>
    <w:p w14:paraId="73AE76D7" w14:textId="77777777" w:rsidR="00000000" w:rsidRDefault="007E65A2">
      <w:pPr>
        <w:pStyle w:val="a3"/>
        <w:spacing w:before="0" w:beforeAutospacing="0" w:after="0" w:afterAutospacing="0"/>
        <w:jc w:val="both"/>
        <w:divId w:val="911279972"/>
        <w:rPr>
          <w:sz w:val="20"/>
          <w:szCs w:val="20"/>
        </w:rPr>
      </w:pPr>
      <w:r>
        <w:rPr>
          <w:sz w:val="20"/>
          <w:szCs w:val="20"/>
        </w:rPr>
        <w:t> </w:t>
      </w:r>
    </w:p>
    <w:p w14:paraId="07120AEC" w14:textId="77777777" w:rsidR="00000000" w:rsidRDefault="007E65A2">
      <w:pPr>
        <w:pStyle w:val="a3"/>
        <w:spacing w:before="0" w:beforeAutospacing="0" w:after="0" w:afterAutospacing="0"/>
        <w:jc w:val="both"/>
        <w:divId w:val="911279972"/>
        <w:rPr>
          <w:sz w:val="20"/>
          <w:szCs w:val="20"/>
        </w:rPr>
      </w:pPr>
      <w:r>
        <w:rPr>
          <w:sz w:val="20"/>
          <w:szCs w:val="20"/>
        </w:rPr>
        <w:t>Indicate by check mark whether the registrant is a shell company (as defined in Rule 12b-2 of the Exchange Act). Yes </w:t>
      </w:r>
      <w:r>
        <w:rPr>
          <w:rFonts w:ascii="Wingdings" w:hAnsi="Wingdings"/>
          <w:sz w:val="20"/>
          <w:szCs w:val="20"/>
        </w:rPr>
        <w:t>¨</w:t>
      </w:r>
      <w:r>
        <w:rPr>
          <w:rFonts w:ascii="Wingdings" w:hAnsi="Wingdings"/>
          <w:sz w:val="20"/>
          <w:szCs w:val="20"/>
        </w:rPr>
        <w:t xml:space="preserve"> </w:t>
      </w:r>
      <w:r>
        <w:rPr>
          <w:sz w:val="20"/>
          <w:szCs w:val="20"/>
        </w:rPr>
        <w:t xml:space="preserve">No </w:t>
      </w:r>
      <w:r>
        <w:rPr>
          <w:rFonts w:ascii="Wingdings" w:hAnsi="Wingdings"/>
          <w:sz w:val="20"/>
          <w:szCs w:val="20"/>
        </w:rPr>
        <w:t>x</w:t>
      </w:r>
    </w:p>
    <w:p w14:paraId="5A39BA1A" w14:textId="77777777" w:rsidR="00000000" w:rsidRDefault="007E65A2">
      <w:pPr>
        <w:pStyle w:val="a3"/>
        <w:spacing w:before="0" w:beforeAutospacing="0" w:after="0" w:afterAutospacing="0"/>
        <w:jc w:val="both"/>
        <w:divId w:val="911279972"/>
        <w:rPr>
          <w:sz w:val="20"/>
          <w:szCs w:val="20"/>
        </w:rPr>
      </w:pPr>
      <w:r>
        <w:rPr>
          <w:sz w:val="20"/>
          <w:szCs w:val="20"/>
        </w:rPr>
        <w:t> </w:t>
      </w:r>
    </w:p>
    <w:p w14:paraId="73A56463" w14:textId="77777777" w:rsidR="00000000" w:rsidRDefault="007E65A2">
      <w:pPr>
        <w:jc w:val="both"/>
        <w:divId w:val="911279972"/>
        <w:rPr>
          <w:rFonts w:eastAsia="Times New Roman"/>
          <w:sz w:val="20"/>
          <w:szCs w:val="20"/>
        </w:rPr>
      </w:pPr>
      <w:r>
        <w:rPr>
          <w:rFonts w:eastAsia="Times New Roman"/>
          <w:sz w:val="20"/>
          <w:szCs w:val="20"/>
        </w:rPr>
        <w:t>The aggregate market value of Common Stock held by non-affiliates of the Registrant on December 31, 2018, was approximately $269,0</w:t>
      </w:r>
      <w:r>
        <w:rPr>
          <w:rFonts w:eastAsia="Times New Roman"/>
          <w:sz w:val="20"/>
          <w:szCs w:val="20"/>
        </w:rPr>
        <w:t xml:space="preserve">00 based on a $0.0002 average bid and asked price of such common equity, as of the last business day of the registrant’s most recently completed second fiscal quarter. </w:t>
      </w:r>
    </w:p>
    <w:p w14:paraId="2B092E37" w14:textId="77777777" w:rsidR="00000000" w:rsidRDefault="007E65A2">
      <w:pPr>
        <w:pStyle w:val="a3"/>
        <w:spacing w:before="0" w:beforeAutospacing="0" w:after="0" w:afterAutospacing="0"/>
        <w:jc w:val="both"/>
        <w:divId w:val="911279972"/>
        <w:rPr>
          <w:sz w:val="20"/>
          <w:szCs w:val="20"/>
        </w:rPr>
      </w:pPr>
      <w:r>
        <w:rPr>
          <w:sz w:val="20"/>
          <w:szCs w:val="20"/>
        </w:rPr>
        <w:t> </w:t>
      </w:r>
    </w:p>
    <w:p w14:paraId="1A3EBE63" w14:textId="77777777" w:rsidR="00000000" w:rsidRDefault="007E65A2">
      <w:pPr>
        <w:pStyle w:val="a3"/>
        <w:spacing w:before="0" w:beforeAutospacing="0" w:after="0" w:afterAutospacing="0"/>
        <w:jc w:val="both"/>
        <w:divId w:val="911279972"/>
        <w:rPr>
          <w:sz w:val="20"/>
          <w:szCs w:val="20"/>
        </w:rPr>
      </w:pPr>
      <w:r>
        <w:rPr>
          <w:sz w:val="20"/>
          <w:szCs w:val="20"/>
        </w:rPr>
        <w:t>Indicate the number of shares outstanding of each of the registrant’s classes of comm</w:t>
      </w:r>
      <w:r>
        <w:rPr>
          <w:sz w:val="20"/>
          <w:szCs w:val="20"/>
        </w:rPr>
        <w:t xml:space="preserve">on stock as of the latest practicable date. </w:t>
      </w:r>
    </w:p>
    <w:p w14:paraId="741A9D99"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jc w:val="center"/>
        <w:tblCellSpacing w:w="0" w:type="dxa"/>
        <w:tblCellMar>
          <w:left w:w="0" w:type="dxa"/>
          <w:right w:w="0" w:type="dxa"/>
        </w:tblCellMar>
        <w:tblLook w:val="04A0" w:firstRow="1" w:lastRow="0" w:firstColumn="1" w:lastColumn="0" w:noHBand="0" w:noVBand="1"/>
      </w:tblPr>
      <w:tblGrid>
        <w:gridCol w:w="4568"/>
        <w:gridCol w:w="3738"/>
      </w:tblGrid>
      <w:tr w:rsidR="00000000" w14:paraId="503F6700" w14:textId="77777777">
        <w:trPr>
          <w:divId w:val="911279972"/>
          <w:tblCellSpacing w:w="0" w:type="dxa"/>
          <w:jc w:val="center"/>
        </w:trPr>
        <w:tc>
          <w:tcPr>
            <w:tcW w:w="2750" w:type="pct"/>
            <w:tcBorders>
              <w:bottom w:val="single" w:sz="6" w:space="0" w:color="000000"/>
            </w:tcBorders>
            <w:vAlign w:val="center"/>
            <w:hideMark/>
          </w:tcPr>
          <w:p w14:paraId="3C1CFB48" w14:textId="77777777" w:rsidR="00000000" w:rsidRDefault="007E65A2">
            <w:pPr>
              <w:pStyle w:val="a3"/>
              <w:spacing w:before="0" w:beforeAutospacing="0" w:after="0" w:afterAutospacing="0"/>
              <w:jc w:val="both"/>
              <w:rPr>
                <w:sz w:val="20"/>
                <w:szCs w:val="20"/>
              </w:rPr>
            </w:pPr>
            <w:r>
              <w:rPr>
                <w:sz w:val="20"/>
                <w:szCs w:val="20"/>
              </w:rPr>
              <w:t>5,161,140,774 shares of common stock as of October 15, 2019.</w:t>
            </w:r>
          </w:p>
        </w:tc>
        <w:tc>
          <w:tcPr>
            <w:tcW w:w="0" w:type="auto"/>
            <w:vAlign w:val="center"/>
            <w:hideMark/>
          </w:tcPr>
          <w:p w14:paraId="3EE0C702" w14:textId="77777777" w:rsidR="00000000" w:rsidRDefault="007E65A2">
            <w:pPr>
              <w:pStyle w:val="a3"/>
              <w:spacing w:before="0" w:beforeAutospacing="0" w:after="0" w:afterAutospacing="0"/>
              <w:jc w:val="both"/>
              <w:rPr>
                <w:sz w:val="20"/>
                <w:szCs w:val="20"/>
              </w:rPr>
            </w:pPr>
            <w:r>
              <w:rPr>
                <w:sz w:val="20"/>
                <w:szCs w:val="20"/>
              </w:rPr>
              <w:t> </w:t>
            </w:r>
          </w:p>
        </w:tc>
      </w:tr>
    </w:tbl>
    <w:p w14:paraId="2B5F4B96"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D9E8ED8" w14:textId="77777777">
        <w:trPr>
          <w:divId w:val="911279972"/>
          <w:tblCellSpacing w:w="0" w:type="dxa"/>
        </w:trPr>
        <w:tc>
          <w:tcPr>
            <w:tcW w:w="0" w:type="auto"/>
            <w:vAlign w:val="center"/>
            <w:hideMark/>
          </w:tcPr>
          <w:p w14:paraId="01E37224" w14:textId="77777777" w:rsidR="00000000" w:rsidRDefault="007E65A2">
            <w:pPr>
              <w:rPr>
                <w:sz w:val="20"/>
                <w:szCs w:val="20"/>
              </w:rPr>
            </w:pPr>
          </w:p>
        </w:tc>
      </w:tr>
    </w:tbl>
    <w:p w14:paraId="16DABE0E" w14:textId="77777777" w:rsidR="00000000" w:rsidRDefault="007E65A2">
      <w:pPr>
        <w:pStyle w:val="a3"/>
        <w:spacing w:before="0" w:beforeAutospacing="0" w:after="0" w:afterAutospacing="0"/>
        <w:jc w:val="both"/>
        <w:divId w:val="911279972"/>
        <w:rPr>
          <w:b/>
          <w:bCs/>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3A491EC" w14:textId="77777777">
        <w:trPr>
          <w:divId w:val="911279972"/>
          <w:tblCellSpacing w:w="0" w:type="dxa"/>
        </w:trPr>
        <w:tc>
          <w:tcPr>
            <w:tcW w:w="0" w:type="auto"/>
            <w:vAlign w:val="center"/>
            <w:hideMark/>
          </w:tcPr>
          <w:p w14:paraId="60B9D170" w14:textId="77777777" w:rsidR="00000000" w:rsidRDefault="007E65A2">
            <w:pPr>
              <w:rPr>
                <w:rFonts w:eastAsia="Times New Roman"/>
                <w:sz w:val="20"/>
                <w:szCs w:val="20"/>
              </w:rPr>
            </w:pPr>
            <w:r>
              <w:rPr>
                <w:rFonts w:eastAsia="Times New Roman"/>
                <w:sz w:val="20"/>
                <w:szCs w:val="20"/>
              </w:rPr>
              <w:t> </w:t>
            </w:r>
          </w:p>
        </w:tc>
      </w:tr>
      <w:tr w:rsidR="00000000" w14:paraId="01862560" w14:textId="77777777">
        <w:trPr>
          <w:divId w:val="911279972"/>
          <w:tblCellSpacing w:w="0" w:type="dxa"/>
        </w:trPr>
        <w:tc>
          <w:tcPr>
            <w:tcW w:w="0" w:type="auto"/>
            <w:vAlign w:val="center"/>
            <w:hideMark/>
          </w:tcPr>
          <w:p w14:paraId="6B7EFB93" w14:textId="77777777" w:rsidR="00000000" w:rsidRDefault="007E65A2">
            <w:pPr>
              <w:rPr>
                <w:rFonts w:eastAsia="Times New Roman"/>
                <w:sz w:val="20"/>
                <w:szCs w:val="20"/>
              </w:rPr>
            </w:pPr>
            <w:r>
              <w:rPr>
                <w:rFonts w:eastAsia="Times New Roman"/>
                <w:sz w:val="20"/>
                <w:szCs w:val="20"/>
              </w:rPr>
              <w:t> </w:t>
            </w:r>
          </w:p>
        </w:tc>
      </w:tr>
      <w:tr w:rsidR="00000000" w14:paraId="4FEA9897" w14:textId="77777777">
        <w:trPr>
          <w:divId w:val="911279972"/>
          <w:tblCellSpacing w:w="0" w:type="dxa"/>
        </w:trPr>
        <w:tc>
          <w:tcPr>
            <w:tcW w:w="0" w:type="auto"/>
            <w:vAlign w:val="center"/>
            <w:hideMark/>
          </w:tcPr>
          <w:p w14:paraId="125487CE" w14:textId="77777777" w:rsidR="00000000" w:rsidRDefault="007E65A2">
            <w:pPr>
              <w:rPr>
                <w:rFonts w:eastAsia="Times New Roman"/>
                <w:sz w:val="20"/>
                <w:szCs w:val="20"/>
              </w:rPr>
            </w:pPr>
            <w:r>
              <w:rPr>
                <w:rFonts w:eastAsia="Times New Roman"/>
                <w:sz w:val="20"/>
                <w:szCs w:val="20"/>
              </w:rPr>
              <w:t> </w:t>
            </w:r>
          </w:p>
        </w:tc>
      </w:tr>
      <w:tr w:rsidR="00000000" w14:paraId="18434DC3" w14:textId="77777777">
        <w:trPr>
          <w:divId w:val="911279972"/>
          <w:tblCellSpacing w:w="0" w:type="dxa"/>
        </w:trPr>
        <w:tc>
          <w:tcPr>
            <w:tcW w:w="0" w:type="auto"/>
            <w:vAlign w:val="center"/>
            <w:hideMark/>
          </w:tcPr>
          <w:p w14:paraId="75ECCB61" w14:textId="77777777" w:rsidR="00000000" w:rsidRDefault="007E65A2">
            <w:pPr>
              <w:rPr>
                <w:rFonts w:eastAsia="Times New Roman"/>
                <w:sz w:val="20"/>
                <w:szCs w:val="20"/>
              </w:rPr>
            </w:pPr>
            <w:r>
              <w:rPr>
                <w:rFonts w:eastAsia="Times New Roman"/>
                <w:sz w:val="20"/>
                <w:szCs w:val="20"/>
              </w:rPr>
              <w:t> </w:t>
            </w:r>
          </w:p>
        </w:tc>
      </w:tr>
    </w:tbl>
    <w:p w14:paraId="690AFFB0"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p w14:paraId="65FFF893" w14:textId="77777777" w:rsidR="00000000" w:rsidRDefault="007E65A2">
      <w:pPr>
        <w:pStyle w:val="a3"/>
        <w:spacing w:before="0" w:beforeAutospacing="0" w:after="0" w:afterAutospacing="0"/>
        <w:jc w:val="center"/>
        <w:divId w:val="911279972"/>
        <w:rPr>
          <w:b/>
          <w:bCs/>
          <w:sz w:val="20"/>
          <w:szCs w:val="20"/>
        </w:rPr>
      </w:pPr>
      <w:bookmarkStart w:id="0" w:name="Toc"/>
      <w:r>
        <w:rPr>
          <w:b/>
          <w:bCs/>
          <w:sz w:val="20"/>
          <w:szCs w:val="20"/>
        </w:rPr>
        <w:t>TABLE OF CONTENTS</w:t>
      </w:r>
      <w:bookmarkEnd w:id="0"/>
    </w:p>
    <w:p w14:paraId="27EFFFFD" w14:textId="77777777" w:rsidR="00000000" w:rsidRDefault="007E65A2">
      <w:pPr>
        <w:pStyle w:val="a3"/>
        <w:spacing w:before="0" w:beforeAutospacing="0" w:after="0" w:afterAutospacing="0"/>
        <w:jc w:val="center"/>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
        <w:gridCol w:w="6562"/>
        <w:gridCol w:w="83"/>
        <w:gridCol w:w="748"/>
        <w:gridCol w:w="83"/>
      </w:tblGrid>
      <w:tr w:rsidR="00000000" w14:paraId="37464D34" w14:textId="77777777">
        <w:trPr>
          <w:divId w:val="911279972"/>
          <w:trHeight w:val="180"/>
          <w:tblCellSpacing w:w="0" w:type="dxa"/>
        </w:trPr>
        <w:tc>
          <w:tcPr>
            <w:tcW w:w="500" w:type="pct"/>
            <w:shd w:val="clear" w:color="auto" w:fill="FFFFFF"/>
            <w:hideMark/>
          </w:tcPr>
          <w:p w14:paraId="3D3C458E" w14:textId="77777777" w:rsidR="00000000" w:rsidRDefault="007E65A2">
            <w:pPr>
              <w:pStyle w:val="a3"/>
              <w:spacing w:before="0" w:beforeAutospacing="0" w:after="0" w:afterAutospacing="0"/>
              <w:jc w:val="both"/>
              <w:rPr>
                <w:sz w:val="20"/>
                <w:szCs w:val="20"/>
              </w:rPr>
            </w:pPr>
            <w:hyperlink w:anchor="PART_I" w:history="1">
              <w:r>
                <w:rPr>
                  <w:rStyle w:val="a4"/>
                  <w:sz w:val="20"/>
                  <w:szCs w:val="20"/>
                </w:rPr>
                <w:t>PART I</w:t>
              </w:r>
            </w:hyperlink>
          </w:p>
        </w:tc>
        <w:tc>
          <w:tcPr>
            <w:tcW w:w="0" w:type="auto"/>
            <w:shd w:val="clear" w:color="auto" w:fill="FFFFFF"/>
            <w:hideMark/>
          </w:tcPr>
          <w:p w14:paraId="4C453EB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center"/>
            <w:hideMark/>
          </w:tcPr>
          <w:p w14:paraId="1783BC1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hideMark/>
          </w:tcPr>
          <w:p w14:paraId="33D27387" w14:textId="77777777" w:rsidR="00000000" w:rsidRDefault="007E65A2">
            <w:pPr>
              <w:pStyle w:val="a3"/>
              <w:spacing w:before="0" w:beforeAutospacing="0" w:after="0" w:afterAutospacing="0"/>
              <w:jc w:val="right"/>
              <w:rPr>
                <w:sz w:val="20"/>
                <w:szCs w:val="20"/>
              </w:rPr>
            </w:pPr>
            <w:r>
              <w:rPr>
                <w:sz w:val="20"/>
                <w:szCs w:val="20"/>
              </w:rPr>
              <w:t>4</w:t>
            </w:r>
          </w:p>
        </w:tc>
        <w:tc>
          <w:tcPr>
            <w:tcW w:w="50" w:type="pct"/>
            <w:shd w:val="clear" w:color="auto" w:fill="FFFFFF"/>
            <w:vAlign w:val="center"/>
            <w:hideMark/>
          </w:tcPr>
          <w:p w14:paraId="2BA6C0FC" w14:textId="77777777" w:rsidR="00000000" w:rsidRDefault="007E65A2">
            <w:pPr>
              <w:pStyle w:val="a3"/>
              <w:spacing w:before="0" w:beforeAutospacing="0" w:after="0" w:afterAutospacing="0"/>
              <w:jc w:val="both"/>
              <w:rPr>
                <w:sz w:val="20"/>
                <w:szCs w:val="20"/>
              </w:rPr>
            </w:pPr>
            <w:r>
              <w:rPr>
                <w:sz w:val="20"/>
                <w:szCs w:val="20"/>
              </w:rPr>
              <w:t> </w:t>
            </w:r>
          </w:p>
        </w:tc>
      </w:tr>
      <w:tr w:rsidR="00000000" w14:paraId="4C7F758D" w14:textId="77777777">
        <w:trPr>
          <w:divId w:val="911279972"/>
          <w:trHeight w:val="180"/>
          <w:tblCellSpacing w:w="0" w:type="dxa"/>
        </w:trPr>
        <w:tc>
          <w:tcPr>
            <w:tcW w:w="0" w:type="auto"/>
            <w:shd w:val="clear" w:color="auto" w:fill="CCEEFF"/>
            <w:hideMark/>
          </w:tcPr>
          <w:p w14:paraId="1F0C8C93" w14:textId="77777777" w:rsidR="00000000" w:rsidRDefault="007E65A2">
            <w:pPr>
              <w:pStyle w:val="a3"/>
              <w:spacing w:before="0" w:beforeAutospacing="0" w:after="0" w:afterAutospacing="0"/>
              <w:ind w:left="225"/>
              <w:jc w:val="both"/>
              <w:rPr>
                <w:sz w:val="20"/>
                <w:szCs w:val="20"/>
              </w:rPr>
            </w:pPr>
            <w:hyperlink w:anchor="ITEM_1._BUSINESS" w:history="1">
              <w:r>
                <w:rPr>
                  <w:rStyle w:val="a4"/>
                  <w:sz w:val="20"/>
                  <w:szCs w:val="20"/>
                </w:rPr>
                <w:t>ITEM 1.</w:t>
              </w:r>
            </w:hyperlink>
          </w:p>
        </w:tc>
        <w:tc>
          <w:tcPr>
            <w:tcW w:w="0" w:type="auto"/>
            <w:shd w:val="clear" w:color="auto" w:fill="CCEEFF"/>
            <w:hideMark/>
          </w:tcPr>
          <w:p w14:paraId="3F799E39" w14:textId="77777777" w:rsidR="00000000" w:rsidRDefault="007E65A2">
            <w:pPr>
              <w:pStyle w:val="a3"/>
              <w:spacing w:before="0" w:beforeAutospacing="0" w:after="0" w:afterAutospacing="0"/>
              <w:jc w:val="both"/>
              <w:rPr>
                <w:sz w:val="20"/>
                <w:szCs w:val="20"/>
              </w:rPr>
            </w:pPr>
            <w:hyperlink w:anchor="ITEM_1._BUSINESS" w:history="1">
              <w:r>
                <w:rPr>
                  <w:rStyle w:val="a4"/>
                  <w:sz w:val="20"/>
                  <w:szCs w:val="20"/>
                </w:rPr>
                <w:t>BUSINESS</w:t>
              </w:r>
            </w:hyperlink>
          </w:p>
        </w:tc>
        <w:tc>
          <w:tcPr>
            <w:tcW w:w="0" w:type="auto"/>
            <w:shd w:val="clear" w:color="auto" w:fill="CCEEFF"/>
            <w:vAlign w:val="center"/>
            <w:hideMark/>
          </w:tcPr>
          <w:p w14:paraId="37B7BAB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1E83A9D2" w14:textId="77777777" w:rsidR="00000000" w:rsidRDefault="007E65A2">
            <w:pPr>
              <w:pStyle w:val="a3"/>
              <w:spacing w:before="0" w:beforeAutospacing="0" w:after="0" w:afterAutospacing="0"/>
              <w:jc w:val="right"/>
              <w:rPr>
                <w:sz w:val="20"/>
                <w:szCs w:val="20"/>
              </w:rPr>
            </w:pPr>
            <w:r>
              <w:rPr>
                <w:sz w:val="20"/>
                <w:szCs w:val="20"/>
              </w:rPr>
              <w:t>4</w:t>
            </w:r>
          </w:p>
        </w:tc>
        <w:tc>
          <w:tcPr>
            <w:tcW w:w="0" w:type="auto"/>
            <w:shd w:val="clear" w:color="auto" w:fill="CCEEFF"/>
            <w:vAlign w:val="center"/>
            <w:hideMark/>
          </w:tcPr>
          <w:p w14:paraId="3C16A9DE" w14:textId="77777777" w:rsidR="00000000" w:rsidRDefault="007E65A2">
            <w:pPr>
              <w:pStyle w:val="a3"/>
              <w:spacing w:before="0" w:beforeAutospacing="0" w:after="0" w:afterAutospacing="0"/>
              <w:jc w:val="both"/>
              <w:rPr>
                <w:sz w:val="20"/>
                <w:szCs w:val="20"/>
              </w:rPr>
            </w:pPr>
            <w:r>
              <w:rPr>
                <w:sz w:val="20"/>
                <w:szCs w:val="20"/>
              </w:rPr>
              <w:t> </w:t>
            </w:r>
          </w:p>
        </w:tc>
      </w:tr>
      <w:tr w:rsidR="00000000" w14:paraId="1A86A6A8" w14:textId="77777777">
        <w:trPr>
          <w:divId w:val="911279972"/>
          <w:trHeight w:val="180"/>
          <w:tblCellSpacing w:w="0" w:type="dxa"/>
        </w:trPr>
        <w:tc>
          <w:tcPr>
            <w:tcW w:w="0" w:type="auto"/>
            <w:shd w:val="clear" w:color="auto" w:fill="FFFFFF"/>
            <w:hideMark/>
          </w:tcPr>
          <w:p w14:paraId="50CD7C23" w14:textId="77777777" w:rsidR="00000000" w:rsidRDefault="007E65A2">
            <w:pPr>
              <w:pStyle w:val="a3"/>
              <w:spacing w:before="0" w:beforeAutospacing="0" w:after="0" w:afterAutospacing="0"/>
              <w:ind w:left="225"/>
              <w:jc w:val="both"/>
              <w:rPr>
                <w:sz w:val="20"/>
                <w:szCs w:val="20"/>
              </w:rPr>
            </w:pPr>
            <w:hyperlink w:anchor="ITEM_1A._RISK_FACTORS" w:history="1">
              <w:r>
                <w:rPr>
                  <w:rStyle w:val="a4"/>
                  <w:sz w:val="20"/>
                  <w:szCs w:val="20"/>
                </w:rPr>
                <w:t>ITEM 1A.</w:t>
              </w:r>
            </w:hyperlink>
          </w:p>
        </w:tc>
        <w:tc>
          <w:tcPr>
            <w:tcW w:w="0" w:type="auto"/>
            <w:shd w:val="clear" w:color="auto" w:fill="FFFFFF"/>
            <w:hideMark/>
          </w:tcPr>
          <w:p w14:paraId="7620235A" w14:textId="77777777" w:rsidR="00000000" w:rsidRDefault="007E65A2">
            <w:pPr>
              <w:pStyle w:val="a3"/>
              <w:spacing w:before="0" w:beforeAutospacing="0" w:after="0" w:afterAutospacing="0"/>
              <w:jc w:val="both"/>
              <w:rPr>
                <w:sz w:val="20"/>
                <w:szCs w:val="20"/>
              </w:rPr>
            </w:pPr>
            <w:hyperlink w:anchor="ITEM_1A._RISK_FACTORS" w:history="1">
              <w:r>
                <w:rPr>
                  <w:rStyle w:val="a4"/>
                  <w:sz w:val="20"/>
                  <w:szCs w:val="20"/>
                </w:rPr>
                <w:t>RISK FACTORS</w:t>
              </w:r>
            </w:hyperlink>
          </w:p>
        </w:tc>
        <w:tc>
          <w:tcPr>
            <w:tcW w:w="0" w:type="auto"/>
            <w:shd w:val="clear" w:color="auto" w:fill="FFFFFF"/>
            <w:vAlign w:val="center"/>
            <w:hideMark/>
          </w:tcPr>
          <w:p w14:paraId="49F92F5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77997843" w14:textId="77777777" w:rsidR="00000000" w:rsidRDefault="007E65A2">
            <w:pPr>
              <w:pStyle w:val="a3"/>
              <w:spacing w:before="0" w:beforeAutospacing="0" w:after="0" w:afterAutospacing="0"/>
              <w:jc w:val="right"/>
              <w:rPr>
                <w:sz w:val="20"/>
                <w:szCs w:val="20"/>
              </w:rPr>
            </w:pPr>
            <w:r>
              <w:rPr>
                <w:sz w:val="20"/>
                <w:szCs w:val="20"/>
              </w:rPr>
              <w:t>8</w:t>
            </w:r>
          </w:p>
        </w:tc>
        <w:tc>
          <w:tcPr>
            <w:tcW w:w="0" w:type="auto"/>
            <w:shd w:val="clear" w:color="auto" w:fill="FFFFFF"/>
            <w:vAlign w:val="center"/>
            <w:hideMark/>
          </w:tcPr>
          <w:p w14:paraId="55A79EDF" w14:textId="77777777" w:rsidR="00000000" w:rsidRDefault="007E65A2">
            <w:pPr>
              <w:pStyle w:val="a3"/>
              <w:spacing w:before="0" w:beforeAutospacing="0" w:after="0" w:afterAutospacing="0"/>
              <w:jc w:val="both"/>
              <w:rPr>
                <w:sz w:val="20"/>
                <w:szCs w:val="20"/>
              </w:rPr>
            </w:pPr>
            <w:r>
              <w:rPr>
                <w:sz w:val="20"/>
                <w:szCs w:val="20"/>
              </w:rPr>
              <w:t> </w:t>
            </w:r>
          </w:p>
        </w:tc>
      </w:tr>
      <w:tr w:rsidR="00000000" w14:paraId="3C82CEE3" w14:textId="77777777">
        <w:trPr>
          <w:divId w:val="911279972"/>
          <w:trHeight w:val="180"/>
          <w:tblCellSpacing w:w="0" w:type="dxa"/>
        </w:trPr>
        <w:tc>
          <w:tcPr>
            <w:tcW w:w="0" w:type="auto"/>
            <w:shd w:val="clear" w:color="auto" w:fill="CCEEFF"/>
            <w:hideMark/>
          </w:tcPr>
          <w:p w14:paraId="3AB4461C" w14:textId="77777777" w:rsidR="00000000" w:rsidRDefault="007E65A2">
            <w:pPr>
              <w:pStyle w:val="a3"/>
              <w:spacing w:before="0" w:beforeAutospacing="0" w:after="0" w:afterAutospacing="0"/>
              <w:ind w:left="225"/>
              <w:jc w:val="both"/>
              <w:rPr>
                <w:sz w:val="20"/>
                <w:szCs w:val="20"/>
              </w:rPr>
            </w:pPr>
            <w:hyperlink w:anchor="ITEM_1B._UNRESOLVED_STAFF_COMMENTS" w:history="1">
              <w:r>
                <w:rPr>
                  <w:rStyle w:val="a4"/>
                  <w:sz w:val="20"/>
                  <w:szCs w:val="20"/>
                </w:rPr>
                <w:t>ITEM 1B</w:t>
              </w:r>
            </w:hyperlink>
          </w:p>
        </w:tc>
        <w:tc>
          <w:tcPr>
            <w:tcW w:w="0" w:type="auto"/>
            <w:shd w:val="clear" w:color="auto" w:fill="CCEEFF"/>
            <w:hideMark/>
          </w:tcPr>
          <w:p w14:paraId="30F27A29" w14:textId="77777777" w:rsidR="00000000" w:rsidRDefault="007E65A2">
            <w:pPr>
              <w:pStyle w:val="a3"/>
              <w:spacing w:before="0" w:beforeAutospacing="0" w:after="0" w:afterAutospacing="0"/>
              <w:jc w:val="both"/>
              <w:rPr>
                <w:sz w:val="20"/>
                <w:szCs w:val="20"/>
              </w:rPr>
            </w:pPr>
            <w:hyperlink w:anchor="ITEM_1B._UNRESOLVED_STAFF_COMMENTS" w:history="1">
              <w:r>
                <w:rPr>
                  <w:rStyle w:val="a4"/>
                  <w:sz w:val="20"/>
                  <w:szCs w:val="20"/>
                </w:rPr>
                <w:t>UNRESOLVED STAFF COMMENTS</w:t>
              </w:r>
            </w:hyperlink>
          </w:p>
        </w:tc>
        <w:tc>
          <w:tcPr>
            <w:tcW w:w="0" w:type="auto"/>
            <w:shd w:val="clear" w:color="auto" w:fill="CCEEFF"/>
            <w:vAlign w:val="center"/>
            <w:hideMark/>
          </w:tcPr>
          <w:p w14:paraId="6145568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3C146403" w14:textId="77777777" w:rsidR="00000000" w:rsidRDefault="007E65A2">
            <w:pPr>
              <w:pStyle w:val="a3"/>
              <w:spacing w:before="0" w:beforeAutospacing="0" w:after="0" w:afterAutospacing="0"/>
              <w:jc w:val="right"/>
              <w:rPr>
                <w:sz w:val="20"/>
                <w:szCs w:val="20"/>
              </w:rPr>
            </w:pPr>
            <w:r>
              <w:rPr>
                <w:sz w:val="20"/>
                <w:szCs w:val="20"/>
              </w:rPr>
              <w:t>8</w:t>
            </w:r>
          </w:p>
        </w:tc>
        <w:tc>
          <w:tcPr>
            <w:tcW w:w="0" w:type="auto"/>
            <w:shd w:val="clear" w:color="auto" w:fill="CCEEFF"/>
            <w:vAlign w:val="center"/>
            <w:hideMark/>
          </w:tcPr>
          <w:p w14:paraId="754D9610" w14:textId="77777777" w:rsidR="00000000" w:rsidRDefault="007E65A2">
            <w:pPr>
              <w:pStyle w:val="a3"/>
              <w:spacing w:before="0" w:beforeAutospacing="0" w:after="0" w:afterAutospacing="0"/>
              <w:jc w:val="both"/>
              <w:rPr>
                <w:sz w:val="20"/>
                <w:szCs w:val="20"/>
              </w:rPr>
            </w:pPr>
            <w:r>
              <w:rPr>
                <w:sz w:val="20"/>
                <w:szCs w:val="20"/>
              </w:rPr>
              <w:t> </w:t>
            </w:r>
          </w:p>
        </w:tc>
      </w:tr>
      <w:tr w:rsidR="00000000" w14:paraId="66B5A23D" w14:textId="77777777">
        <w:trPr>
          <w:divId w:val="911279972"/>
          <w:trHeight w:val="180"/>
          <w:tblCellSpacing w:w="0" w:type="dxa"/>
        </w:trPr>
        <w:tc>
          <w:tcPr>
            <w:tcW w:w="0" w:type="auto"/>
            <w:shd w:val="clear" w:color="auto" w:fill="FFFFFF"/>
            <w:hideMark/>
          </w:tcPr>
          <w:p w14:paraId="0147A3AD" w14:textId="77777777" w:rsidR="00000000" w:rsidRDefault="007E65A2">
            <w:pPr>
              <w:pStyle w:val="a3"/>
              <w:spacing w:before="0" w:beforeAutospacing="0" w:after="0" w:afterAutospacing="0"/>
              <w:ind w:left="225"/>
              <w:jc w:val="both"/>
              <w:rPr>
                <w:sz w:val="20"/>
                <w:szCs w:val="20"/>
              </w:rPr>
            </w:pPr>
            <w:hyperlink w:anchor="ITEM_2._PROPERTIES" w:history="1">
              <w:r>
                <w:rPr>
                  <w:rStyle w:val="a4"/>
                  <w:sz w:val="20"/>
                  <w:szCs w:val="20"/>
                </w:rPr>
                <w:t>ITEM 2.</w:t>
              </w:r>
            </w:hyperlink>
          </w:p>
        </w:tc>
        <w:tc>
          <w:tcPr>
            <w:tcW w:w="0" w:type="auto"/>
            <w:shd w:val="clear" w:color="auto" w:fill="FFFFFF"/>
            <w:hideMark/>
          </w:tcPr>
          <w:p w14:paraId="345EC2B8" w14:textId="77777777" w:rsidR="00000000" w:rsidRDefault="007E65A2">
            <w:pPr>
              <w:pStyle w:val="a3"/>
              <w:spacing w:before="0" w:beforeAutospacing="0" w:after="0" w:afterAutospacing="0"/>
              <w:jc w:val="both"/>
              <w:rPr>
                <w:sz w:val="20"/>
                <w:szCs w:val="20"/>
              </w:rPr>
            </w:pPr>
            <w:hyperlink w:anchor="ITEM_2._PROPERTIES" w:history="1">
              <w:r>
                <w:rPr>
                  <w:rStyle w:val="a4"/>
                  <w:sz w:val="20"/>
                  <w:szCs w:val="20"/>
                </w:rPr>
                <w:t>PROPERTIES</w:t>
              </w:r>
            </w:hyperlink>
          </w:p>
        </w:tc>
        <w:tc>
          <w:tcPr>
            <w:tcW w:w="0" w:type="auto"/>
            <w:shd w:val="clear" w:color="auto" w:fill="FFFFFF"/>
            <w:vAlign w:val="center"/>
            <w:hideMark/>
          </w:tcPr>
          <w:p w14:paraId="3260E06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498D2F9C" w14:textId="77777777" w:rsidR="00000000" w:rsidRDefault="007E65A2">
            <w:pPr>
              <w:pStyle w:val="a3"/>
              <w:spacing w:before="0" w:beforeAutospacing="0" w:after="0" w:afterAutospacing="0"/>
              <w:jc w:val="right"/>
              <w:rPr>
                <w:sz w:val="20"/>
                <w:szCs w:val="20"/>
              </w:rPr>
            </w:pPr>
            <w:r>
              <w:rPr>
                <w:sz w:val="20"/>
                <w:szCs w:val="20"/>
              </w:rPr>
              <w:t>8</w:t>
            </w:r>
          </w:p>
        </w:tc>
        <w:tc>
          <w:tcPr>
            <w:tcW w:w="0" w:type="auto"/>
            <w:shd w:val="clear" w:color="auto" w:fill="FFFFFF"/>
            <w:vAlign w:val="center"/>
            <w:hideMark/>
          </w:tcPr>
          <w:p w14:paraId="48685C9C" w14:textId="77777777" w:rsidR="00000000" w:rsidRDefault="007E65A2">
            <w:pPr>
              <w:pStyle w:val="a3"/>
              <w:spacing w:before="0" w:beforeAutospacing="0" w:after="0" w:afterAutospacing="0"/>
              <w:jc w:val="both"/>
              <w:rPr>
                <w:sz w:val="20"/>
                <w:szCs w:val="20"/>
              </w:rPr>
            </w:pPr>
            <w:r>
              <w:rPr>
                <w:sz w:val="20"/>
                <w:szCs w:val="20"/>
              </w:rPr>
              <w:t> </w:t>
            </w:r>
          </w:p>
        </w:tc>
      </w:tr>
      <w:tr w:rsidR="00000000" w14:paraId="494AF24F" w14:textId="77777777">
        <w:trPr>
          <w:divId w:val="911279972"/>
          <w:trHeight w:val="180"/>
          <w:tblCellSpacing w:w="0" w:type="dxa"/>
        </w:trPr>
        <w:tc>
          <w:tcPr>
            <w:tcW w:w="0" w:type="auto"/>
            <w:shd w:val="clear" w:color="auto" w:fill="CCEEFF"/>
            <w:hideMark/>
          </w:tcPr>
          <w:p w14:paraId="611DE8A2" w14:textId="77777777" w:rsidR="00000000" w:rsidRDefault="007E65A2">
            <w:pPr>
              <w:pStyle w:val="a3"/>
              <w:spacing w:before="0" w:beforeAutospacing="0" w:after="0" w:afterAutospacing="0"/>
              <w:ind w:left="225"/>
              <w:jc w:val="both"/>
              <w:rPr>
                <w:sz w:val="20"/>
                <w:szCs w:val="20"/>
              </w:rPr>
            </w:pPr>
            <w:hyperlink w:anchor="ITEM_3._LEGAL_PROCEEDINGS" w:history="1">
              <w:r>
                <w:rPr>
                  <w:rStyle w:val="a4"/>
                  <w:sz w:val="20"/>
                  <w:szCs w:val="20"/>
                </w:rPr>
                <w:t>ITEM 3.</w:t>
              </w:r>
            </w:hyperlink>
          </w:p>
        </w:tc>
        <w:tc>
          <w:tcPr>
            <w:tcW w:w="0" w:type="auto"/>
            <w:shd w:val="clear" w:color="auto" w:fill="CCEEFF"/>
            <w:hideMark/>
          </w:tcPr>
          <w:p w14:paraId="53726CF6" w14:textId="77777777" w:rsidR="00000000" w:rsidRDefault="007E65A2">
            <w:pPr>
              <w:pStyle w:val="a3"/>
              <w:spacing w:before="0" w:beforeAutospacing="0" w:after="0" w:afterAutospacing="0"/>
              <w:jc w:val="both"/>
              <w:rPr>
                <w:sz w:val="20"/>
                <w:szCs w:val="20"/>
              </w:rPr>
            </w:pPr>
            <w:hyperlink w:anchor="ITEM_3._LEGAL_PROCEEDINGS" w:history="1">
              <w:r>
                <w:rPr>
                  <w:rStyle w:val="a4"/>
                  <w:sz w:val="20"/>
                  <w:szCs w:val="20"/>
                </w:rPr>
                <w:t>LEGAL PROCEEDINGS</w:t>
              </w:r>
            </w:hyperlink>
          </w:p>
        </w:tc>
        <w:tc>
          <w:tcPr>
            <w:tcW w:w="0" w:type="auto"/>
            <w:shd w:val="clear" w:color="auto" w:fill="CCEEFF"/>
            <w:vAlign w:val="center"/>
            <w:hideMark/>
          </w:tcPr>
          <w:p w14:paraId="67CAF89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70B0009D" w14:textId="77777777" w:rsidR="00000000" w:rsidRDefault="007E65A2">
            <w:pPr>
              <w:pStyle w:val="a3"/>
              <w:spacing w:before="0" w:beforeAutospacing="0" w:after="0" w:afterAutospacing="0"/>
              <w:jc w:val="right"/>
              <w:rPr>
                <w:sz w:val="20"/>
                <w:szCs w:val="20"/>
              </w:rPr>
            </w:pPr>
            <w:r>
              <w:rPr>
                <w:sz w:val="20"/>
                <w:szCs w:val="20"/>
              </w:rPr>
              <w:t>8</w:t>
            </w:r>
          </w:p>
        </w:tc>
        <w:tc>
          <w:tcPr>
            <w:tcW w:w="0" w:type="auto"/>
            <w:shd w:val="clear" w:color="auto" w:fill="CCEEFF"/>
            <w:vAlign w:val="center"/>
            <w:hideMark/>
          </w:tcPr>
          <w:p w14:paraId="2B146A9E" w14:textId="77777777" w:rsidR="00000000" w:rsidRDefault="007E65A2">
            <w:pPr>
              <w:pStyle w:val="a3"/>
              <w:spacing w:before="0" w:beforeAutospacing="0" w:after="0" w:afterAutospacing="0"/>
              <w:jc w:val="both"/>
              <w:rPr>
                <w:sz w:val="20"/>
                <w:szCs w:val="20"/>
              </w:rPr>
            </w:pPr>
            <w:r>
              <w:rPr>
                <w:sz w:val="20"/>
                <w:szCs w:val="20"/>
              </w:rPr>
              <w:t> </w:t>
            </w:r>
          </w:p>
        </w:tc>
      </w:tr>
      <w:tr w:rsidR="00000000" w14:paraId="158EAFD0" w14:textId="77777777">
        <w:trPr>
          <w:divId w:val="911279972"/>
          <w:trHeight w:val="180"/>
          <w:tblCellSpacing w:w="0" w:type="dxa"/>
        </w:trPr>
        <w:tc>
          <w:tcPr>
            <w:tcW w:w="0" w:type="auto"/>
            <w:shd w:val="clear" w:color="auto" w:fill="FFFFFF"/>
            <w:hideMark/>
          </w:tcPr>
          <w:p w14:paraId="5B3EA268" w14:textId="77777777" w:rsidR="00000000" w:rsidRDefault="007E65A2">
            <w:pPr>
              <w:pStyle w:val="a3"/>
              <w:spacing w:before="0" w:beforeAutospacing="0" w:after="0" w:afterAutospacing="0"/>
              <w:ind w:left="225"/>
              <w:jc w:val="both"/>
              <w:rPr>
                <w:sz w:val="20"/>
                <w:szCs w:val="20"/>
              </w:rPr>
            </w:pPr>
            <w:hyperlink w:anchor="ITEM_4._MINE_SAFETY_DISCLOSURES" w:history="1">
              <w:r>
                <w:rPr>
                  <w:rStyle w:val="a4"/>
                  <w:sz w:val="20"/>
                  <w:szCs w:val="20"/>
                </w:rPr>
                <w:t>ITEM 4.</w:t>
              </w:r>
            </w:hyperlink>
          </w:p>
        </w:tc>
        <w:tc>
          <w:tcPr>
            <w:tcW w:w="0" w:type="auto"/>
            <w:shd w:val="clear" w:color="auto" w:fill="FFFFFF"/>
            <w:hideMark/>
          </w:tcPr>
          <w:p w14:paraId="0CE9443B" w14:textId="77777777" w:rsidR="00000000" w:rsidRDefault="007E65A2">
            <w:pPr>
              <w:pStyle w:val="a3"/>
              <w:spacing w:before="0" w:beforeAutospacing="0" w:after="0" w:afterAutospacing="0"/>
              <w:jc w:val="both"/>
              <w:rPr>
                <w:sz w:val="20"/>
                <w:szCs w:val="20"/>
              </w:rPr>
            </w:pPr>
            <w:hyperlink w:anchor="ITEM_4._MINE_SAFETY_DISCLOSURES" w:history="1">
              <w:r>
                <w:rPr>
                  <w:rStyle w:val="a4"/>
                  <w:sz w:val="20"/>
                  <w:szCs w:val="20"/>
                </w:rPr>
                <w:t>MINE SAFETY</w:t>
              </w:r>
              <w:r>
                <w:rPr>
                  <w:rStyle w:val="a4"/>
                  <w:sz w:val="20"/>
                  <w:szCs w:val="20"/>
                </w:rPr>
                <w:t xml:space="preserve"> DISCLOSURES</w:t>
              </w:r>
            </w:hyperlink>
          </w:p>
        </w:tc>
        <w:tc>
          <w:tcPr>
            <w:tcW w:w="0" w:type="auto"/>
            <w:shd w:val="clear" w:color="auto" w:fill="FFFFFF"/>
            <w:vAlign w:val="center"/>
            <w:hideMark/>
          </w:tcPr>
          <w:p w14:paraId="6BEB33B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392CF596" w14:textId="77777777" w:rsidR="00000000" w:rsidRDefault="007E65A2">
            <w:pPr>
              <w:pStyle w:val="a3"/>
              <w:spacing w:before="0" w:beforeAutospacing="0" w:after="0" w:afterAutospacing="0"/>
              <w:jc w:val="right"/>
              <w:rPr>
                <w:sz w:val="20"/>
                <w:szCs w:val="20"/>
              </w:rPr>
            </w:pPr>
            <w:r>
              <w:rPr>
                <w:sz w:val="20"/>
                <w:szCs w:val="20"/>
              </w:rPr>
              <w:t>8</w:t>
            </w:r>
          </w:p>
        </w:tc>
        <w:tc>
          <w:tcPr>
            <w:tcW w:w="0" w:type="auto"/>
            <w:shd w:val="clear" w:color="auto" w:fill="FFFFFF"/>
            <w:vAlign w:val="center"/>
            <w:hideMark/>
          </w:tcPr>
          <w:p w14:paraId="0CD6552F" w14:textId="77777777" w:rsidR="00000000" w:rsidRDefault="007E65A2">
            <w:pPr>
              <w:pStyle w:val="a3"/>
              <w:spacing w:before="0" w:beforeAutospacing="0" w:after="0" w:afterAutospacing="0"/>
              <w:jc w:val="both"/>
              <w:rPr>
                <w:sz w:val="20"/>
                <w:szCs w:val="20"/>
              </w:rPr>
            </w:pPr>
            <w:r>
              <w:rPr>
                <w:sz w:val="20"/>
                <w:szCs w:val="20"/>
              </w:rPr>
              <w:t> </w:t>
            </w:r>
          </w:p>
        </w:tc>
      </w:tr>
      <w:tr w:rsidR="00000000" w14:paraId="3D3B0E88" w14:textId="77777777">
        <w:trPr>
          <w:divId w:val="911279972"/>
          <w:tblCellSpacing w:w="0" w:type="dxa"/>
        </w:trPr>
        <w:tc>
          <w:tcPr>
            <w:tcW w:w="0" w:type="auto"/>
            <w:shd w:val="clear" w:color="auto" w:fill="FFFFFF"/>
            <w:vAlign w:val="center"/>
            <w:hideMark/>
          </w:tcPr>
          <w:p w14:paraId="1DFB79D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37DADD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7837D5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A6CDAE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D15ED3D" w14:textId="77777777" w:rsidR="00000000" w:rsidRDefault="007E65A2">
            <w:pPr>
              <w:pStyle w:val="a3"/>
              <w:spacing w:before="0" w:beforeAutospacing="0" w:after="0" w:afterAutospacing="0"/>
              <w:jc w:val="both"/>
              <w:rPr>
                <w:sz w:val="20"/>
                <w:szCs w:val="20"/>
              </w:rPr>
            </w:pPr>
            <w:r>
              <w:rPr>
                <w:sz w:val="20"/>
                <w:szCs w:val="20"/>
              </w:rPr>
              <w:t> </w:t>
            </w:r>
          </w:p>
        </w:tc>
      </w:tr>
      <w:tr w:rsidR="00000000" w14:paraId="481F75CB" w14:textId="77777777">
        <w:trPr>
          <w:divId w:val="911279972"/>
          <w:trHeight w:val="180"/>
          <w:tblCellSpacing w:w="0" w:type="dxa"/>
        </w:trPr>
        <w:tc>
          <w:tcPr>
            <w:tcW w:w="0" w:type="auto"/>
            <w:shd w:val="clear" w:color="auto" w:fill="FFFFFF"/>
            <w:hideMark/>
          </w:tcPr>
          <w:p w14:paraId="1DA95B4A" w14:textId="77777777" w:rsidR="00000000" w:rsidRDefault="007E65A2">
            <w:pPr>
              <w:pStyle w:val="a3"/>
              <w:spacing w:before="0" w:beforeAutospacing="0" w:after="0" w:afterAutospacing="0"/>
              <w:jc w:val="both"/>
              <w:rPr>
                <w:sz w:val="20"/>
                <w:szCs w:val="20"/>
              </w:rPr>
            </w:pPr>
            <w:hyperlink w:anchor="PART_II" w:history="1">
              <w:r>
                <w:rPr>
                  <w:rStyle w:val="a4"/>
                  <w:sz w:val="20"/>
                  <w:szCs w:val="20"/>
                </w:rPr>
                <w:t>PART II</w:t>
              </w:r>
            </w:hyperlink>
          </w:p>
        </w:tc>
        <w:tc>
          <w:tcPr>
            <w:tcW w:w="0" w:type="auto"/>
            <w:shd w:val="clear" w:color="auto" w:fill="FFFFFF"/>
            <w:hideMark/>
          </w:tcPr>
          <w:p w14:paraId="051FDE3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29D47B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56D40500" w14:textId="77777777" w:rsidR="00000000" w:rsidRDefault="007E65A2">
            <w:pPr>
              <w:pStyle w:val="a3"/>
              <w:spacing w:before="0" w:beforeAutospacing="0" w:after="0" w:afterAutospacing="0"/>
              <w:jc w:val="right"/>
              <w:rPr>
                <w:sz w:val="20"/>
                <w:szCs w:val="20"/>
              </w:rPr>
            </w:pPr>
            <w:r>
              <w:rPr>
                <w:sz w:val="20"/>
                <w:szCs w:val="20"/>
              </w:rPr>
              <w:t>9</w:t>
            </w:r>
          </w:p>
        </w:tc>
        <w:tc>
          <w:tcPr>
            <w:tcW w:w="0" w:type="auto"/>
            <w:shd w:val="clear" w:color="auto" w:fill="FFFFFF"/>
            <w:vAlign w:val="center"/>
            <w:hideMark/>
          </w:tcPr>
          <w:p w14:paraId="1ED0B794" w14:textId="77777777" w:rsidR="00000000" w:rsidRDefault="007E65A2">
            <w:pPr>
              <w:pStyle w:val="a3"/>
              <w:spacing w:before="0" w:beforeAutospacing="0" w:after="0" w:afterAutospacing="0"/>
              <w:jc w:val="both"/>
              <w:rPr>
                <w:sz w:val="20"/>
                <w:szCs w:val="20"/>
              </w:rPr>
            </w:pPr>
            <w:r>
              <w:rPr>
                <w:sz w:val="20"/>
                <w:szCs w:val="20"/>
              </w:rPr>
              <w:t> </w:t>
            </w:r>
          </w:p>
        </w:tc>
      </w:tr>
      <w:tr w:rsidR="00000000" w14:paraId="7F47FF72" w14:textId="77777777">
        <w:trPr>
          <w:divId w:val="911279972"/>
          <w:trHeight w:val="180"/>
          <w:tblCellSpacing w:w="0" w:type="dxa"/>
        </w:trPr>
        <w:tc>
          <w:tcPr>
            <w:tcW w:w="0" w:type="auto"/>
            <w:shd w:val="clear" w:color="auto" w:fill="CCEEFF"/>
            <w:hideMark/>
          </w:tcPr>
          <w:p w14:paraId="79F6BC18" w14:textId="77777777" w:rsidR="00000000" w:rsidRDefault="007E65A2">
            <w:pPr>
              <w:pStyle w:val="a3"/>
              <w:spacing w:before="0" w:beforeAutospacing="0" w:after="0" w:afterAutospacing="0"/>
              <w:ind w:left="225"/>
              <w:jc w:val="both"/>
              <w:rPr>
                <w:sz w:val="20"/>
                <w:szCs w:val="20"/>
              </w:rPr>
            </w:pPr>
            <w:hyperlink w:anchor="Item5" w:history="1">
              <w:r>
                <w:rPr>
                  <w:rStyle w:val="a4"/>
                  <w:sz w:val="20"/>
                  <w:szCs w:val="20"/>
                </w:rPr>
                <w:t>ITEM 5.</w:t>
              </w:r>
            </w:hyperlink>
          </w:p>
        </w:tc>
        <w:tc>
          <w:tcPr>
            <w:tcW w:w="0" w:type="auto"/>
            <w:shd w:val="clear" w:color="auto" w:fill="CCEEFF"/>
            <w:hideMark/>
          </w:tcPr>
          <w:p w14:paraId="099ACC46" w14:textId="77777777" w:rsidR="00000000" w:rsidRDefault="007E65A2">
            <w:pPr>
              <w:pStyle w:val="a3"/>
              <w:spacing w:before="0" w:beforeAutospacing="0" w:after="0" w:afterAutospacing="0"/>
              <w:jc w:val="both"/>
              <w:rPr>
                <w:sz w:val="20"/>
                <w:szCs w:val="20"/>
              </w:rPr>
            </w:pPr>
            <w:hyperlink w:anchor="Item5" w:history="1">
              <w:r>
                <w:rPr>
                  <w:rStyle w:val="a4"/>
                  <w:sz w:val="20"/>
                  <w:szCs w:val="20"/>
                </w:rPr>
                <w:t>MARKET FOR REGISTRANT’</w:t>
              </w:r>
              <w:r>
                <w:rPr>
                  <w:rStyle w:val="a4"/>
                  <w:sz w:val="20"/>
                  <w:szCs w:val="20"/>
                </w:rPr>
                <w:t>S COMMON EQUITY, RELATED STOCKHOLDER MATTERS AND ISSUER PURCHASES OF EQUITY SECURITIES</w:t>
              </w:r>
            </w:hyperlink>
          </w:p>
        </w:tc>
        <w:tc>
          <w:tcPr>
            <w:tcW w:w="0" w:type="auto"/>
            <w:shd w:val="clear" w:color="auto" w:fill="CCEEFF"/>
            <w:vAlign w:val="center"/>
            <w:hideMark/>
          </w:tcPr>
          <w:p w14:paraId="129B4E1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6B102FE2" w14:textId="77777777" w:rsidR="00000000" w:rsidRDefault="007E65A2">
            <w:pPr>
              <w:pStyle w:val="a3"/>
              <w:spacing w:before="0" w:beforeAutospacing="0" w:after="0" w:afterAutospacing="0"/>
              <w:jc w:val="right"/>
              <w:rPr>
                <w:sz w:val="20"/>
                <w:szCs w:val="20"/>
              </w:rPr>
            </w:pPr>
            <w:r>
              <w:rPr>
                <w:sz w:val="20"/>
                <w:szCs w:val="20"/>
              </w:rPr>
              <w:t>9</w:t>
            </w:r>
          </w:p>
        </w:tc>
        <w:tc>
          <w:tcPr>
            <w:tcW w:w="0" w:type="auto"/>
            <w:shd w:val="clear" w:color="auto" w:fill="CCEEFF"/>
            <w:vAlign w:val="center"/>
            <w:hideMark/>
          </w:tcPr>
          <w:p w14:paraId="6709D547" w14:textId="77777777" w:rsidR="00000000" w:rsidRDefault="007E65A2">
            <w:pPr>
              <w:pStyle w:val="a3"/>
              <w:spacing w:before="0" w:beforeAutospacing="0" w:after="0" w:afterAutospacing="0"/>
              <w:jc w:val="both"/>
              <w:rPr>
                <w:sz w:val="20"/>
                <w:szCs w:val="20"/>
              </w:rPr>
            </w:pPr>
            <w:r>
              <w:rPr>
                <w:sz w:val="20"/>
                <w:szCs w:val="20"/>
              </w:rPr>
              <w:t> </w:t>
            </w:r>
          </w:p>
        </w:tc>
      </w:tr>
      <w:tr w:rsidR="00000000" w14:paraId="566629B8" w14:textId="77777777">
        <w:trPr>
          <w:divId w:val="911279972"/>
          <w:trHeight w:val="180"/>
          <w:tblCellSpacing w:w="0" w:type="dxa"/>
        </w:trPr>
        <w:tc>
          <w:tcPr>
            <w:tcW w:w="0" w:type="auto"/>
            <w:shd w:val="clear" w:color="auto" w:fill="FFFFFF"/>
            <w:hideMark/>
          </w:tcPr>
          <w:p w14:paraId="081FC5E2" w14:textId="77777777" w:rsidR="00000000" w:rsidRDefault="007E65A2">
            <w:pPr>
              <w:pStyle w:val="a3"/>
              <w:spacing w:before="0" w:beforeAutospacing="0" w:after="0" w:afterAutospacing="0"/>
              <w:ind w:left="225"/>
              <w:jc w:val="both"/>
              <w:rPr>
                <w:sz w:val="20"/>
                <w:szCs w:val="20"/>
              </w:rPr>
            </w:pPr>
            <w:hyperlink w:anchor="ITEM_6._SELECTED_FINANCIAL_DATA" w:history="1">
              <w:r>
                <w:rPr>
                  <w:rStyle w:val="a4"/>
                  <w:sz w:val="20"/>
                  <w:szCs w:val="20"/>
                </w:rPr>
                <w:t>ITEM 6.</w:t>
              </w:r>
            </w:hyperlink>
          </w:p>
        </w:tc>
        <w:tc>
          <w:tcPr>
            <w:tcW w:w="0" w:type="auto"/>
            <w:shd w:val="clear" w:color="auto" w:fill="FFFFFF"/>
            <w:hideMark/>
          </w:tcPr>
          <w:p w14:paraId="45F7202E" w14:textId="77777777" w:rsidR="00000000" w:rsidRDefault="007E65A2">
            <w:pPr>
              <w:pStyle w:val="a3"/>
              <w:spacing w:before="0" w:beforeAutospacing="0" w:after="0" w:afterAutospacing="0"/>
              <w:jc w:val="both"/>
              <w:rPr>
                <w:sz w:val="20"/>
                <w:szCs w:val="20"/>
              </w:rPr>
            </w:pPr>
            <w:hyperlink w:anchor="ITEM_6._SELECTED_FINANCIAL_DATA" w:history="1">
              <w:r>
                <w:rPr>
                  <w:rStyle w:val="a4"/>
                  <w:sz w:val="20"/>
                  <w:szCs w:val="20"/>
                </w:rPr>
                <w:t>SELECTED FINANCIAL DATA</w:t>
              </w:r>
            </w:hyperlink>
          </w:p>
        </w:tc>
        <w:tc>
          <w:tcPr>
            <w:tcW w:w="0" w:type="auto"/>
            <w:shd w:val="clear" w:color="auto" w:fill="FFFFFF"/>
            <w:vAlign w:val="center"/>
            <w:hideMark/>
          </w:tcPr>
          <w:p w14:paraId="349A5D9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2104BA94" w14:textId="77777777" w:rsidR="00000000" w:rsidRDefault="007E65A2">
            <w:pPr>
              <w:pStyle w:val="a3"/>
              <w:spacing w:before="0" w:beforeAutospacing="0" w:after="0" w:afterAutospacing="0"/>
              <w:jc w:val="right"/>
              <w:rPr>
                <w:sz w:val="20"/>
                <w:szCs w:val="20"/>
              </w:rPr>
            </w:pPr>
            <w:r>
              <w:rPr>
                <w:sz w:val="20"/>
                <w:szCs w:val="20"/>
              </w:rPr>
              <w:t>10</w:t>
            </w:r>
          </w:p>
        </w:tc>
        <w:tc>
          <w:tcPr>
            <w:tcW w:w="0" w:type="auto"/>
            <w:shd w:val="clear" w:color="auto" w:fill="FFFFFF"/>
            <w:vAlign w:val="center"/>
            <w:hideMark/>
          </w:tcPr>
          <w:p w14:paraId="4D768200" w14:textId="77777777" w:rsidR="00000000" w:rsidRDefault="007E65A2">
            <w:pPr>
              <w:pStyle w:val="a3"/>
              <w:spacing w:before="0" w:beforeAutospacing="0" w:after="0" w:afterAutospacing="0"/>
              <w:jc w:val="both"/>
              <w:rPr>
                <w:sz w:val="20"/>
                <w:szCs w:val="20"/>
              </w:rPr>
            </w:pPr>
            <w:r>
              <w:rPr>
                <w:sz w:val="20"/>
                <w:szCs w:val="20"/>
              </w:rPr>
              <w:t> </w:t>
            </w:r>
          </w:p>
        </w:tc>
      </w:tr>
      <w:tr w:rsidR="00000000" w14:paraId="124AB538" w14:textId="77777777">
        <w:trPr>
          <w:divId w:val="911279972"/>
          <w:trHeight w:val="180"/>
          <w:tblCellSpacing w:w="0" w:type="dxa"/>
        </w:trPr>
        <w:tc>
          <w:tcPr>
            <w:tcW w:w="0" w:type="auto"/>
            <w:shd w:val="clear" w:color="auto" w:fill="CCEEFF"/>
            <w:hideMark/>
          </w:tcPr>
          <w:p w14:paraId="285B4B04" w14:textId="77777777" w:rsidR="00000000" w:rsidRDefault="007E65A2">
            <w:pPr>
              <w:pStyle w:val="a3"/>
              <w:spacing w:before="0" w:beforeAutospacing="0" w:after="0" w:afterAutospacing="0"/>
              <w:ind w:left="225"/>
              <w:jc w:val="both"/>
              <w:rPr>
                <w:sz w:val="20"/>
                <w:szCs w:val="20"/>
              </w:rPr>
            </w:pPr>
            <w:hyperlink w:anchor="Item7" w:history="1">
              <w:r>
                <w:rPr>
                  <w:rStyle w:val="a4"/>
                  <w:sz w:val="20"/>
                  <w:szCs w:val="20"/>
                </w:rPr>
                <w:t>ITEM 7.</w:t>
              </w:r>
            </w:hyperlink>
          </w:p>
        </w:tc>
        <w:tc>
          <w:tcPr>
            <w:tcW w:w="0" w:type="auto"/>
            <w:shd w:val="clear" w:color="auto" w:fill="CCEEFF"/>
            <w:hideMark/>
          </w:tcPr>
          <w:p w14:paraId="5159A3C1" w14:textId="77777777" w:rsidR="00000000" w:rsidRDefault="007E65A2">
            <w:pPr>
              <w:pStyle w:val="a3"/>
              <w:spacing w:before="0" w:beforeAutospacing="0" w:after="0" w:afterAutospacing="0"/>
              <w:jc w:val="both"/>
              <w:rPr>
                <w:sz w:val="20"/>
                <w:szCs w:val="20"/>
              </w:rPr>
            </w:pPr>
            <w:hyperlink w:anchor="Item7" w:history="1">
              <w:r>
                <w:rPr>
                  <w:rStyle w:val="a4"/>
                  <w:sz w:val="20"/>
                  <w:szCs w:val="20"/>
                </w:rPr>
                <w:t>MANAGEMENT’S DISCUSSION AND ANALYSIS OF FINANCIAL CONDITION AND RESULTS OF OPERATIONS</w:t>
              </w:r>
            </w:hyperlink>
          </w:p>
        </w:tc>
        <w:tc>
          <w:tcPr>
            <w:tcW w:w="0" w:type="auto"/>
            <w:shd w:val="clear" w:color="auto" w:fill="CCEEFF"/>
            <w:vAlign w:val="center"/>
            <w:hideMark/>
          </w:tcPr>
          <w:p w14:paraId="76EC120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597BA9F8" w14:textId="77777777" w:rsidR="00000000" w:rsidRDefault="007E65A2">
            <w:pPr>
              <w:pStyle w:val="a3"/>
              <w:spacing w:before="0" w:beforeAutospacing="0" w:after="0" w:afterAutospacing="0"/>
              <w:jc w:val="right"/>
              <w:rPr>
                <w:sz w:val="20"/>
                <w:szCs w:val="20"/>
              </w:rPr>
            </w:pPr>
            <w:r>
              <w:rPr>
                <w:sz w:val="20"/>
                <w:szCs w:val="20"/>
              </w:rPr>
              <w:t>10</w:t>
            </w:r>
          </w:p>
        </w:tc>
        <w:tc>
          <w:tcPr>
            <w:tcW w:w="0" w:type="auto"/>
            <w:shd w:val="clear" w:color="auto" w:fill="CCEEFF"/>
            <w:vAlign w:val="center"/>
            <w:hideMark/>
          </w:tcPr>
          <w:p w14:paraId="783487CD" w14:textId="77777777" w:rsidR="00000000" w:rsidRDefault="007E65A2">
            <w:pPr>
              <w:pStyle w:val="a3"/>
              <w:spacing w:before="0" w:beforeAutospacing="0" w:after="0" w:afterAutospacing="0"/>
              <w:jc w:val="both"/>
              <w:rPr>
                <w:sz w:val="20"/>
                <w:szCs w:val="20"/>
              </w:rPr>
            </w:pPr>
            <w:r>
              <w:rPr>
                <w:sz w:val="20"/>
                <w:szCs w:val="20"/>
              </w:rPr>
              <w:t> </w:t>
            </w:r>
          </w:p>
        </w:tc>
      </w:tr>
      <w:tr w:rsidR="00000000" w14:paraId="7F255C24" w14:textId="77777777">
        <w:trPr>
          <w:divId w:val="911279972"/>
          <w:trHeight w:val="180"/>
          <w:tblCellSpacing w:w="0" w:type="dxa"/>
        </w:trPr>
        <w:tc>
          <w:tcPr>
            <w:tcW w:w="0" w:type="auto"/>
            <w:shd w:val="clear" w:color="auto" w:fill="FFFFFF"/>
            <w:hideMark/>
          </w:tcPr>
          <w:p w14:paraId="5716CEA1" w14:textId="77777777" w:rsidR="00000000" w:rsidRDefault="007E65A2">
            <w:pPr>
              <w:pStyle w:val="a3"/>
              <w:spacing w:before="0" w:beforeAutospacing="0" w:after="0" w:afterAutospacing="0"/>
              <w:ind w:left="225"/>
              <w:jc w:val="both"/>
              <w:rPr>
                <w:sz w:val="20"/>
                <w:szCs w:val="20"/>
              </w:rPr>
            </w:pPr>
            <w:hyperlink w:anchor="Item7A" w:history="1">
              <w:r>
                <w:rPr>
                  <w:rStyle w:val="a4"/>
                  <w:sz w:val="20"/>
                  <w:szCs w:val="20"/>
                </w:rPr>
                <w:t>ITEM 7A.</w:t>
              </w:r>
            </w:hyperlink>
          </w:p>
        </w:tc>
        <w:tc>
          <w:tcPr>
            <w:tcW w:w="0" w:type="auto"/>
            <w:shd w:val="clear" w:color="auto" w:fill="FFFFFF"/>
            <w:hideMark/>
          </w:tcPr>
          <w:p w14:paraId="2101D38D" w14:textId="77777777" w:rsidR="00000000" w:rsidRDefault="007E65A2">
            <w:pPr>
              <w:pStyle w:val="a3"/>
              <w:spacing w:before="0" w:beforeAutospacing="0" w:after="0" w:afterAutospacing="0"/>
              <w:jc w:val="both"/>
              <w:rPr>
                <w:sz w:val="20"/>
                <w:szCs w:val="20"/>
              </w:rPr>
            </w:pPr>
            <w:hyperlink w:anchor="Item7A" w:history="1">
              <w:r>
                <w:rPr>
                  <w:rStyle w:val="a4"/>
                  <w:sz w:val="20"/>
                  <w:szCs w:val="20"/>
                </w:rPr>
                <w:t>QUANTITATIVE AND QUALITATIVE DI</w:t>
              </w:r>
              <w:r>
                <w:rPr>
                  <w:rStyle w:val="a4"/>
                  <w:sz w:val="20"/>
                  <w:szCs w:val="20"/>
                </w:rPr>
                <w:t>SCLOSURES ABOUT MARKET RISK</w:t>
              </w:r>
            </w:hyperlink>
          </w:p>
        </w:tc>
        <w:tc>
          <w:tcPr>
            <w:tcW w:w="0" w:type="auto"/>
            <w:shd w:val="clear" w:color="auto" w:fill="FFFFFF"/>
            <w:vAlign w:val="center"/>
            <w:hideMark/>
          </w:tcPr>
          <w:p w14:paraId="5E1D92A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2F8EEC20" w14:textId="77777777" w:rsidR="00000000" w:rsidRDefault="007E65A2">
            <w:pPr>
              <w:pStyle w:val="a3"/>
              <w:spacing w:before="0" w:beforeAutospacing="0" w:after="0" w:afterAutospacing="0"/>
              <w:jc w:val="right"/>
              <w:rPr>
                <w:sz w:val="20"/>
                <w:szCs w:val="20"/>
              </w:rPr>
            </w:pPr>
            <w:r>
              <w:rPr>
                <w:sz w:val="20"/>
                <w:szCs w:val="20"/>
              </w:rPr>
              <w:t>13</w:t>
            </w:r>
          </w:p>
        </w:tc>
        <w:tc>
          <w:tcPr>
            <w:tcW w:w="0" w:type="auto"/>
            <w:shd w:val="clear" w:color="auto" w:fill="FFFFFF"/>
            <w:vAlign w:val="center"/>
            <w:hideMark/>
          </w:tcPr>
          <w:p w14:paraId="190565F6" w14:textId="77777777" w:rsidR="00000000" w:rsidRDefault="007E65A2">
            <w:pPr>
              <w:pStyle w:val="a3"/>
              <w:spacing w:before="0" w:beforeAutospacing="0" w:after="0" w:afterAutospacing="0"/>
              <w:jc w:val="both"/>
              <w:rPr>
                <w:sz w:val="20"/>
                <w:szCs w:val="20"/>
              </w:rPr>
            </w:pPr>
            <w:r>
              <w:rPr>
                <w:sz w:val="20"/>
                <w:szCs w:val="20"/>
              </w:rPr>
              <w:t> </w:t>
            </w:r>
          </w:p>
        </w:tc>
      </w:tr>
      <w:tr w:rsidR="00000000" w14:paraId="794243EB" w14:textId="77777777">
        <w:trPr>
          <w:divId w:val="911279972"/>
          <w:trHeight w:val="180"/>
          <w:tblCellSpacing w:w="0" w:type="dxa"/>
        </w:trPr>
        <w:tc>
          <w:tcPr>
            <w:tcW w:w="0" w:type="auto"/>
            <w:shd w:val="clear" w:color="auto" w:fill="CCEEFF"/>
            <w:hideMark/>
          </w:tcPr>
          <w:p w14:paraId="574CBFBF" w14:textId="77777777" w:rsidR="00000000" w:rsidRDefault="007E65A2">
            <w:pPr>
              <w:pStyle w:val="a3"/>
              <w:spacing w:before="0" w:beforeAutospacing="0" w:after="0" w:afterAutospacing="0"/>
              <w:ind w:left="225"/>
              <w:jc w:val="both"/>
              <w:rPr>
                <w:sz w:val="20"/>
                <w:szCs w:val="20"/>
              </w:rPr>
            </w:pPr>
            <w:hyperlink w:anchor="Item8" w:history="1">
              <w:r>
                <w:rPr>
                  <w:rStyle w:val="a4"/>
                  <w:sz w:val="20"/>
                  <w:szCs w:val="20"/>
                </w:rPr>
                <w:t>ITEM 8.</w:t>
              </w:r>
            </w:hyperlink>
          </w:p>
        </w:tc>
        <w:tc>
          <w:tcPr>
            <w:tcW w:w="0" w:type="auto"/>
            <w:shd w:val="clear" w:color="auto" w:fill="CCEEFF"/>
            <w:hideMark/>
          </w:tcPr>
          <w:p w14:paraId="3664E72B" w14:textId="77777777" w:rsidR="00000000" w:rsidRDefault="007E65A2">
            <w:pPr>
              <w:pStyle w:val="a3"/>
              <w:spacing w:before="0" w:beforeAutospacing="0" w:after="0" w:afterAutospacing="0"/>
              <w:jc w:val="both"/>
              <w:rPr>
                <w:sz w:val="20"/>
                <w:szCs w:val="20"/>
              </w:rPr>
            </w:pPr>
            <w:hyperlink w:anchor="Item8" w:history="1">
              <w:r>
                <w:rPr>
                  <w:rStyle w:val="a4"/>
                  <w:sz w:val="20"/>
                  <w:szCs w:val="20"/>
                </w:rPr>
                <w:t>FINANCIAL STATEMENTS AND SUPPLEMENTARY DATA</w:t>
              </w:r>
            </w:hyperlink>
          </w:p>
        </w:tc>
        <w:tc>
          <w:tcPr>
            <w:tcW w:w="0" w:type="auto"/>
            <w:shd w:val="clear" w:color="auto" w:fill="CCEEFF"/>
            <w:vAlign w:val="center"/>
            <w:hideMark/>
          </w:tcPr>
          <w:p w14:paraId="58051BD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570AAC73" w14:textId="77777777" w:rsidR="00000000" w:rsidRDefault="007E65A2">
            <w:pPr>
              <w:pStyle w:val="a3"/>
              <w:spacing w:before="0" w:beforeAutospacing="0" w:after="0" w:afterAutospacing="0"/>
              <w:jc w:val="right"/>
              <w:rPr>
                <w:sz w:val="20"/>
                <w:szCs w:val="20"/>
              </w:rPr>
            </w:pPr>
            <w:r>
              <w:rPr>
                <w:sz w:val="20"/>
                <w:szCs w:val="20"/>
              </w:rPr>
              <w:t>F-1</w:t>
            </w:r>
          </w:p>
        </w:tc>
        <w:tc>
          <w:tcPr>
            <w:tcW w:w="0" w:type="auto"/>
            <w:shd w:val="clear" w:color="auto" w:fill="CCEEFF"/>
            <w:vAlign w:val="center"/>
            <w:hideMark/>
          </w:tcPr>
          <w:p w14:paraId="4F869656" w14:textId="77777777" w:rsidR="00000000" w:rsidRDefault="007E65A2">
            <w:pPr>
              <w:pStyle w:val="a3"/>
              <w:spacing w:before="0" w:beforeAutospacing="0" w:after="0" w:afterAutospacing="0"/>
              <w:jc w:val="both"/>
              <w:rPr>
                <w:sz w:val="20"/>
                <w:szCs w:val="20"/>
              </w:rPr>
            </w:pPr>
            <w:r>
              <w:rPr>
                <w:sz w:val="20"/>
                <w:szCs w:val="20"/>
              </w:rPr>
              <w:t> </w:t>
            </w:r>
          </w:p>
        </w:tc>
      </w:tr>
      <w:tr w:rsidR="00000000" w14:paraId="0011BFBB" w14:textId="77777777">
        <w:trPr>
          <w:divId w:val="911279972"/>
          <w:trHeight w:val="180"/>
          <w:tblCellSpacing w:w="0" w:type="dxa"/>
        </w:trPr>
        <w:tc>
          <w:tcPr>
            <w:tcW w:w="0" w:type="auto"/>
            <w:shd w:val="clear" w:color="auto" w:fill="FFFFFF"/>
            <w:hideMark/>
          </w:tcPr>
          <w:p w14:paraId="7E349709" w14:textId="77777777" w:rsidR="00000000" w:rsidRDefault="007E65A2">
            <w:pPr>
              <w:pStyle w:val="a3"/>
              <w:spacing w:before="0" w:beforeAutospacing="0" w:after="0" w:afterAutospacing="0"/>
              <w:ind w:left="225"/>
              <w:jc w:val="both"/>
              <w:rPr>
                <w:sz w:val="20"/>
                <w:szCs w:val="20"/>
              </w:rPr>
            </w:pPr>
            <w:hyperlink w:anchor="Item9" w:history="1">
              <w:r>
                <w:rPr>
                  <w:rStyle w:val="a4"/>
                  <w:sz w:val="20"/>
                  <w:szCs w:val="20"/>
                </w:rPr>
                <w:t>ITEM 9.</w:t>
              </w:r>
            </w:hyperlink>
          </w:p>
        </w:tc>
        <w:tc>
          <w:tcPr>
            <w:tcW w:w="0" w:type="auto"/>
            <w:shd w:val="clear" w:color="auto" w:fill="FFFFFF"/>
            <w:hideMark/>
          </w:tcPr>
          <w:p w14:paraId="42934076" w14:textId="77777777" w:rsidR="00000000" w:rsidRDefault="007E65A2">
            <w:pPr>
              <w:pStyle w:val="a3"/>
              <w:spacing w:before="0" w:beforeAutospacing="0" w:after="0" w:afterAutospacing="0"/>
              <w:jc w:val="both"/>
              <w:rPr>
                <w:sz w:val="20"/>
                <w:szCs w:val="20"/>
              </w:rPr>
            </w:pPr>
            <w:hyperlink w:anchor="Item9" w:history="1">
              <w:r>
                <w:rPr>
                  <w:rStyle w:val="a4"/>
                  <w:sz w:val="20"/>
                  <w:szCs w:val="20"/>
                </w:rPr>
                <w:t>CHANGES IN AND DISAGREEMENTS WITH ACCOUNTANTS ON ACCOUNTING AND FINANCIAL DISCLOSURE</w:t>
              </w:r>
            </w:hyperlink>
          </w:p>
        </w:tc>
        <w:tc>
          <w:tcPr>
            <w:tcW w:w="0" w:type="auto"/>
            <w:shd w:val="clear" w:color="auto" w:fill="FFFFFF"/>
            <w:vAlign w:val="center"/>
            <w:hideMark/>
          </w:tcPr>
          <w:p w14:paraId="261CC30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38722341" w14:textId="77777777" w:rsidR="00000000" w:rsidRDefault="007E65A2">
            <w:pPr>
              <w:pStyle w:val="a3"/>
              <w:spacing w:before="0" w:beforeAutospacing="0" w:after="0" w:afterAutospacing="0"/>
              <w:jc w:val="right"/>
              <w:rPr>
                <w:sz w:val="20"/>
                <w:szCs w:val="20"/>
              </w:rPr>
            </w:pPr>
            <w:r>
              <w:rPr>
                <w:sz w:val="20"/>
                <w:szCs w:val="20"/>
              </w:rPr>
              <w:t> 14</w:t>
            </w:r>
          </w:p>
        </w:tc>
        <w:tc>
          <w:tcPr>
            <w:tcW w:w="0" w:type="auto"/>
            <w:shd w:val="clear" w:color="auto" w:fill="FFFFFF"/>
            <w:vAlign w:val="center"/>
            <w:hideMark/>
          </w:tcPr>
          <w:p w14:paraId="0DBF544D" w14:textId="77777777" w:rsidR="00000000" w:rsidRDefault="007E65A2">
            <w:pPr>
              <w:pStyle w:val="a3"/>
              <w:spacing w:before="0" w:beforeAutospacing="0" w:after="0" w:afterAutospacing="0"/>
              <w:jc w:val="both"/>
              <w:rPr>
                <w:sz w:val="20"/>
                <w:szCs w:val="20"/>
              </w:rPr>
            </w:pPr>
            <w:r>
              <w:rPr>
                <w:sz w:val="20"/>
                <w:szCs w:val="20"/>
              </w:rPr>
              <w:t> </w:t>
            </w:r>
          </w:p>
        </w:tc>
      </w:tr>
      <w:tr w:rsidR="00000000" w14:paraId="08DF1DE8" w14:textId="77777777">
        <w:trPr>
          <w:divId w:val="911279972"/>
          <w:trHeight w:val="180"/>
          <w:tblCellSpacing w:w="0" w:type="dxa"/>
        </w:trPr>
        <w:tc>
          <w:tcPr>
            <w:tcW w:w="0" w:type="auto"/>
            <w:shd w:val="clear" w:color="auto" w:fill="CCEEFF"/>
            <w:hideMark/>
          </w:tcPr>
          <w:p w14:paraId="43F50D6C" w14:textId="77777777" w:rsidR="00000000" w:rsidRDefault="007E65A2">
            <w:pPr>
              <w:pStyle w:val="a3"/>
              <w:spacing w:before="0" w:beforeAutospacing="0" w:after="0" w:afterAutospacing="0"/>
              <w:ind w:left="225"/>
              <w:jc w:val="both"/>
              <w:rPr>
                <w:sz w:val="20"/>
                <w:szCs w:val="20"/>
              </w:rPr>
            </w:pPr>
            <w:hyperlink w:anchor="ITEM_9A._CONTROLS_AND_PROCEDURES" w:history="1">
              <w:r>
                <w:rPr>
                  <w:rStyle w:val="a4"/>
                  <w:sz w:val="20"/>
                  <w:szCs w:val="20"/>
                </w:rPr>
                <w:t>ITEM 9A.</w:t>
              </w:r>
            </w:hyperlink>
          </w:p>
        </w:tc>
        <w:tc>
          <w:tcPr>
            <w:tcW w:w="0" w:type="auto"/>
            <w:shd w:val="clear" w:color="auto" w:fill="CCEEFF"/>
            <w:hideMark/>
          </w:tcPr>
          <w:p w14:paraId="2B10D3AF" w14:textId="77777777" w:rsidR="00000000" w:rsidRDefault="007E65A2">
            <w:pPr>
              <w:pStyle w:val="a3"/>
              <w:spacing w:before="0" w:beforeAutospacing="0" w:after="0" w:afterAutospacing="0"/>
              <w:jc w:val="both"/>
              <w:rPr>
                <w:sz w:val="20"/>
                <w:szCs w:val="20"/>
              </w:rPr>
            </w:pPr>
            <w:hyperlink w:anchor="ITEM_9A._CONTROLS_AND_PROCEDURES" w:history="1">
              <w:r>
                <w:rPr>
                  <w:rStyle w:val="a4"/>
                  <w:sz w:val="20"/>
                  <w:szCs w:val="20"/>
                </w:rPr>
                <w:t>CONTROLS AND PROCEDURES</w:t>
              </w:r>
            </w:hyperlink>
          </w:p>
        </w:tc>
        <w:tc>
          <w:tcPr>
            <w:tcW w:w="0" w:type="auto"/>
            <w:shd w:val="clear" w:color="auto" w:fill="CCEEFF"/>
            <w:vAlign w:val="center"/>
            <w:hideMark/>
          </w:tcPr>
          <w:p w14:paraId="3F95B3D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6D20518F" w14:textId="77777777" w:rsidR="00000000" w:rsidRDefault="007E65A2">
            <w:pPr>
              <w:pStyle w:val="a3"/>
              <w:spacing w:before="0" w:beforeAutospacing="0" w:after="0" w:afterAutospacing="0"/>
              <w:jc w:val="right"/>
              <w:rPr>
                <w:sz w:val="20"/>
                <w:szCs w:val="20"/>
              </w:rPr>
            </w:pPr>
            <w:r>
              <w:rPr>
                <w:sz w:val="20"/>
                <w:szCs w:val="20"/>
              </w:rPr>
              <w:t> 14</w:t>
            </w:r>
          </w:p>
        </w:tc>
        <w:tc>
          <w:tcPr>
            <w:tcW w:w="0" w:type="auto"/>
            <w:shd w:val="clear" w:color="auto" w:fill="CCEEFF"/>
            <w:vAlign w:val="center"/>
            <w:hideMark/>
          </w:tcPr>
          <w:p w14:paraId="0BE5C5BA" w14:textId="77777777" w:rsidR="00000000" w:rsidRDefault="007E65A2">
            <w:pPr>
              <w:pStyle w:val="a3"/>
              <w:spacing w:before="0" w:beforeAutospacing="0" w:after="0" w:afterAutospacing="0"/>
              <w:jc w:val="both"/>
              <w:rPr>
                <w:sz w:val="20"/>
                <w:szCs w:val="20"/>
              </w:rPr>
            </w:pPr>
            <w:r>
              <w:rPr>
                <w:sz w:val="20"/>
                <w:szCs w:val="20"/>
              </w:rPr>
              <w:t> </w:t>
            </w:r>
          </w:p>
        </w:tc>
      </w:tr>
      <w:tr w:rsidR="00000000" w14:paraId="37CA10F5" w14:textId="77777777">
        <w:trPr>
          <w:divId w:val="911279972"/>
          <w:trHeight w:val="180"/>
          <w:tblCellSpacing w:w="0" w:type="dxa"/>
        </w:trPr>
        <w:tc>
          <w:tcPr>
            <w:tcW w:w="0" w:type="auto"/>
            <w:shd w:val="clear" w:color="auto" w:fill="FFFFFF"/>
            <w:hideMark/>
          </w:tcPr>
          <w:p w14:paraId="728AFCA2" w14:textId="77777777" w:rsidR="00000000" w:rsidRDefault="007E65A2">
            <w:pPr>
              <w:pStyle w:val="a3"/>
              <w:spacing w:before="0" w:beforeAutospacing="0" w:after="0" w:afterAutospacing="0"/>
              <w:ind w:left="225"/>
              <w:jc w:val="both"/>
              <w:rPr>
                <w:sz w:val="20"/>
                <w:szCs w:val="20"/>
              </w:rPr>
            </w:pPr>
            <w:hyperlink w:anchor="ITEM_9B._OTHER_INFORMATION" w:history="1">
              <w:r>
                <w:rPr>
                  <w:rStyle w:val="a4"/>
                  <w:sz w:val="20"/>
                  <w:szCs w:val="20"/>
                </w:rPr>
                <w:t>ITEM 9B.</w:t>
              </w:r>
            </w:hyperlink>
          </w:p>
        </w:tc>
        <w:tc>
          <w:tcPr>
            <w:tcW w:w="0" w:type="auto"/>
            <w:shd w:val="clear" w:color="auto" w:fill="FFFFFF"/>
            <w:hideMark/>
          </w:tcPr>
          <w:p w14:paraId="590ACB43" w14:textId="77777777" w:rsidR="00000000" w:rsidRDefault="007E65A2">
            <w:pPr>
              <w:pStyle w:val="a3"/>
              <w:spacing w:before="0" w:beforeAutospacing="0" w:after="0" w:afterAutospacing="0"/>
              <w:jc w:val="both"/>
              <w:rPr>
                <w:sz w:val="20"/>
                <w:szCs w:val="20"/>
              </w:rPr>
            </w:pPr>
            <w:hyperlink w:anchor="ITEM_9B._OTHER_INFORMATION" w:history="1">
              <w:r>
                <w:rPr>
                  <w:rStyle w:val="a4"/>
                  <w:sz w:val="20"/>
                  <w:szCs w:val="20"/>
                </w:rPr>
                <w:t>OTHER INFORMATION</w:t>
              </w:r>
            </w:hyperlink>
          </w:p>
        </w:tc>
        <w:tc>
          <w:tcPr>
            <w:tcW w:w="0" w:type="auto"/>
            <w:shd w:val="clear" w:color="auto" w:fill="FFFFFF"/>
            <w:vAlign w:val="center"/>
            <w:hideMark/>
          </w:tcPr>
          <w:p w14:paraId="0E249F4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2DFF741C" w14:textId="77777777" w:rsidR="00000000" w:rsidRDefault="007E65A2">
            <w:pPr>
              <w:pStyle w:val="a3"/>
              <w:spacing w:before="0" w:beforeAutospacing="0" w:after="0" w:afterAutospacing="0"/>
              <w:jc w:val="right"/>
              <w:rPr>
                <w:sz w:val="20"/>
                <w:szCs w:val="20"/>
              </w:rPr>
            </w:pPr>
            <w:r>
              <w:rPr>
                <w:sz w:val="20"/>
                <w:szCs w:val="20"/>
              </w:rPr>
              <w:t>14</w:t>
            </w:r>
          </w:p>
        </w:tc>
        <w:tc>
          <w:tcPr>
            <w:tcW w:w="0" w:type="auto"/>
            <w:shd w:val="clear" w:color="auto" w:fill="FFFFFF"/>
            <w:vAlign w:val="center"/>
            <w:hideMark/>
          </w:tcPr>
          <w:p w14:paraId="3C161FAD" w14:textId="77777777" w:rsidR="00000000" w:rsidRDefault="007E65A2">
            <w:pPr>
              <w:pStyle w:val="a3"/>
              <w:spacing w:before="0" w:beforeAutospacing="0" w:after="0" w:afterAutospacing="0"/>
              <w:jc w:val="both"/>
              <w:rPr>
                <w:sz w:val="20"/>
                <w:szCs w:val="20"/>
              </w:rPr>
            </w:pPr>
            <w:r>
              <w:rPr>
                <w:sz w:val="20"/>
                <w:szCs w:val="20"/>
              </w:rPr>
              <w:t> </w:t>
            </w:r>
          </w:p>
        </w:tc>
      </w:tr>
      <w:tr w:rsidR="00000000" w14:paraId="31B9C96B" w14:textId="77777777">
        <w:trPr>
          <w:divId w:val="911279972"/>
          <w:tblCellSpacing w:w="0" w:type="dxa"/>
        </w:trPr>
        <w:tc>
          <w:tcPr>
            <w:tcW w:w="0" w:type="auto"/>
            <w:shd w:val="clear" w:color="auto" w:fill="FFFFFF"/>
            <w:vAlign w:val="center"/>
            <w:hideMark/>
          </w:tcPr>
          <w:p w14:paraId="5DF94A1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F9B377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0AB4FB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71DA22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6E386DF" w14:textId="77777777" w:rsidR="00000000" w:rsidRDefault="007E65A2">
            <w:pPr>
              <w:pStyle w:val="a3"/>
              <w:spacing w:before="0" w:beforeAutospacing="0" w:after="0" w:afterAutospacing="0"/>
              <w:jc w:val="both"/>
              <w:rPr>
                <w:sz w:val="20"/>
                <w:szCs w:val="20"/>
              </w:rPr>
            </w:pPr>
            <w:r>
              <w:rPr>
                <w:sz w:val="20"/>
                <w:szCs w:val="20"/>
              </w:rPr>
              <w:t> </w:t>
            </w:r>
          </w:p>
        </w:tc>
      </w:tr>
      <w:tr w:rsidR="00000000" w14:paraId="1FBBCA32" w14:textId="77777777">
        <w:trPr>
          <w:divId w:val="911279972"/>
          <w:trHeight w:val="180"/>
          <w:tblCellSpacing w:w="0" w:type="dxa"/>
        </w:trPr>
        <w:tc>
          <w:tcPr>
            <w:tcW w:w="0" w:type="auto"/>
            <w:shd w:val="clear" w:color="auto" w:fill="FFFFFF"/>
            <w:hideMark/>
          </w:tcPr>
          <w:p w14:paraId="3F70CE62" w14:textId="77777777" w:rsidR="00000000" w:rsidRDefault="007E65A2">
            <w:pPr>
              <w:pStyle w:val="a3"/>
              <w:spacing w:before="0" w:beforeAutospacing="0" w:after="0" w:afterAutospacing="0"/>
              <w:jc w:val="both"/>
              <w:rPr>
                <w:sz w:val="20"/>
                <w:szCs w:val="20"/>
              </w:rPr>
            </w:pPr>
            <w:hyperlink w:anchor="PART_III" w:history="1">
              <w:r>
                <w:rPr>
                  <w:rStyle w:val="a4"/>
                  <w:sz w:val="20"/>
                  <w:szCs w:val="20"/>
                </w:rPr>
                <w:t>PART III</w:t>
              </w:r>
            </w:hyperlink>
          </w:p>
        </w:tc>
        <w:tc>
          <w:tcPr>
            <w:tcW w:w="0" w:type="auto"/>
            <w:shd w:val="clear" w:color="auto" w:fill="FFFFFF"/>
            <w:hideMark/>
          </w:tcPr>
          <w:p w14:paraId="65AA6E8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5E09B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70A80D9E" w14:textId="77777777" w:rsidR="00000000" w:rsidRDefault="007E65A2">
            <w:pPr>
              <w:pStyle w:val="a3"/>
              <w:spacing w:before="0" w:beforeAutospacing="0" w:after="0" w:afterAutospacing="0"/>
              <w:jc w:val="right"/>
              <w:rPr>
                <w:sz w:val="20"/>
                <w:szCs w:val="20"/>
              </w:rPr>
            </w:pPr>
            <w:r>
              <w:rPr>
                <w:sz w:val="20"/>
                <w:szCs w:val="20"/>
              </w:rPr>
              <w:t>15</w:t>
            </w:r>
          </w:p>
        </w:tc>
        <w:tc>
          <w:tcPr>
            <w:tcW w:w="0" w:type="auto"/>
            <w:shd w:val="clear" w:color="auto" w:fill="FFFFFF"/>
            <w:vAlign w:val="center"/>
            <w:hideMark/>
          </w:tcPr>
          <w:p w14:paraId="7A1F598F" w14:textId="77777777" w:rsidR="00000000" w:rsidRDefault="007E65A2">
            <w:pPr>
              <w:pStyle w:val="a3"/>
              <w:spacing w:before="0" w:beforeAutospacing="0" w:after="0" w:afterAutospacing="0"/>
              <w:jc w:val="both"/>
              <w:rPr>
                <w:sz w:val="20"/>
                <w:szCs w:val="20"/>
              </w:rPr>
            </w:pPr>
            <w:r>
              <w:rPr>
                <w:sz w:val="20"/>
                <w:szCs w:val="20"/>
              </w:rPr>
              <w:t> </w:t>
            </w:r>
          </w:p>
        </w:tc>
      </w:tr>
      <w:tr w:rsidR="00000000" w14:paraId="037474CA" w14:textId="77777777">
        <w:trPr>
          <w:divId w:val="911279972"/>
          <w:trHeight w:val="180"/>
          <w:tblCellSpacing w:w="0" w:type="dxa"/>
        </w:trPr>
        <w:tc>
          <w:tcPr>
            <w:tcW w:w="0" w:type="auto"/>
            <w:shd w:val="clear" w:color="auto" w:fill="CCEEFF"/>
            <w:hideMark/>
          </w:tcPr>
          <w:p w14:paraId="0248B4C3" w14:textId="77777777" w:rsidR="00000000" w:rsidRDefault="007E65A2">
            <w:pPr>
              <w:pStyle w:val="a3"/>
              <w:spacing w:before="0" w:beforeAutospacing="0" w:after="0" w:afterAutospacing="0"/>
              <w:ind w:left="225"/>
              <w:jc w:val="both"/>
              <w:rPr>
                <w:sz w:val="20"/>
                <w:szCs w:val="20"/>
              </w:rPr>
            </w:pPr>
            <w:hyperlink w:anchor="ITEM_10._DIRECTORS,_EXECUTIVE_OFFICERS_" w:history="1">
              <w:r>
                <w:rPr>
                  <w:rStyle w:val="a4"/>
                  <w:sz w:val="20"/>
                  <w:szCs w:val="20"/>
                </w:rPr>
                <w:t>ITEM 10.</w:t>
              </w:r>
            </w:hyperlink>
          </w:p>
        </w:tc>
        <w:tc>
          <w:tcPr>
            <w:tcW w:w="0" w:type="auto"/>
            <w:shd w:val="clear" w:color="auto" w:fill="CCEEFF"/>
            <w:hideMark/>
          </w:tcPr>
          <w:p w14:paraId="3A4B5317" w14:textId="77777777" w:rsidR="00000000" w:rsidRDefault="007E65A2">
            <w:pPr>
              <w:pStyle w:val="a3"/>
              <w:spacing w:before="0" w:beforeAutospacing="0" w:after="0" w:afterAutospacing="0"/>
              <w:jc w:val="both"/>
              <w:rPr>
                <w:sz w:val="20"/>
                <w:szCs w:val="20"/>
              </w:rPr>
            </w:pPr>
            <w:hyperlink w:anchor="ITEM_10._DIRECTORS,_EXECUTIVE_OFFICERS_" w:history="1">
              <w:r>
                <w:rPr>
                  <w:rStyle w:val="a4"/>
                  <w:sz w:val="20"/>
                  <w:szCs w:val="20"/>
                </w:rPr>
                <w:t>DIRECTORS, EXECUTIVE OFFICERS AND CORPORATE GOVERNANCE</w:t>
              </w:r>
            </w:hyperlink>
          </w:p>
        </w:tc>
        <w:tc>
          <w:tcPr>
            <w:tcW w:w="0" w:type="auto"/>
            <w:shd w:val="clear" w:color="auto" w:fill="CCEEFF"/>
            <w:vAlign w:val="center"/>
            <w:hideMark/>
          </w:tcPr>
          <w:p w14:paraId="76BF605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26DECE6E" w14:textId="77777777" w:rsidR="00000000" w:rsidRDefault="007E65A2">
            <w:pPr>
              <w:pStyle w:val="a3"/>
              <w:spacing w:before="0" w:beforeAutospacing="0" w:after="0" w:afterAutospacing="0"/>
              <w:jc w:val="right"/>
              <w:rPr>
                <w:sz w:val="20"/>
                <w:szCs w:val="20"/>
              </w:rPr>
            </w:pPr>
            <w:r>
              <w:rPr>
                <w:sz w:val="20"/>
                <w:szCs w:val="20"/>
              </w:rPr>
              <w:t> 15</w:t>
            </w:r>
          </w:p>
        </w:tc>
        <w:tc>
          <w:tcPr>
            <w:tcW w:w="0" w:type="auto"/>
            <w:shd w:val="clear" w:color="auto" w:fill="CCEEFF"/>
            <w:vAlign w:val="center"/>
            <w:hideMark/>
          </w:tcPr>
          <w:p w14:paraId="4CA2250E" w14:textId="77777777" w:rsidR="00000000" w:rsidRDefault="007E65A2">
            <w:pPr>
              <w:pStyle w:val="a3"/>
              <w:spacing w:before="0" w:beforeAutospacing="0" w:after="0" w:afterAutospacing="0"/>
              <w:jc w:val="both"/>
              <w:rPr>
                <w:sz w:val="20"/>
                <w:szCs w:val="20"/>
              </w:rPr>
            </w:pPr>
            <w:r>
              <w:rPr>
                <w:sz w:val="20"/>
                <w:szCs w:val="20"/>
              </w:rPr>
              <w:t> </w:t>
            </w:r>
          </w:p>
        </w:tc>
      </w:tr>
      <w:tr w:rsidR="00000000" w14:paraId="06BF3D26" w14:textId="77777777">
        <w:trPr>
          <w:divId w:val="911279972"/>
          <w:trHeight w:val="180"/>
          <w:tblCellSpacing w:w="0" w:type="dxa"/>
        </w:trPr>
        <w:tc>
          <w:tcPr>
            <w:tcW w:w="0" w:type="auto"/>
            <w:shd w:val="clear" w:color="auto" w:fill="FFFFFF"/>
            <w:hideMark/>
          </w:tcPr>
          <w:p w14:paraId="25B10FAC" w14:textId="77777777" w:rsidR="00000000" w:rsidRDefault="007E65A2">
            <w:pPr>
              <w:pStyle w:val="a3"/>
              <w:spacing w:before="0" w:beforeAutospacing="0" w:after="0" w:afterAutospacing="0"/>
              <w:ind w:left="225"/>
              <w:jc w:val="both"/>
              <w:rPr>
                <w:sz w:val="20"/>
                <w:szCs w:val="20"/>
              </w:rPr>
            </w:pPr>
            <w:hyperlink w:anchor="ITEM_11._EXECUTIVE_COMPENSATION" w:history="1">
              <w:r>
                <w:rPr>
                  <w:rStyle w:val="a4"/>
                  <w:sz w:val="20"/>
                  <w:szCs w:val="20"/>
                </w:rPr>
                <w:t xml:space="preserve">ITEM </w:t>
              </w:r>
              <w:r>
                <w:rPr>
                  <w:rStyle w:val="a4"/>
                  <w:sz w:val="20"/>
                  <w:szCs w:val="20"/>
                </w:rPr>
                <w:t>11.</w:t>
              </w:r>
            </w:hyperlink>
          </w:p>
        </w:tc>
        <w:tc>
          <w:tcPr>
            <w:tcW w:w="0" w:type="auto"/>
            <w:shd w:val="clear" w:color="auto" w:fill="FFFFFF"/>
            <w:hideMark/>
          </w:tcPr>
          <w:p w14:paraId="14B30C5C" w14:textId="77777777" w:rsidR="00000000" w:rsidRDefault="007E65A2">
            <w:pPr>
              <w:pStyle w:val="a3"/>
              <w:spacing w:before="0" w:beforeAutospacing="0" w:after="0" w:afterAutospacing="0"/>
              <w:jc w:val="both"/>
              <w:rPr>
                <w:sz w:val="20"/>
                <w:szCs w:val="20"/>
              </w:rPr>
            </w:pPr>
            <w:hyperlink w:anchor="ITEM_11._EXECUTIVE_COMPENSATION" w:history="1">
              <w:r>
                <w:rPr>
                  <w:rStyle w:val="a4"/>
                  <w:sz w:val="20"/>
                  <w:szCs w:val="20"/>
                </w:rPr>
                <w:t>EXECUTIVE COMPENSATION</w:t>
              </w:r>
            </w:hyperlink>
          </w:p>
        </w:tc>
        <w:tc>
          <w:tcPr>
            <w:tcW w:w="0" w:type="auto"/>
            <w:shd w:val="clear" w:color="auto" w:fill="FFFFFF"/>
            <w:vAlign w:val="center"/>
            <w:hideMark/>
          </w:tcPr>
          <w:p w14:paraId="33EDD4D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460B8836" w14:textId="77777777" w:rsidR="00000000" w:rsidRDefault="007E65A2">
            <w:pPr>
              <w:pStyle w:val="a3"/>
              <w:spacing w:before="0" w:beforeAutospacing="0" w:after="0" w:afterAutospacing="0"/>
              <w:jc w:val="right"/>
              <w:rPr>
                <w:sz w:val="20"/>
                <w:szCs w:val="20"/>
              </w:rPr>
            </w:pPr>
            <w:r>
              <w:rPr>
                <w:sz w:val="20"/>
                <w:szCs w:val="20"/>
              </w:rPr>
              <w:t> 18</w:t>
            </w:r>
          </w:p>
        </w:tc>
        <w:tc>
          <w:tcPr>
            <w:tcW w:w="0" w:type="auto"/>
            <w:shd w:val="clear" w:color="auto" w:fill="FFFFFF"/>
            <w:vAlign w:val="center"/>
            <w:hideMark/>
          </w:tcPr>
          <w:p w14:paraId="4375515D" w14:textId="77777777" w:rsidR="00000000" w:rsidRDefault="007E65A2">
            <w:pPr>
              <w:pStyle w:val="a3"/>
              <w:spacing w:before="0" w:beforeAutospacing="0" w:after="0" w:afterAutospacing="0"/>
              <w:jc w:val="both"/>
              <w:rPr>
                <w:sz w:val="20"/>
                <w:szCs w:val="20"/>
              </w:rPr>
            </w:pPr>
            <w:r>
              <w:rPr>
                <w:sz w:val="20"/>
                <w:szCs w:val="20"/>
              </w:rPr>
              <w:t> </w:t>
            </w:r>
          </w:p>
        </w:tc>
      </w:tr>
      <w:tr w:rsidR="00000000" w14:paraId="66146B1F" w14:textId="77777777">
        <w:trPr>
          <w:divId w:val="911279972"/>
          <w:trHeight w:val="180"/>
          <w:tblCellSpacing w:w="0" w:type="dxa"/>
        </w:trPr>
        <w:tc>
          <w:tcPr>
            <w:tcW w:w="0" w:type="auto"/>
            <w:shd w:val="clear" w:color="auto" w:fill="CCEEFF"/>
            <w:hideMark/>
          </w:tcPr>
          <w:p w14:paraId="71997E8B" w14:textId="77777777" w:rsidR="00000000" w:rsidRDefault="007E65A2">
            <w:pPr>
              <w:pStyle w:val="a3"/>
              <w:spacing w:before="0" w:beforeAutospacing="0" w:after="0" w:afterAutospacing="0"/>
              <w:ind w:left="225"/>
              <w:jc w:val="both"/>
              <w:rPr>
                <w:sz w:val="20"/>
                <w:szCs w:val="20"/>
              </w:rPr>
            </w:pPr>
            <w:hyperlink w:anchor="Item12" w:history="1">
              <w:r>
                <w:rPr>
                  <w:rStyle w:val="a4"/>
                  <w:sz w:val="20"/>
                  <w:szCs w:val="20"/>
                </w:rPr>
                <w:t>ITEM 12.</w:t>
              </w:r>
            </w:hyperlink>
          </w:p>
        </w:tc>
        <w:tc>
          <w:tcPr>
            <w:tcW w:w="0" w:type="auto"/>
            <w:shd w:val="clear" w:color="auto" w:fill="CCEEFF"/>
            <w:hideMark/>
          </w:tcPr>
          <w:p w14:paraId="28988CFD" w14:textId="77777777" w:rsidR="00000000" w:rsidRDefault="007E65A2">
            <w:pPr>
              <w:pStyle w:val="a3"/>
              <w:spacing w:before="0" w:beforeAutospacing="0" w:after="0" w:afterAutospacing="0"/>
              <w:jc w:val="both"/>
              <w:rPr>
                <w:sz w:val="20"/>
                <w:szCs w:val="20"/>
              </w:rPr>
            </w:pPr>
            <w:hyperlink w:anchor="Item12" w:history="1">
              <w:r>
                <w:rPr>
                  <w:rStyle w:val="a4"/>
                  <w:sz w:val="20"/>
                  <w:szCs w:val="20"/>
                </w:rPr>
                <w:t>SECURITY OWNERSHIP OF CERTAIN BENEFICIAL OWNERS AND MANAGEMENT AND RELATED STOCKHOLDER MATTERS</w:t>
              </w:r>
            </w:hyperlink>
          </w:p>
        </w:tc>
        <w:tc>
          <w:tcPr>
            <w:tcW w:w="0" w:type="auto"/>
            <w:shd w:val="clear" w:color="auto" w:fill="CCEEFF"/>
            <w:vAlign w:val="center"/>
            <w:hideMark/>
          </w:tcPr>
          <w:p w14:paraId="7F658E5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7613786C" w14:textId="77777777" w:rsidR="00000000" w:rsidRDefault="007E65A2">
            <w:pPr>
              <w:pStyle w:val="a3"/>
              <w:spacing w:before="0" w:beforeAutospacing="0" w:after="0" w:afterAutospacing="0"/>
              <w:jc w:val="right"/>
              <w:rPr>
                <w:sz w:val="20"/>
                <w:szCs w:val="20"/>
              </w:rPr>
            </w:pPr>
            <w:r>
              <w:rPr>
                <w:sz w:val="20"/>
                <w:szCs w:val="20"/>
              </w:rPr>
              <w:t>19</w:t>
            </w:r>
          </w:p>
        </w:tc>
        <w:tc>
          <w:tcPr>
            <w:tcW w:w="0" w:type="auto"/>
            <w:shd w:val="clear" w:color="auto" w:fill="CCEEFF"/>
            <w:vAlign w:val="center"/>
            <w:hideMark/>
          </w:tcPr>
          <w:p w14:paraId="63FFC423" w14:textId="77777777" w:rsidR="00000000" w:rsidRDefault="007E65A2">
            <w:pPr>
              <w:pStyle w:val="a3"/>
              <w:spacing w:before="0" w:beforeAutospacing="0" w:after="0" w:afterAutospacing="0"/>
              <w:jc w:val="both"/>
              <w:rPr>
                <w:sz w:val="20"/>
                <w:szCs w:val="20"/>
              </w:rPr>
            </w:pPr>
            <w:r>
              <w:rPr>
                <w:sz w:val="20"/>
                <w:szCs w:val="20"/>
              </w:rPr>
              <w:t> </w:t>
            </w:r>
          </w:p>
        </w:tc>
      </w:tr>
      <w:tr w:rsidR="00000000" w14:paraId="38DA2122" w14:textId="77777777">
        <w:trPr>
          <w:divId w:val="911279972"/>
          <w:trHeight w:val="180"/>
          <w:tblCellSpacing w:w="0" w:type="dxa"/>
        </w:trPr>
        <w:tc>
          <w:tcPr>
            <w:tcW w:w="0" w:type="auto"/>
            <w:shd w:val="clear" w:color="auto" w:fill="FFFFFF"/>
            <w:hideMark/>
          </w:tcPr>
          <w:p w14:paraId="385E807E" w14:textId="77777777" w:rsidR="00000000" w:rsidRDefault="007E65A2">
            <w:pPr>
              <w:pStyle w:val="a3"/>
              <w:spacing w:before="0" w:beforeAutospacing="0" w:after="0" w:afterAutospacing="0"/>
              <w:ind w:left="225"/>
              <w:jc w:val="both"/>
              <w:rPr>
                <w:sz w:val="20"/>
                <w:szCs w:val="20"/>
              </w:rPr>
            </w:pPr>
            <w:hyperlink w:anchor="Item13" w:history="1">
              <w:r>
                <w:rPr>
                  <w:rStyle w:val="a4"/>
                  <w:sz w:val="20"/>
                  <w:szCs w:val="20"/>
                </w:rPr>
                <w:t>ITEM 13.</w:t>
              </w:r>
            </w:hyperlink>
          </w:p>
        </w:tc>
        <w:tc>
          <w:tcPr>
            <w:tcW w:w="0" w:type="auto"/>
            <w:shd w:val="clear" w:color="auto" w:fill="FFFFFF"/>
            <w:hideMark/>
          </w:tcPr>
          <w:p w14:paraId="1C7441C2" w14:textId="77777777" w:rsidR="00000000" w:rsidRDefault="007E65A2">
            <w:pPr>
              <w:pStyle w:val="a3"/>
              <w:spacing w:before="0" w:beforeAutospacing="0" w:after="0" w:afterAutospacing="0"/>
              <w:jc w:val="both"/>
              <w:rPr>
                <w:sz w:val="20"/>
                <w:szCs w:val="20"/>
              </w:rPr>
            </w:pPr>
            <w:hyperlink w:anchor="Item13" w:history="1">
              <w:r>
                <w:rPr>
                  <w:rStyle w:val="a4"/>
                  <w:sz w:val="20"/>
                  <w:szCs w:val="20"/>
                </w:rPr>
                <w:t>CERTAIN RELATIONSHIPS AND RELATED TRANSACTIONS, AND DIRECTOR INDEPENDENCE</w:t>
              </w:r>
            </w:hyperlink>
          </w:p>
        </w:tc>
        <w:tc>
          <w:tcPr>
            <w:tcW w:w="0" w:type="auto"/>
            <w:shd w:val="clear" w:color="auto" w:fill="FFFFFF"/>
            <w:vAlign w:val="center"/>
            <w:hideMark/>
          </w:tcPr>
          <w:p w14:paraId="330B7D1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5ACB2F2D" w14:textId="77777777" w:rsidR="00000000" w:rsidRDefault="007E65A2">
            <w:pPr>
              <w:pStyle w:val="a3"/>
              <w:spacing w:before="0" w:beforeAutospacing="0" w:after="0" w:afterAutospacing="0"/>
              <w:jc w:val="right"/>
              <w:rPr>
                <w:sz w:val="20"/>
                <w:szCs w:val="20"/>
              </w:rPr>
            </w:pPr>
            <w:r>
              <w:rPr>
                <w:sz w:val="20"/>
                <w:szCs w:val="20"/>
              </w:rPr>
              <w:t>19</w:t>
            </w:r>
          </w:p>
        </w:tc>
        <w:tc>
          <w:tcPr>
            <w:tcW w:w="0" w:type="auto"/>
            <w:shd w:val="clear" w:color="auto" w:fill="FFFFFF"/>
            <w:vAlign w:val="center"/>
            <w:hideMark/>
          </w:tcPr>
          <w:p w14:paraId="3FDDBE4B" w14:textId="77777777" w:rsidR="00000000" w:rsidRDefault="007E65A2">
            <w:pPr>
              <w:pStyle w:val="a3"/>
              <w:spacing w:before="0" w:beforeAutospacing="0" w:after="0" w:afterAutospacing="0"/>
              <w:jc w:val="both"/>
              <w:rPr>
                <w:sz w:val="20"/>
                <w:szCs w:val="20"/>
              </w:rPr>
            </w:pPr>
            <w:r>
              <w:rPr>
                <w:sz w:val="20"/>
                <w:szCs w:val="20"/>
              </w:rPr>
              <w:t> </w:t>
            </w:r>
          </w:p>
        </w:tc>
      </w:tr>
      <w:tr w:rsidR="00000000" w14:paraId="0B9047BD" w14:textId="77777777">
        <w:trPr>
          <w:divId w:val="911279972"/>
          <w:trHeight w:val="180"/>
          <w:tblCellSpacing w:w="0" w:type="dxa"/>
        </w:trPr>
        <w:tc>
          <w:tcPr>
            <w:tcW w:w="0" w:type="auto"/>
            <w:shd w:val="clear" w:color="auto" w:fill="CCEEFF"/>
            <w:hideMark/>
          </w:tcPr>
          <w:p w14:paraId="2335DFAF" w14:textId="77777777" w:rsidR="00000000" w:rsidRDefault="007E65A2">
            <w:pPr>
              <w:pStyle w:val="a3"/>
              <w:spacing w:before="0" w:beforeAutospacing="0" w:after="0" w:afterAutospacing="0"/>
              <w:ind w:left="225"/>
              <w:jc w:val="both"/>
              <w:rPr>
                <w:sz w:val="20"/>
                <w:szCs w:val="20"/>
              </w:rPr>
            </w:pPr>
            <w:hyperlink w:anchor="Item14" w:history="1">
              <w:r>
                <w:rPr>
                  <w:rStyle w:val="a4"/>
                  <w:sz w:val="20"/>
                  <w:szCs w:val="20"/>
                </w:rPr>
                <w:t>ITEM 14.</w:t>
              </w:r>
            </w:hyperlink>
          </w:p>
        </w:tc>
        <w:tc>
          <w:tcPr>
            <w:tcW w:w="0" w:type="auto"/>
            <w:shd w:val="clear" w:color="auto" w:fill="CCEEFF"/>
            <w:hideMark/>
          </w:tcPr>
          <w:p w14:paraId="64D2F73E" w14:textId="77777777" w:rsidR="00000000" w:rsidRDefault="007E65A2">
            <w:pPr>
              <w:pStyle w:val="a3"/>
              <w:spacing w:before="0" w:beforeAutospacing="0" w:after="0" w:afterAutospacing="0"/>
              <w:jc w:val="both"/>
              <w:rPr>
                <w:sz w:val="20"/>
                <w:szCs w:val="20"/>
              </w:rPr>
            </w:pPr>
            <w:hyperlink w:anchor="Item14" w:history="1">
              <w:r>
                <w:rPr>
                  <w:rStyle w:val="a4"/>
                  <w:sz w:val="20"/>
                  <w:szCs w:val="20"/>
                </w:rPr>
                <w:t>PRINCIPAL ACCOUNTING FEES AND SERVICES</w:t>
              </w:r>
            </w:hyperlink>
          </w:p>
        </w:tc>
        <w:tc>
          <w:tcPr>
            <w:tcW w:w="0" w:type="auto"/>
            <w:shd w:val="clear" w:color="auto" w:fill="CCEEFF"/>
            <w:vAlign w:val="center"/>
            <w:hideMark/>
          </w:tcPr>
          <w:p w14:paraId="0C63E7F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6FC75595" w14:textId="77777777" w:rsidR="00000000" w:rsidRDefault="007E65A2">
            <w:pPr>
              <w:pStyle w:val="a3"/>
              <w:spacing w:before="0" w:beforeAutospacing="0" w:after="0" w:afterAutospacing="0"/>
              <w:jc w:val="right"/>
              <w:rPr>
                <w:sz w:val="20"/>
                <w:szCs w:val="20"/>
              </w:rPr>
            </w:pPr>
            <w:r>
              <w:rPr>
                <w:sz w:val="20"/>
                <w:szCs w:val="20"/>
              </w:rPr>
              <w:t>20</w:t>
            </w:r>
          </w:p>
        </w:tc>
        <w:tc>
          <w:tcPr>
            <w:tcW w:w="0" w:type="auto"/>
            <w:shd w:val="clear" w:color="auto" w:fill="CCEEFF"/>
            <w:vAlign w:val="center"/>
            <w:hideMark/>
          </w:tcPr>
          <w:p w14:paraId="4D2B2752" w14:textId="77777777" w:rsidR="00000000" w:rsidRDefault="007E65A2">
            <w:pPr>
              <w:pStyle w:val="a3"/>
              <w:spacing w:before="0" w:beforeAutospacing="0" w:after="0" w:afterAutospacing="0"/>
              <w:jc w:val="both"/>
              <w:rPr>
                <w:sz w:val="20"/>
                <w:szCs w:val="20"/>
              </w:rPr>
            </w:pPr>
            <w:r>
              <w:rPr>
                <w:sz w:val="20"/>
                <w:szCs w:val="20"/>
              </w:rPr>
              <w:t> </w:t>
            </w:r>
          </w:p>
        </w:tc>
      </w:tr>
      <w:tr w:rsidR="00000000" w14:paraId="770057B3" w14:textId="77777777">
        <w:trPr>
          <w:divId w:val="911279972"/>
          <w:tblCellSpacing w:w="0" w:type="dxa"/>
        </w:trPr>
        <w:tc>
          <w:tcPr>
            <w:tcW w:w="0" w:type="auto"/>
            <w:shd w:val="clear" w:color="auto" w:fill="FFFFFF"/>
            <w:vAlign w:val="center"/>
            <w:hideMark/>
          </w:tcPr>
          <w:p w14:paraId="391CD40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00185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8B2BA1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B99E13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960F0BD" w14:textId="77777777" w:rsidR="00000000" w:rsidRDefault="007E65A2">
            <w:pPr>
              <w:pStyle w:val="a3"/>
              <w:spacing w:before="0" w:beforeAutospacing="0" w:after="0" w:afterAutospacing="0"/>
              <w:jc w:val="both"/>
              <w:rPr>
                <w:sz w:val="20"/>
                <w:szCs w:val="20"/>
              </w:rPr>
            </w:pPr>
            <w:r>
              <w:rPr>
                <w:sz w:val="20"/>
                <w:szCs w:val="20"/>
              </w:rPr>
              <w:t> </w:t>
            </w:r>
          </w:p>
        </w:tc>
      </w:tr>
      <w:tr w:rsidR="00000000" w14:paraId="49228987" w14:textId="77777777">
        <w:trPr>
          <w:divId w:val="911279972"/>
          <w:trHeight w:val="180"/>
          <w:tblCellSpacing w:w="0" w:type="dxa"/>
        </w:trPr>
        <w:tc>
          <w:tcPr>
            <w:tcW w:w="0" w:type="auto"/>
            <w:shd w:val="clear" w:color="auto" w:fill="FFFFFF"/>
            <w:hideMark/>
          </w:tcPr>
          <w:p w14:paraId="63317472" w14:textId="77777777" w:rsidR="00000000" w:rsidRDefault="007E65A2">
            <w:pPr>
              <w:pStyle w:val="a3"/>
              <w:spacing w:before="0" w:beforeAutospacing="0" w:after="0" w:afterAutospacing="0"/>
              <w:jc w:val="both"/>
              <w:rPr>
                <w:sz w:val="20"/>
                <w:szCs w:val="20"/>
              </w:rPr>
            </w:pPr>
            <w:hyperlink w:anchor="PART_IV" w:history="1">
              <w:r>
                <w:rPr>
                  <w:rStyle w:val="a4"/>
                  <w:sz w:val="20"/>
                  <w:szCs w:val="20"/>
                </w:rPr>
                <w:t>PART IV</w:t>
              </w:r>
            </w:hyperlink>
          </w:p>
        </w:tc>
        <w:tc>
          <w:tcPr>
            <w:tcW w:w="0" w:type="auto"/>
            <w:shd w:val="clear" w:color="auto" w:fill="FFFFFF"/>
            <w:hideMark/>
          </w:tcPr>
          <w:p w14:paraId="7B4D348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BE4BCD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712E4F83" w14:textId="77777777" w:rsidR="00000000" w:rsidRDefault="007E65A2">
            <w:pPr>
              <w:pStyle w:val="a3"/>
              <w:spacing w:before="0" w:beforeAutospacing="0" w:after="0" w:afterAutospacing="0"/>
              <w:jc w:val="right"/>
              <w:rPr>
                <w:sz w:val="20"/>
                <w:szCs w:val="20"/>
              </w:rPr>
            </w:pPr>
            <w:r>
              <w:rPr>
                <w:sz w:val="20"/>
                <w:szCs w:val="20"/>
              </w:rPr>
              <w:t>21</w:t>
            </w:r>
          </w:p>
        </w:tc>
        <w:tc>
          <w:tcPr>
            <w:tcW w:w="0" w:type="auto"/>
            <w:shd w:val="clear" w:color="auto" w:fill="FFFFFF"/>
            <w:vAlign w:val="center"/>
            <w:hideMark/>
          </w:tcPr>
          <w:p w14:paraId="18AD3DA4" w14:textId="77777777" w:rsidR="00000000" w:rsidRDefault="007E65A2">
            <w:pPr>
              <w:pStyle w:val="a3"/>
              <w:spacing w:before="0" w:beforeAutospacing="0" w:after="0" w:afterAutospacing="0"/>
              <w:jc w:val="both"/>
              <w:rPr>
                <w:sz w:val="20"/>
                <w:szCs w:val="20"/>
              </w:rPr>
            </w:pPr>
            <w:r>
              <w:rPr>
                <w:sz w:val="20"/>
                <w:szCs w:val="20"/>
              </w:rPr>
              <w:t> </w:t>
            </w:r>
          </w:p>
        </w:tc>
      </w:tr>
      <w:tr w:rsidR="00000000" w14:paraId="22108E21" w14:textId="77777777">
        <w:trPr>
          <w:divId w:val="911279972"/>
          <w:trHeight w:val="180"/>
          <w:tblCellSpacing w:w="0" w:type="dxa"/>
        </w:trPr>
        <w:tc>
          <w:tcPr>
            <w:tcW w:w="0" w:type="auto"/>
            <w:shd w:val="clear" w:color="auto" w:fill="CCEEFF"/>
            <w:hideMark/>
          </w:tcPr>
          <w:p w14:paraId="4D02EEC9" w14:textId="77777777" w:rsidR="00000000" w:rsidRDefault="007E65A2">
            <w:pPr>
              <w:pStyle w:val="a3"/>
              <w:spacing w:before="0" w:beforeAutospacing="0" w:after="0" w:afterAutospacing="0"/>
              <w:ind w:left="225"/>
              <w:jc w:val="both"/>
              <w:rPr>
                <w:sz w:val="20"/>
                <w:szCs w:val="20"/>
              </w:rPr>
            </w:pPr>
            <w:hyperlink w:anchor="ITEM_15._EXHIBITS,_FINANCIAL_STATEMENT_" w:history="1">
              <w:r>
                <w:rPr>
                  <w:rStyle w:val="a4"/>
                  <w:sz w:val="20"/>
                  <w:szCs w:val="20"/>
                </w:rPr>
                <w:t>ITEM 15.</w:t>
              </w:r>
            </w:hyperlink>
          </w:p>
        </w:tc>
        <w:tc>
          <w:tcPr>
            <w:tcW w:w="0" w:type="auto"/>
            <w:shd w:val="clear" w:color="auto" w:fill="CCEEFF"/>
            <w:hideMark/>
          </w:tcPr>
          <w:p w14:paraId="048F80B2" w14:textId="77777777" w:rsidR="00000000" w:rsidRDefault="007E65A2">
            <w:pPr>
              <w:pStyle w:val="a3"/>
              <w:spacing w:before="0" w:beforeAutospacing="0" w:after="0" w:afterAutospacing="0"/>
              <w:jc w:val="both"/>
              <w:rPr>
                <w:sz w:val="20"/>
                <w:szCs w:val="20"/>
              </w:rPr>
            </w:pPr>
            <w:hyperlink w:anchor="ITEM_15._EXHIBITS,_FINANCIAL_STATEMENT_" w:history="1">
              <w:r>
                <w:rPr>
                  <w:rStyle w:val="a4"/>
                  <w:sz w:val="20"/>
                  <w:szCs w:val="20"/>
                </w:rPr>
                <w:t>EXHIBITS, FINANCIAL STATEMENT SCHEDULES</w:t>
              </w:r>
            </w:hyperlink>
          </w:p>
        </w:tc>
        <w:tc>
          <w:tcPr>
            <w:tcW w:w="0" w:type="auto"/>
            <w:shd w:val="clear" w:color="auto" w:fill="CCEEFF"/>
            <w:vAlign w:val="center"/>
            <w:hideMark/>
          </w:tcPr>
          <w:p w14:paraId="1048E0D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56E57596" w14:textId="77777777" w:rsidR="00000000" w:rsidRDefault="007E65A2">
            <w:pPr>
              <w:pStyle w:val="a3"/>
              <w:spacing w:before="0" w:beforeAutospacing="0" w:after="0" w:afterAutospacing="0"/>
              <w:jc w:val="right"/>
              <w:rPr>
                <w:sz w:val="20"/>
                <w:szCs w:val="20"/>
              </w:rPr>
            </w:pPr>
            <w:r>
              <w:rPr>
                <w:sz w:val="20"/>
                <w:szCs w:val="20"/>
              </w:rPr>
              <w:t>21</w:t>
            </w:r>
          </w:p>
        </w:tc>
        <w:tc>
          <w:tcPr>
            <w:tcW w:w="0" w:type="auto"/>
            <w:shd w:val="clear" w:color="auto" w:fill="CCEEFF"/>
            <w:vAlign w:val="center"/>
            <w:hideMark/>
          </w:tcPr>
          <w:p w14:paraId="3BDCD628" w14:textId="77777777" w:rsidR="00000000" w:rsidRDefault="007E65A2">
            <w:pPr>
              <w:pStyle w:val="a3"/>
              <w:spacing w:before="0" w:beforeAutospacing="0" w:after="0" w:afterAutospacing="0"/>
              <w:jc w:val="both"/>
              <w:rPr>
                <w:sz w:val="20"/>
                <w:szCs w:val="20"/>
              </w:rPr>
            </w:pPr>
            <w:r>
              <w:rPr>
                <w:sz w:val="20"/>
                <w:szCs w:val="20"/>
              </w:rPr>
              <w:t> </w:t>
            </w:r>
          </w:p>
        </w:tc>
      </w:tr>
      <w:tr w:rsidR="00000000" w14:paraId="5BA4F07F" w14:textId="77777777">
        <w:trPr>
          <w:divId w:val="911279972"/>
          <w:trHeight w:val="180"/>
          <w:tblCellSpacing w:w="0" w:type="dxa"/>
        </w:trPr>
        <w:tc>
          <w:tcPr>
            <w:tcW w:w="0" w:type="auto"/>
            <w:shd w:val="clear" w:color="auto" w:fill="FFFFFF"/>
            <w:hideMark/>
          </w:tcPr>
          <w:p w14:paraId="70295A68" w14:textId="77777777" w:rsidR="00000000" w:rsidRDefault="007E65A2">
            <w:pPr>
              <w:pStyle w:val="a3"/>
              <w:spacing w:before="0" w:beforeAutospacing="0" w:after="0" w:afterAutospacing="0"/>
              <w:ind w:left="225"/>
              <w:jc w:val="both"/>
              <w:rPr>
                <w:sz w:val="20"/>
                <w:szCs w:val="20"/>
              </w:rPr>
            </w:pPr>
            <w:hyperlink w:anchor="ITEM_16._FORM_10-K_SUMMARY" w:history="1">
              <w:r>
                <w:rPr>
                  <w:rStyle w:val="a4"/>
                  <w:sz w:val="20"/>
                  <w:szCs w:val="20"/>
                </w:rPr>
                <w:t>ITEM 16.</w:t>
              </w:r>
            </w:hyperlink>
          </w:p>
        </w:tc>
        <w:tc>
          <w:tcPr>
            <w:tcW w:w="0" w:type="auto"/>
            <w:shd w:val="clear" w:color="auto" w:fill="FFFFFF"/>
            <w:hideMark/>
          </w:tcPr>
          <w:p w14:paraId="7D7E407D" w14:textId="77777777" w:rsidR="00000000" w:rsidRDefault="007E65A2">
            <w:pPr>
              <w:pStyle w:val="a3"/>
              <w:spacing w:before="0" w:beforeAutospacing="0" w:after="0" w:afterAutospacing="0"/>
              <w:jc w:val="both"/>
              <w:rPr>
                <w:sz w:val="20"/>
                <w:szCs w:val="20"/>
              </w:rPr>
            </w:pPr>
            <w:hyperlink w:anchor="ITEM_16._FORM_10-K_SUMMARY" w:history="1">
              <w:r>
                <w:rPr>
                  <w:rStyle w:val="a4"/>
                  <w:sz w:val="20"/>
                  <w:szCs w:val="20"/>
                </w:rPr>
                <w:t>FORM 10-K SUMMARY</w:t>
              </w:r>
            </w:hyperlink>
          </w:p>
        </w:tc>
        <w:tc>
          <w:tcPr>
            <w:tcW w:w="0" w:type="auto"/>
            <w:shd w:val="clear" w:color="auto" w:fill="FFFFFF"/>
            <w:vAlign w:val="center"/>
            <w:hideMark/>
          </w:tcPr>
          <w:p w14:paraId="6F7CED3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26A5A09D" w14:textId="77777777" w:rsidR="00000000" w:rsidRDefault="007E65A2">
            <w:pPr>
              <w:pStyle w:val="a3"/>
              <w:spacing w:before="0" w:beforeAutospacing="0" w:after="0" w:afterAutospacing="0"/>
              <w:jc w:val="right"/>
              <w:rPr>
                <w:sz w:val="20"/>
                <w:szCs w:val="20"/>
              </w:rPr>
            </w:pPr>
            <w:r>
              <w:rPr>
                <w:sz w:val="20"/>
                <w:szCs w:val="20"/>
              </w:rPr>
              <w:t>21</w:t>
            </w:r>
          </w:p>
        </w:tc>
        <w:tc>
          <w:tcPr>
            <w:tcW w:w="0" w:type="auto"/>
            <w:shd w:val="clear" w:color="auto" w:fill="FFFFFF"/>
            <w:vAlign w:val="center"/>
            <w:hideMark/>
          </w:tcPr>
          <w:p w14:paraId="3B0F7915" w14:textId="77777777" w:rsidR="00000000" w:rsidRDefault="007E65A2">
            <w:pPr>
              <w:pStyle w:val="a3"/>
              <w:spacing w:before="0" w:beforeAutospacing="0" w:after="0" w:afterAutospacing="0"/>
              <w:jc w:val="both"/>
              <w:rPr>
                <w:sz w:val="20"/>
                <w:szCs w:val="20"/>
              </w:rPr>
            </w:pPr>
            <w:r>
              <w:rPr>
                <w:sz w:val="20"/>
                <w:szCs w:val="20"/>
              </w:rPr>
              <w:t> </w:t>
            </w:r>
          </w:p>
        </w:tc>
      </w:tr>
      <w:tr w:rsidR="00000000" w14:paraId="7D016E00" w14:textId="77777777">
        <w:trPr>
          <w:divId w:val="911279972"/>
          <w:trHeight w:val="180"/>
          <w:tblCellSpacing w:w="0" w:type="dxa"/>
        </w:trPr>
        <w:tc>
          <w:tcPr>
            <w:tcW w:w="0" w:type="auto"/>
            <w:gridSpan w:val="2"/>
            <w:shd w:val="clear" w:color="auto" w:fill="CCEEFF"/>
            <w:hideMark/>
          </w:tcPr>
          <w:p w14:paraId="61AB181E" w14:textId="77777777" w:rsidR="00000000" w:rsidRDefault="007E65A2">
            <w:pPr>
              <w:pStyle w:val="a3"/>
              <w:spacing w:before="0" w:beforeAutospacing="0" w:after="0" w:afterAutospacing="0"/>
              <w:jc w:val="both"/>
              <w:rPr>
                <w:sz w:val="20"/>
                <w:szCs w:val="20"/>
              </w:rPr>
            </w:pPr>
            <w:hyperlink w:anchor="SIGNATURES" w:history="1">
              <w:r>
                <w:rPr>
                  <w:rStyle w:val="a4"/>
                  <w:sz w:val="20"/>
                  <w:szCs w:val="20"/>
                </w:rPr>
                <w:t>SIGNATURES</w:t>
              </w:r>
            </w:hyperlink>
          </w:p>
        </w:tc>
        <w:tc>
          <w:tcPr>
            <w:tcW w:w="0" w:type="auto"/>
            <w:shd w:val="clear" w:color="auto" w:fill="CCEEFF"/>
            <w:vAlign w:val="center"/>
            <w:hideMark/>
          </w:tcPr>
          <w:p w14:paraId="7BC92AE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6F7F2732" w14:textId="77777777" w:rsidR="00000000" w:rsidRDefault="007E65A2">
            <w:pPr>
              <w:pStyle w:val="a3"/>
              <w:spacing w:before="0" w:beforeAutospacing="0" w:after="0" w:afterAutospacing="0"/>
              <w:jc w:val="right"/>
              <w:rPr>
                <w:sz w:val="20"/>
                <w:szCs w:val="20"/>
              </w:rPr>
            </w:pPr>
            <w:r>
              <w:rPr>
                <w:sz w:val="20"/>
                <w:szCs w:val="20"/>
              </w:rPr>
              <w:t>22</w:t>
            </w:r>
          </w:p>
        </w:tc>
        <w:tc>
          <w:tcPr>
            <w:tcW w:w="0" w:type="auto"/>
            <w:shd w:val="clear" w:color="auto" w:fill="CCEEFF"/>
            <w:vAlign w:val="center"/>
            <w:hideMark/>
          </w:tcPr>
          <w:p w14:paraId="7C0F962E" w14:textId="77777777" w:rsidR="00000000" w:rsidRDefault="007E65A2">
            <w:pPr>
              <w:pStyle w:val="a3"/>
              <w:spacing w:before="0" w:beforeAutospacing="0" w:after="0" w:afterAutospacing="0"/>
              <w:jc w:val="both"/>
              <w:rPr>
                <w:sz w:val="20"/>
                <w:szCs w:val="20"/>
              </w:rPr>
            </w:pPr>
            <w:r>
              <w:rPr>
                <w:sz w:val="20"/>
                <w:szCs w:val="20"/>
              </w:rPr>
              <w:t> </w:t>
            </w:r>
          </w:p>
        </w:tc>
      </w:tr>
    </w:tbl>
    <w:p w14:paraId="3AE5E99D"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1C0A1F1" w14:textId="77777777">
        <w:trPr>
          <w:divId w:val="911279972"/>
          <w:tblCellSpacing w:w="0" w:type="dxa"/>
        </w:trPr>
        <w:tc>
          <w:tcPr>
            <w:tcW w:w="0" w:type="auto"/>
            <w:vAlign w:val="center"/>
            <w:hideMark/>
          </w:tcPr>
          <w:p w14:paraId="2140105E" w14:textId="77777777" w:rsidR="00000000" w:rsidRDefault="007E65A2">
            <w:pPr>
              <w:rPr>
                <w:rFonts w:eastAsia="Times New Roman"/>
                <w:sz w:val="20"/>
                <w:szCs w:val="20"/>
              </w:rPr>
            </w:pPr>
            <w:r>
              <w:rPr>
                <w:rFonts w:eastAsia="Times New Roman"/>
                <w:sz w:val="20"/>
                <w:szCs w:val="20"/>
              </w:rPr>
              <w:t> </w:t>
            </w:r>
          </w:p>
        </w:tc>
      </w:tr>
      <w:tr w:rsidR="00000000" w14:paraId="2660355D" w14:textId="77777777">
        <w:trPr>
          <w:divId w:val="911279972"/>
          <w:tblCellSpacing w:w="0" w:type="dxa"/>
        </w:trPr>
        <w:tc>
          <w:tcPr>
            <w:tcW w:w="0" w:type="auto"/>
            <w:tcBorders>
              <w:bottom w:val="single" w:sz="6" w:space="0" w:color="000000"/>
            </w:tcBorders>
            <w:vAlign w:val="center"/>
            <w:hideMark/>
          </w:tcPr>
          <w:p w14:paraId="46117271" w14:textId="77777777" w:rsidR="00000000" w:rsidRDefault="007E65A2">
            <w:pPr>
              <w:jc w:val="center"/>
              <w:rPr>
                <w:rFonts w:eastAsia="Times New Roman"/>
                <w:sz w:val="20"/>
                <w:szCs w:val="20"/>
              </w:rPr>
            </w:pPr>
            <w:r>
              <w:rPr>
                <w:rFonts w:eastAsia="Times New Roman"/>
                <w:sz w:val="20"/>
                <w:szCs w:val="20"/>
              </w:rPr>
              <w:t>2</w:t>
            </w:r>
          </w:p>
        </w:tc>
      </w:tr>
      <w:tr w:rsidR="00000000" w14:paraId="201E7C49" w14:textId="77777777">
        <w:trPr>
          <w:divId w:val="911279972"/>
          <w:tblCellSpacing w:w="0" w:type="dxa"/>
        </w:trPr>
        <w:tc>
          <w:tcPr>
            <w:tcW w:w="0" w:type="auto"/>
            <w:vAlign w:val="center"/>
            <w:hideMark/>
          </w:tcPr>
          <w:p w14:paraId="53EC023B" w14:textId="77777777" w:rsidR="00000000" w:rsidRDefault="007E65A2">
            <w:pPr>
              <w:rPr>
                <w:rFonts w:eastAsia="Times New Roman"/>
                <w:sz w:val="20"/>
                <w:szCs w:val="20"/>
              </w:rPr>
            </w:pPr>
            <w:r>
              <w:rPr>
                <w:rFonts w:eastAsia="Times New Roman"/>
                <w:sz w:val="20"/>
                <w:szCs w:val="20"/>
              </w:rPr>
              <w:t> </w:t>
            </w:r>
          </w:p>
        </w:tc>
      </w:tr>
      <w:tr w:rsidR="00000000" w14:paraId="32935A04" w14:textId="77777777">
        <w:trPr>
          <w:divId w:val="911279972"/>
          <w:tblCellSpacing w:w="0" w:type="dxa"/>
        </w:trPr>
        <w:tc>
          <w:tcPr>
            <w:tcW w:w="0" w:type="auto"/>
            <w:vAlign w:val="center"/>
            <w:hideMark/>
          </w:tcPr>
          <w:p w14:paraId="4C92B0BE" w14:textId="77777777" w:rsidR="00000000" w:rsidRDefault="007E65A2">
            <w:pPr>
              <w:rPr>
                <w:rFonts w:eastAsia="Times New Roman"/>
                <w:sz w:val="20"/>
                <w:szCs w:val="20"/>
              </w:rPr>
            </w:pPr>
            <w:r>
              <w:rPr>
                <w:rFonts w:eastAsia="Times New Roman"/>
                <w:sz w:val="20"/>
                <w:szCs w:val="20"/>
              </w:rPr>
              <w:t> </w:t>
            </w:r>
          </w:p>
        </w:tc>
      </w:tr>
    </w:tbl>
    <w:p w14:paraId="59F121FE" w14:textId="77777777" w:rsidR="00000000" w:rsidRDefault="007E65A2">
      <w:pPr>
        <w:pStyle w:val="a3"/>
        <w:spacing w:before="0" w:beforeAutospacing="0" w:after="0" w:afterAutospacing="0"/>
        <w:jc w:val="both"/>
        <w:divId w:val="911279972"/>
        <w:rPr>
          <w:sz w:val="20"/>
          <w:szCs w:val="20"/>
        </w:rPr>
      </w:pPr>
      <w:r>
        <w:rPr>
          <w:sz w:val="20"/>
          <w:szCs w:val="20"/>
        </w:rPr>
        <w:t> </w:t>
      </w:r>
    </w:p>
    <w:p w14:paraId="12B2059D" w14:textId="77777777" w:rsidR="00000000" w:rsidRDefault="007E65A2">
      <w:pPr>
        <w:pStyle w:val="a3"/>
        <w:spacing w:before="0" w:beforeAutospacing="0" w:after="0" w:afterAutospacing="0"/>
        <w:jc w:val="center"/>
        <w:divId w:val="911279972"/>
        <w:rPr>
          <w:b/>
          <w:bCs/>
          <w:sz w:val="20"/>
          <w:szCs w:val="20"/>
        </w:rPr>
      </w:pPr>
      <w:r>
        <w:rPr>
          <w:b/>
          <w:bCs/>
          <w:sz w:val="20"/>
          <w:szCs w:val="20"/>
        </w:rPr>
        <w:t>FORWARD-LOOKING STATEMENTS</w:t>
      </w:r>
    </w:p>
    <w:p w14:paraId="528E0092" w14:textId="77777777" w:rsidR="00000000" w:rsidRDefault="007E65A2">
      <w:pPr>
        <w:pStyle w:val="a3"/>
        <w:spacing w:before="0" w:beforeAutospacing="0" w:after="0" w:afterAutospacing="0"/>
        <w:jc w:val="both"/>
        <w:divId w:val="911279972"/>
        <w:rPr>
          <w:sz w:val="20"/>
          <w:szCs w:val="20"/>
        </w:rPr>
      </w:pPr>
      <w:r>
        <w:rPr>
          <w:sz w:val="20"/>
          <w:szCs w:val="20"/>
        </w:rPr>
        <w:t> </w:t>
      </w:r>
    </w:p>
    <w:p w14:paraId="2CB8C525" w14:textId="77777777" w:rsidR="00000000" w:rsidRDefault="007E65A2">
      <w:pPr>
        <w:pStyle w:val="a3"/>
        <w:spacing w:before="0" w:beforeAutospacing="0" w:after="0" w:afterAutospacing="0"/>
        <w:jc w:val="both"/>
        <w:divId w:val="911279972"/>
        <w:rPr>
          <w:sz w:val="20"/>
          <w:szCs w:val="20"/>
        </w:rPr>
      </w:pPr>
      <w:r>
        <w:rPr>
          <w:sz w:val="20"/>
          <w:szCs w:val="20"/>
        </w:rPr>
        <w:t>This annual report contains forward-looking statements. These statements relate to future events or our future financial performance. In some cases, you can identify forward-looking statements by terminology such as “may”, “should”, “expects”, “plans”, “an</w:t>
      </w:r>
      <w:r>
        <w:rPr>
          <w:sz w:val="20"/>
          <w:szCs w:val="20"/>
        </w:rPr>
        <w:t>ticipates”, “believes”, “estimates”, “predicts”, “potential” or “continue” or the negative of these terms or other comparable terminology. These statements are only predictions and involve known and unknown risks, uncertainties and other factors that may c</w:t>
      </w:r>
      <w:r>
        <w:rPr>
          <w:sz w:val="20"/>
          <w:szCs w:val="20"/>
        </w:rPr>
        <w:t>ause our or our industry’s actual results, levels of activity, performance or achievements to be materially different from any future results, levels of activity, performance or achievements expressed or implied by these forward-looking statements. Althoug</w:t>
      </w:r>
      <w:r>
        <w:rPr>
          <w:sz w:val="20"/>
          <w:szCs w:val="20"/>
        </w:rPr>
        <w:t>h we believe that the expectations reflected in the forward-looking statements are reasonable, we cannot guarantee future results, levels of activity, performance or achievements. Except as required by applicable law, including the securities laws of the U</w:t>
      </w:r>
      <w:r>
        <w:rPr>
          <w:sz w:val="20"/>
          <w:szCs w:val="20"/>
        </w:rPr>
        <w:t>nited States, we do not intend to update any of the forward-looking statements to conform these statements to actual results.</w:t>
      </w:r>
    </w:p>
    <w:p w14:paraId="476FE9B1" w14:textId="77777777" w:rsidR="00000000" w:rsidRDefault="007E65A2">
      <w:pPr>
        <w:pStyle w:val="a3"/>
        <w:spacing w:before="0" w:beforeAutospacing="0" w:after="0" w:afterAutospacing="0"/>
        <w:jc w:val="both"/>
        <w:divId w:val="911279972"/>
        <w:rPr>
          <w:sz w:val="20"/>
          <w:szCs w:val="20"/>
        </w:rPr>
      </w:pPr>
      <w:r>
        <w:rPr>
          <w:sz w:val="20"/>
          <w:szCs w:val="20"/>
        </w:rPr>
        <w:t> </w:t>
      </w:r>
    </w:p>
    <w:p w14:paraId="2B650F8E" w14:textId="77777777" w:rsidR="00000000" w:rsidRDefault="007E65A2">
      <w:pPr>
        <w:pStyle w:val="a3"/>
        <w:spacing w:before="0" w:beforeAutospacing="0" w:after="0" w:afterAutospacing="0"/>
        <w:jc w:val="both"/>
        <w:divId w:val="911279972"/>
        <w:rPr>
          <w:sz w:val="20"/>
          <w:szCs w:val="20"/>
        </w:rPr>
      </w:pPr>
      <w:r>
        <w:rPr>
          <w:sz w:val="20"/>
          <w:szCs w:val="20"/>
        </w:rPr>
        <w:t>Our consolidated unaudited financial statements are stated in United States Dollars (US$) and are prepared in accordance with Un</w:t>
      </w:r>
      <w:r>
        <w:rPr>
          <w:sz w:val="20"/>
          <w:szCs w:val="20"/>
        </w:rPr>
        <w:t xml:space="preserve">ited States Generally Accepted Accounting Principles. The following discussion should be read in conjunction with our financial statements and the related notes that appear elsewhere in this annual report. The following discussion contains forward-looking </w:t>
      </w:r>
      <w:r>
        <w:rPr>
          <w:sz w:val="20"/>
          <w:szCs w:val="20"/>
        </w:rPr>
        <w:t>statements that reflect our plans, estimates and beliefs. Our actual results could differ materially from those discussed in the forward-looking statements. Factors that could cause or contribute to such differences include, but are not limited to, those d</w:t>
      </w:r>
      <w:r>
        <w:rPr>
          <w:sz w:val="20"/>
          <w:szCs w:val="20"/>
        </w:rPr>
        <w:t>iscussed below and elsewhere in this annual report.</w:t>
      </w:r>
    </w:p>
    <w:p w14:paraId="5F1295C6" w14:textId="77777777" w:rsidR="00000000" w:rsidRDefault="007E65A2">
      <w:pPr>
        <w:pStyle w:val="a3"/>
        <w:spacing w:before="0" w:beforeAutospacing="0" w:after="0" w:afterAutospacing="0"/>
        <w:jc w:val="both"/>
        <w:divId w:val="911279972"/>
        <w:rPr>
          <w:sz w:val="20"/>
          <w:szCs w:val="20"/>
        </w:rPr>
      </w:pPr>
      <w:r>
        <w:rPr>
          <w:sz w:val="20"/>
          <w:szCs w:val="20"/>
        </w:rPr>
        <w:t> </w:t>
      </w:r>
    </w:p>
    <w:p w14:paraId="6708A8F1" w14:textId="77777777" w:rsidR="00000000" w:rsidRDefault="007E65A2">
      <w:pPr>
        <w:pStyle w:val="a3"/>
        <w:spacing w:before="0" w:beforeAutospacing="0" w:after="0" w:afterAutospacing="0"/>
        <w:jc w:val="both"/>
        <w:divId w:val="911279972"/>
        <w:rPr>
          <w:sz w:val="20"/>
          <w:szCs w:val="20"/>
        </w:rPr>
      </w:pPr>
      <w:r>
        <w:rPr>
          <w:sz w:val="20"/>
          <w:szCs w:val="20"/>
        </w:rPr>
        <w:t>Unless otherwise specified in this annual report, all dollar amounts are expressed in United States dollars and all references to “common stock” refer to shares of our common stock.</w:t>
      </w:r>
    </w:p>
    <w:p w14:paraId="5246017D" w14:textId="77777777" w:rsidR="00000000" w:rsidRDefault="007E65A2">
      <w:pPr>
        <w:pStyle w:val="a3"/>
        <w:spacing w:before="0" w:beforeAutospacing="0" w:after="0" w:afterAutospacing="0"/>
        <w:jc w:val="both"/>
        <w:divId w:val="911279972"/>
        <w:rPr>
          <w:sz w:val="20"/>
          <w:szCs w:val="20"/>
        </w:rPr>
      </w:pPr>
      <w:r>
        <w:rPr>
          <w:sz w:val="20"/>
          <w:szCs w:val="20"/>
        </w:rPr>
        <w:t> </w:t>
      </w:r>
    </w:p>
    <w:p w14:paraId="62B3ED61" w14:textId="77777777" w:rsidR="00000000" w:rsidRDefault="007E65A2">
      <w:pPr>
        <w:pStyle w:val="a3"/>
        <w:spacing w:before="0" w:beforeAutospacing="0" w:after="0" w:afterAutospacing="0"/>
        <w:jc w:val="both"/>
        <w:divId w:val="911279972"/>
        <w:rPr>
          <w:sz w:val="20"/>
          <w:szCs w:val="20"/>
        </w:rPr>
      </w:pPr>
      <w:r>
        <w:rPr>
          <w:sz w:val="20"/>
          <w:szCs w:val="20"/>
        </w:rPr>
        <w:lastRenderedPageBreak/>
        <w:t>As used in this an</w:t>
      </w:r>
      <w:r>
        <w:rPr>
          <w:sz w:val="20"/>
          <w:szCs w:val="20"/>
        </w:rPr>
        <w:t>nual report, the terms “we”, “us”, “our” and “our company” mean Appyea, Inc., and our wholly owned subsidiaries, AppYea Holdings, Inc. and The Diagnostic Centers, Inc., unless otherwise indicated.</w:t>
      </w:r>
    </w:p>
    <w:p w14:paraId="2BA67B54" w14:textId="77777777" w:rsidR="00000000" w:rsidRDefault="007E65A2">
      <w:pPr>
        <w:pStyle w:val="a3"/>
        <w:spacing w:before="0" w:beforeAutospacing="0" w:after="0" w:afterAutospacing="0"/>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D5299AC" w14:textId="77777777">
        <w:trPr>
          <w:divId w:val="911279972"/>
          <w:tblCellSpacing w:w="0" w:type="dxa"/>
        </w:trPr>
        <w:tc>
          <w:tcPr>
            <w:tcW w:w="0" w:type="auto"/>
            <w:vAlign w:val="center"/>
            <w:hideMark/>
          </w:tcPr>
          <w:p w14:paraId="2CD61E3B" w14:textId="77777777" w:rsidR="00000000" w:rsidRDefault="007E65A2">
            <w:pPr>
              <w:rPr>
                <w:rFonts w:eastAsia="Times New Roman"/>
                <w:sz w:val="20"/>
                <w:szCs w:val="20"/>
              </w:rPr>
            </w:pPr>
            <w:r>
              <w:rPr>
                <w:rFonts w:eastAsia="Times New Roman"/>
                <w:sz w:val="20"/>
                <w:szCs w:val="20"/>
              </w:rPr>
              <w:t> </w:t>
            </w:r>
          </w:p>
        </w:tc>
      </w:tr>
      <w:tr w:rsidR="00000000" w14:paraId="69633D55" w14:textId="77777777">
        <w:trPr>
          <w:divId w:val="911279972"/>
          <w:tblCellSpacing w:w="0" w:type="dxa"/>
        </w:trPr>
        <w:tc>
          <w:tcPr>
            <w:tcW w:w="0" w:type="auto"/>
            <w:tcBorders>
              <w:bottom w:val="single" w:sz="6" w:space="0" w:color="000000"/>
            </w:tcBorders>
            <w:vAlign w:val="center"/>
            <w:hideMark/>
          </w:tcPr>
          <w:p w14:paraId="54DE25F6" w14:textId="77777777" w:rsidR="00000000" w:rsidRDefault="007E65A2">
            <w:pPr>
              <w:jc w:val="center"/>
              <w:rPr>
                <w:rFonts w:eastAsia="Times New Roman"/>
                <w:sz w:val="20"/>
                <w:szCs w:val="20"/>
              </w:rPr>
            </w:pPr>
            <w:r>
              <w:rPr>
                <w:rFonts w:eastAsia="Times New Roman"/>
                <w:sz w:val="20"/>
                <w:szCs w:val="20"/>
              </w:rPr>
              <w:t>3</w:t>
            </w:r>
          </w:p>
        </w:tc>
      </w:tr>
      <w:tr w:rsidR="00000000" w14:paraId="4B79E4A7" w14:textId="77777777">
        <w:trPr>
          <w:divId w:val="911279972"/>
          <w:tblCellSpacing w:w="0" w:type="dxa"/>
        </w:trPr>
        <w:tc>
          <w:tcPr>
            <w:tcW w:w="0" w:type="auto"/>
            <w:vAlign w:val="center"/>
            <w:hideMark/>
          </w:tcPr>
          <w:p w14:paraId="1F34E675" w14:textId="77777777" w:rsidR="00000000" w:rsidRDefault="007E65A2">
            <w:pPr>
              <w:rPr>
                <w:rFonts w:eastAsia="Times New Roman"/>
                <w:sz w:val="20"/>
                <w:szCs w:val="20"/>
              </w:rPr>
            </w:pPr>
            <w:r>
              <w:rPr>
                <w:rFonts w:eastAsia="Times New Roman"/>
                <w:sz w:val="20"/>
                <w:szCs w:val="20"/>
              </w:rPr>
              <w:t> </w:t>
            </w:r>
          </w:p>
        </w:tc>
      </w:tr>
      <w:tr w:rsidR="00000000" w14:paraId="75C2B305" w14:textId="77777777">
        <w:trPr>
          <w:divId w:val="911279972"/>
          <w:tblCellSpacing w:w="0" w:type="dxa"/>
        </w:trPr>
        <w:tc>
          <w:tcPr>
            <w:tcW w:w="0" w:type="auto"/>
            <w:vAlign w:val="center"/>
            <w:hideMark/>
          </w:tcPr>
          <w:p w14:paraId="1E45C5D1"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495ACDB0" w14:textId="77777777" w:rsidR="00000000" w:rsidRDefault="007E65A2">
      <w:pPr>
        <w:pStyle w:val="a3"/>
        <w:spacing w:before="0" w:beforeAutospacing="0" w:after="0" w:afterAutospacing="0"/>
        <w:jc w:val="both"/>
        <w:divId w:val="911279972"/>
        <w:rPr>
          <w:sz w:val="20"/>
          <w:szCs w:val="20"/>
        </w:rPr>
      </w:pPr>
      <w:r>
        <w:rPr>
          <w:sz w:val="20"/>
          <w:szCs w:val="20"/>
        </w:rPr>
        <w:t> </w:t>
      </w:r>
    </w:p>
    <w:p w14:paraId="3B91B0FB" w14:textId="77777777" w:rsidR="00000000" w:rsidRDefault="007E65A2">
      <w:pPr>
        <w:pStyle w:val="a3"/>
        <w:spacing w:before="0" w:beforeAutospacing="0" w:after="0" w:afterAutospacing="0"/>
        <w:jc w:val="center"/>
        <w:divId w:val="911279972"/>
        <w:rPr>
          <w:b/>
          <w:bCs/>
          <w:sz w:val="20"/>
          <w:szCs w:val="20"/>
        </w:rPr>
      </w:pPr>
      <w:bookmarkStart w:id="1" w:name="PART_I"/>
      <w:r>
        <w:rPr>
          <w:b/>
          <w:bCs/>
          <w:sz w:val="20"/>
          <w:szCs w:val="20"/>
        </w:rPr>
        <w:t>PART I</w:t>
      </w:r>
      <w:bookmarkEnd w:id="1"/>
    </w:p>
    <w:p w14:paraId="5F3F5111" w14:textId="77777777" w:rsidR="00000000" w:rsidRDefault="007E65A2">
      <w:pPr>
        <w:pStyle w:val="a3"/>
        <w:spacing w:before="0" w:beforeAutospacing="0" w:after="0" w:afterAutospacing="0"/>
        <w:divId w:val="911279972"/>
        <w:rPr>
          <w:b/>
          <w:bCs/>
          <w:sz w:val="20"/>
          <w:szCs w:val="20"/>
        </w:rPr>
      </w:pPr>
      <w:r>
        <w:rPr>
          <w:b/>
          <w:bCs/>
          <w:sz w:val="20"/>
          <w:szCs w:val="20"/>
        </w:rPr>
        <w:t> </w:t>
      </w:r>
    </w:p>
    <w:p w14:paraId="1B15E8BF" w14:textId="77777777" w:rsidR="00000000" w:rsidRDefault="007E65A2">
      <w:pPr>
        <w:pStyle w:val="a3"/>
        <w:spacing w:before="0" w:beforeAutospacing="0" w:after="0" w:afterAutospacing="0"/>
        <w:jc w:val="both"/>
        <w:divId w:val="911279972"/>
        <w:rPr>
          <w:b/>
          <w:bCs/>
          <w:sz w:val="20"/>
          <w:szCs w:val="20"/>
        </w:rPr>
      </w:pPr>
      <w:bookmarkStart w:id="2" w:name="ITEM_1._BUSINESS"/>
      <w:r>
        <w:rPr>
          <w:b/>
          <w:bCs/>
          <w:sz w:val="20"/>
          <w:szCs w:val="20"/>
        </w:rPr>
        <w:t>ITEM 1. BUSINESS</w:t>
      </w:r>
      <w:bookmarkEnd w:id="2"/>
    </w:p>
    <w:p w14:paraId="328EAC9F"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p w14:paraId="2681234F" w14:textId="77777777" w:rsidR="00000000" w:rsidRDefault="007E65A2">
      <w:pPr>
        <w:pStyle w:val="a3"/>
        <w:spacing w:before="0" w:beforeAutospacing="0" w:after="0" w:afterAutospacing="0"/>
        <w:jc w:val="both"/>
        <w:divId w:val="911279972"/>
        <w:rPr>
          <w:sz w:val="20"/>
          <w:szCs w:val="20"/>
        </w:rPr>
      </w:pPr>
      <w:r>
        <w:rPr>
          <w:sz w:val="20"/>
          <w:szCs w:val="20"/>
        </w:rPr>
        <w:t>OVERVIEW</w:t>
      </w:r>
    </w:p>
    <w:p w14:paraId="4334557B" w14:textId="77777777" w:rsidR="00000000" w:rsidRDefault="007E65A2">
      <w:pPr>
        <w:pStyle w:val="a3"/>
        <w:spacing w:before="0" w:beforeAutospacing="0" w:after="0" w:afterAutospacing="0"/>
        <w:jc w:val="both"/>
        <w:divId w:val="911279972"/>
        <w:rPr>
          <w:sz w:val="20"/>
          <w:szCs w:val="20"/>
        </w:rPr>
      </w:pPr>
      <w:r>
        <w:rPr>
          <w:sz w:val="20"/>
          <w:szCs w:val="20"/>
        </w:rPr>
        <w:t> </w:t>
      </w:r>
    </w:p>
    <w:p w14:paraId="49C029F9" w14:textId="77777777" w:rsidR="00000000" w:rsidRDefault="007E65A2">
      <w:pPr>
        <w:pStyle w:val="a3"/>
        <w:spacing w:before="0" w:beforeAutospacing="0" w:after="0" w:afterAutospacing="0"/>
        <w:jc w:val="both"/>
        <w:divId w:val="911279972"/>
        <w:rPr>
          <w:sz w:val="20"/>
          <w:szCs w:val="20"/>
        </w:rPr>
      </w:pPr>
      <w:r>
        <w:rPr>
          <w:sz w:val="20"/>
          <w:szCs w:val="20"/>
        </w:rPr>
        <w:t>We were incorporated in the State of South Dakota on November 26, 2012. We are engaged in the acquisition, purchase, maintenance and creation of mobile software applications.</w:t>
      </w:r>
    </w:p>
    <w:p w14:paraId="6C170A93" w14:textId="77777777" w:rsidR="00000000" w:rsidRDefault="007E65A2">
      <w:pPr>
        <w:pStyle w:val="a3"/>
        <w:spacing w:before="0" w:beforeAutospacing="0" w:after="0" w:afterAutospacing="0"/>
        <w:jc w:val="both"/>
        <w:divId w:val="911279972"/>
        <w:rPr>
          <w:sz w:val="20"/>
          <w:szCs w:val="20"/>
        </w:rPr>
      </w:pPr>
      <w:r>
        <w:rPr>
          <w:sz w:val="20"/>
          <w:szCs w:val="20"/>
        </w:rPr>
        <w:t> </w:t>
      </w:r>
    </w:p>
    <w:p w14:paraId="4AFD906E" w14:textId="77777777" w:rsidR="00000000" w:rsidRDefault="007E65A2">
      <w:pPr>
        <w:pStyle w:val="a3"/>
        <w:spacing w:before="0" w:beforeAutospacing="0" w:after="0" w:afterAutospacing="0"/>
        <w:jc w:val="both"/>
        <w:divId w:val="911279972"/>
        <w:rPr>
          <w:sz w:val="20"/>
          <w:szCs w:val="20"/>
        </w:rPr>
      </w:pPr>
      <w:r>
        <w:rPr>
          <w:sz w:val="20"/>
          <w:szCs w:val="20"/>
        </w:rPr>
        <w:t>Our administrative office is located at 777 Main Street, Suite 600, Fort Worth, TX 76102, Telephone: (817)-887-8142. Our corporate website is located at www.appyea.com.</w:t>
      </w:r>
    </w:p>
    <w:p w14:paraId="7C9A9C81" w14:textId="77777777" w:rsidR="00000000" w:rsidRDefault="007E65A2">
      <w:pPr>
        <w:pStyle w:val="a3"/>
        <w:spacing w:before="0" w:beforeAutospacing="0" w:after="0" w:afterAutospacing="0"/>
        <w:jc w:val="both"/>
        <w:divId w:val="911279972"/>
        <w:rPr>
          <w:sz w:val="20"/>
          <w:szCs w:val="20"/>
        </w:rPr>
      </w:pPr>
      <w:r>
        <w:rPr>
          <w:sz w:val="20"/>
          <w:szCs w:val="20"/>
        </w:rPr>
        <w:t> </w:t>
      </w:r>
    </w:p>
    <w:p w14:paraId="52730B2E" w14:textId="77777777" w:rsidR="00000000" w:rsidRDefault="007E65A2">
      <w:pPr>
        <w:pStyle w:val="a3"/>
        <w:spacing w:before="0" w:beforeAutospacing="0" w:after="0" w:afterAutospacing="0"/>
        <w:jc w:val="both"/>
        <w:divId w:val="911279972"/>
        <w:rPr>
          <w:sz w:val="20"/>
          <w:szCs w:val="20"/>
        </w:rPr>
      </w:pPr>
      <w:r>
        <w:rPr>
          <w:sz w:val="20"/>
          <w:szCs w:val="20"/>
        </w:rPr>
        <w:t>Our fiscal year end is June 30th. We have not been subject to any bankruptcy, receive</w:t>
      </w:r>
      <w:r>
        <w:rPr>
          <w:sz w:val="20"/>
          <w:szCs w:val="20"/>
        </w:rPr>
        <w:t>rship or similar proceeding.</w:t>
      </w:r>
    </w:p>
    <w:p w14:paraId="2280C98A" w14:textId="77777777" w:rsidR="00000000" w:rsidRDefault="007E65A2">
      <w:pPr>
        <w:pStyle w:val="a3"/>
        <w:spacing w:before="0" w:beforeAutospacing="0" w:after="0" w:afterAutospacing="0"/>
        <w:jc w:val="both"/>
        <w:divId w:val="911279972"/>
        <w:rPr>
          <w:sz w:val="20"/>
          <w:szCs w:val="20"/>
        </w:rPr>
      </w:pPr>
      <w:r>
        <w:rPr>
          <w:sz w:val="20"/>
          <w:szCs w:val="20"/>
        </w:rPr>
        <w:t> </w:t>
      </w:r>
    </w:p>
    <w:p w14:paraId="41C08734" w14:textId="77777777" w:rsidR="00000000" w:rsidRDefault="007E65A2">
      <w:pPr>
        <w:pStyle w:val="a3"/>
        <w:spacing w:before="0" w:beforeAutospacing="0" w:after="0" w:afterAutospacing="0"/>
        <w:jc w:val="both"/>
        <w:divId w:val="911279972"/>
        <w:rPr>
          <w:sz w:val="20"/>
          <w:szCs w:val="20"/>
        </w:rPr>
      </w:pPr>
      <w:r>
        <w:rPr>
          <w:sz w:val="20"/>
          <w:szCs w:val="20"/>
        </w:rPr>
        <w:t>We have two wholly owned subsidiaries, AppYea Holdings, Inc., a South Dakota corporation and The Diagnostic Centers, Inc., a South Dakota corporation.</w:t>
      </w:r>
    </w:p>
    <w:p w14:paraId="120FA817" w14:textId="77777777" w:rsidR="00000000" w:rsidRDefault="007E65A2">
      <w:pPr>
        <w:pStyle w:val="a3"/>
        <w:spacing w:before="0" w:beforeAutospacing="0" w:after="0" w:afterAutospacing="0"/>
        <w:jc w:val="both"/>
        <w:divId w:val="911279972"/>
        <w:rPr>
          <w:sz w:val="20"/>
          <w:szCs w:val="20"/>
        </w:rPr>
      </w:pPr>
      <w:r>
        <w:rPr>
          <w:sz w:val="20"/>
          <w:szCs w:val="20"/>
        </w:rPr>
        <w:t> </w:t>
      </w:r>
    </w:p>
    <w:p w14:paraId="7DB037CB" w14:textId="77777777" w:rsidR="00000000" w:rsidRDefault="007E65A2">
      <w:pPr>
        <w:pStyle w:val="a3"/>
        <w:spacing w:before="0" w:beforeAutospacing="0" w:after="0" w:afterAutospacing="0"/>
        <w:jc w:val="both"/>
        <w:divId w:val="911279972"/>
        <w:rPr>
          <w:sz w:val="20"/>
          <w:szCs w:val="20"/>
        </w:rPr>
      </w:pPr>
      <w:r>
        <w:rPr>
          <w:b/>
          <w:bCs/>
          <w:sz w:val="20"/>
          <w:szCs w:val="20"/>
        </w:rPr>
        <w:t>Our Current Business</w:t>
      </w:r>
    </w:p>
    <w:p w14:paraId="6C5964D9" w14:textId="77777777" w:rsidR="00000000" w:rsidRDefault="007E65A2">
      <w:pPr>
        <w:pStyle w:val="a3"/>
        <w:spacing w:before="0" w:beforeAutospacing="0" w:after="0" w:afterAutospacing="0"/>
        <w:jc w:val="both"/>
        <w:divId w:val="911279972"/>
        <w:rPr>
          <w:sz w:val="20"/>
          <w:szCs w:val="20"/>
        </w:rPr>
      </w:pPr>
      <w:r>
        <w:rPr>
          <w:sz w:val="20"/>
          <w:szCs w:val="20"/>
        </w:rPr>
        <w:t> </w:t>
      </w:r>
    </w:p>
    <w:p w14:paraId="3C7ECDA5" w14:textId="77777777" w:rsidR="00000000" w:rsidRDefault="007E65A2">
      <w:pPr>
        <w:pStyle w:val="a3"/>
        <w:spacing w:before="0" w:beforeAutospacing="0" w:after="0" w:afterAutospacing="0"/>
        <w:jc w:val="both"/>
        <w:divId w:val="911279972"/>
        <w:rPr>
          <w:sz w:val="20"/>
          <w:szCs w:val="20"/>
        </w:rPr>
      </w:pPr>
      <w:r>
        <w:rPr>
          <w:sz w:val="20"/>
          <w:szCs w:val="20"/>
        </w:rPr>
        <w:t>We are a development stage company that was initi</w:t>
      </w:r>
      <w:r>
        <w:rPr>
          <w:sz w:val="20"/>
          <w:szCs w:val="20"/>
        </w:rPr>
        <w:t>ally only engaged in the acquisition, purchase, and maintenance of mobile software applications (“apps”). Although we are still active in the mobile applications industry, we began investigating healthcare markets to augment the apps business in early 2017</w:t>
      </w:r>
      <w:r>
        <w:rPr>
          <w:sz w:val="20"/>
          <w:szCs w:val="20"/>
        </w:rPr>
        <w:t xml:space="preserve"> and subsequently formed a wholly owned subsidiary The Diagnostic Centers, Inc. to focus on marketing certain products and services to healthcare providers.</w:t>
      </w:r>
    </w:p>
    <w:p w14:paraId="67A413AC" w14:textId="77777777" w:rsidR="00000000" w:rsidRDefault="007E65A2">
      <w:pPr>
        <w:pStyle w:val="a3"/>
        <w:spacing w:before="0" w:beforeAutospacing="0" w:after="0" w:afterAutospacing="0"/>
        <w:jc w:val="both"/>
        <w:divId w:val="911279972"/>
        <w:rPr>
          <w:sz w:val="20"/>
          <w:szCs w:val="20"/>
        </w:rPr>
      </w:pPr>
      <w:r>
        <w:rPr>
          <w:sz w:val="20"/>
          <w:szCs w:val="20"/>
        </w:rPr>
        <w:t> </w:t>
      </w:r>
    </w:p>
    <w:p w14:paraId="1C939A6F" w14:textId="77777777" w:rsidR="00000000" w:rsidRDefault="007E65A2">
      <w:pPr>
        <w:pStyle w:val="a3"/>
        <w:spacing w:before="0" w:beforeAutospacing="0" w:after="0" w:afterAutospacing="0"/>
        <w:jc w:val="both"/>
        <w:divId w:val="911279972"/>
        <w:rPr>
          <w:sz w:val="20"/>
          <w:szCs w:val="20"/>
        </w:rPr>
      </w:pPr>
      <w:r>
        <w:rPr>
          <w:sz w:val="20"/>
          <w:szCs w:val="20"/>
        </w:rPr>
        <w:t>On November 15, 2017, we entered into a distribution agreement with Cedar Creek Labs Series Two L</w:t>
      </w:r>
      <w:r>
        <w:rPr>
          <w:sz w:val="20"/>
          <w:szCs w:val="20"/>
        </w:rPr>
        <w:t>LC (“LLC”) for the term of 1 year. The agreement shall be automatically extended for successive 1 year unless there is the notice to terminate. Our Company shall use best efforts to market the Products for the LLC and will receive compensation ranging from</w:t>
      </w:r>
      <w:r>
        <w:rPr>
          <w:sz w:val="20"/>
          <w:szCs w:val="20"/>
        </w:rPr>
        <w:t xml:space="preserve"> 15% to 40% of profit. Our company owns membership interests of 5% in LLC and the transactions between our company and LLC which is an equity method investee are deemed to be between related parties. The Company reviewed Cedar Creek Labs Series Two LLC fin</w:t>
      </w:r>
      <w:r>
        <w:rPr>
          <w:sz w:val="20"/>
          <w:szCs w:val="20"/>
        </w:rPr>
        <w:t>ancial condition at June 30, 2018 and concluded that there is a 100% impairment loss related to the Company’s investment, and recorded an impairment loss of $24,524, for the year ended June 30, 2018. As of June 30, 2019 the Company is no longer utilizing t</w:t>
      </w:r>
      <w:r>
        <w:rPr>
          <w:sz w:val="20"/>
          <w:szCs w:val="20"/>
        </w:rPr>
        <w:t>his lab.</w:t>
      </w:r>
    </w:p>
    <w:p w14:paraId="65984BD8"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D349BED" w14:textId="77777777">
        <w:trPr>
          <w:divId w:val="911279972"/>
          <w:tblCellSpacing w:w="0" w:type="dxa"/>
        </w:trPr>
        <w:tc>
          <w:tcPr>
            <w:tcW w:w="0" w:type="auto"/>
            <w:vAlign w:val="center"/>
            <w:hideMark/>
          </w:tcPr>
          <w:p w14:paraId="1EA28E2A" w14:textId="77777777" w:rsidR="00000000" w:rsidRDefault="007E65A2">
            <w:pPr>
              <w:rPr>
                <w:rFonts w:eastAsia="Times New Roman"/>
                <w:sz w:val="20"/>
                <w:szCs w:val="20"/>
              </w:rPr>
            </w:pPr>
            <w:r>
              <w:rPr>
                <w:rFonts w:eastAsia="Times New Roman"/>
                <w:sz w:val="20"/>
                <w:szCs w:val="20"/>
              </w:rPr>
              <w:t> </w:t>
            </w:r>
          </w:p>
        </w:tc>
      </w:tr>
      <w:tr w:rsidR="00000000" w14:paraId="5497D5FC" w14:textId="77777777">
        <w:trPr>
          <w:divId w:val="911279972"/>
          <w:tblCellSpacing w:w="0" w:type="dxa"/>
        </w:trPr>
        <w:tc>
          <w:tcPr>
            <w:tcW w:w="0" w:type="auto"/>
            <w:tcBorders>
              <w:bottom w:val="single" w:sz="6" w:space="0" w:color="000000"/>
            </w:tcBorders>
            <w:vAlign w:val="center"/>
            <w:hideMark/>
          </w:tcPr>
          <w:p w14:paraId="464EB58E" w14:textId="77777777" w:rsidR="00000000" w:rsidRDefault="007E65A2">
            <w:pPr>
              <w:jc w:val="center"/>
              <w:rPr>
                <w:rFonts w:eastAsia="Times New Roman"/>
                <w:sz w:val="20"/>
                <w:szCs w:val="20"/>
              </w:rPr>
            </w:pPr>
            <w:r>
              <w:rPr>
                <w:rFonts w:eastAsia="Times New Roman"/>
                <w:sz w:val="20"/>
                <w:szCs w:val="20"/>
              </w:rPr>
              <w:t>4</w:t>
            </w:r>
          </w:p>
        </w:tc>
      </w:tr>
      <w:tr w:rsidR="00000000" w14:paraId="71EA239A" w14:textId="77777777">
        <w:trPr>
          <w:divId w:val="911279972"/>
          <w:tblCellSpacing w:w="0" w:type="dxa"/>
        </w:trPr>
        <w:tc>
          <w:tcPr>
            <w:tcW w:w="0" w:type="auto"/>
            <w:vAlign w:val="center"/>
            <w:hideMark/>
          </w:tcPr>
          <w:p w14:paraId="5FF916BC" w14:textId="77777777" w:rsidR="00000000" w:rsidRDefault="007E65A2">
            <w:pPr>
              <w:rPr>
                <w:rFonts w:eastAsia="Times New Roman"/>
                <w:sz w:val="20"/>
                <w:szCs w:val="20"/>
              </w:rPr>
            </w:pPr>
            <w:r>
              <w:rPr>
                <w:rFonts w:eastAsia="Times New Roman"/>
                <w:sz w:val="20"/>
                <w:szCs w:val="20"/>
              </w:rPr>
              <w:t> </w:t>
            </w:r>
          </w:p>
        </w:tc>
      </w:tr>
      <w:tr w:rsidR="00000000" w14:paraId="3C425D95" w14:textId="77777777">
        <w:trPr>
          <w:divId w:val="911279972"/>
          <w:tblCellSpacing w:w="0" w:type="dxa"/>
        </w:trPr>
        <w:tc>
          <w:tcPr>
            <w:tcW w:w="0" w:type="auto"/>
            <w:vAlign w:val="center"/>
            <w:hideMark/>
          </w:tcPr>
          <w:p w14:paraId="3E64CE12"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590CFD30" w14:textId="77777777" w:rsidR="00000000" w:rsidRDefault="007E65A2">
      <w:pPr>
        <w:pStyle w:val="a3"/>
        <w:spacing w:before="0" w:beforeAutospacing="0" w:after="0" w:afterAutospacing="0"/>
        <w:jc w:val="both"/>
        <w:divId w:val="911279972"/>
        <w:rPr>
          <w:sz w:val="20"/>
          <w:szCs w:val="20"/>
        </w:rPr>
      </w:pPr>
      <w:r>
        <w:rPr>
          <w:sz w:val="20"/>
          <w:szCs w:val="20"/>
        </w:rPr>
        <w:t> </w:t>
      </w:r>
    </w:p>
    <w:p w14:paraId="6259EF08" w14:textId="77777777" w:rsidR="00000000" w:rsidRDefault="007E65A2">
      <w:pPr>
        <w:pStyle w:val="a3"/>
        <w:spacing w:before="0" w:beforeAutospacing="0" w:after="0" w:afterAutospacing="0"/>
        <w:jc w:val="both"/>
        <w:divId w:val="911279972"/>
        <w:rPr>
          <w:sz w:val="20"/>
          <w:szCs w:val="20"/>
        </w:rPr>
      </w:pPr>
      <w:r>
        <w:rPr>
          <w:b/>
          <w:bCs/>
          <w:sz w:val="20"/>
          <w:szCs w:val="20"/>
        </w:rPr>
        <w:t>The Apps Business</w:t>
      </w:r>
    </w:p>
    <w:p w14:paraId="2F33E285"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p w14:paraId="7485CF45" w14:textId="77777777" w:rsidR="00000000" w:rsidRDefault="007E65A2">
      <w:pPr>
        <w:pStyle w:val="a3"/>
        <w:spacing w:before="0" w:beforeAutospacing="0" w:after="0" w:afterAutospacing="0"/>
        <w:jc w:val="both"/>
        <w:divId w:val="911279972"/>
        <w:rPr>
          <w:sz w:val="20"/>
          <w:szCs w:val="20"/>
        </w:rPr>
      </w:pPr>
      <w:r>
        <w:rPr>
          <w:sz w:val="20"/>
          <w:szCs w:val="20"/>
        </w:rPr>
        <w:t xml:space="preserve">We are a mobile application provider for iOS, Google Play, and Amazon platforms. We operate our own titles as well as provide strategic partnerships with promising mobile app developers. We recently acquired two kid friendly applications, “Duck Quest” and </w:t>
      </w:r>
      <w:r>
        <w:rPr>
          <w:sz w:val="20"/>
          <w:szCs w:val="20"/>
        </w:rPr>
        <w:t>“Ball Bearing Racer” that are available in the in-app purchasing system for download, and a new app, Cheap RX, that you can immediately save money on prescriptions for the entire family.</w:t>
      </w:r>
    </w:p>
    <w:p w14:paraId="4C6D8ACB" w14:textId="77777777" w:rsidR="00000000" w:rsidRDefault="007E65A2">
      <w:pPr>
        <w:pStyle w:val="a3"/>
        <w:spacing w:before="0" w:beforeAutospacing="0" w:after="0" w:afterAutospacing="0"/>
        <w:jc w:val="both"/>
        <w:divId w:val="911279972"/>
        <w:rPr>
          <w:sz w:val="20"/>
          <w:szCs w:val="20"/>
        </w:rPr>
      </w:pPr>
      <w:r>
        <w:rPr>
          <w:sz w:val="20"/>
          <w:szCs w:val="20"/>
        </w:rPr>
        <w:t> </w:t>
      </w:r>
    </w:p>
    <w:p w14:paraId="217269FC" w14:textId="77777777" w:rsidR="00000000" w:rsidRDefault="007E65A2">
      <w:pPr>
        <w:pStyle w:val="a3"/>
        <w:spacing w:before="0" w:beforeAutospacing="0" w:after="0" w:afterAutospacing="0"/>
        <w:jc w:val="both"/>
        <w:divId w:val="911279972"/>
        <w:rPr>
          <w:sz w:val="20"/>
          <w:szCs w:val="20"/>
        </w:rPr>
      </w:pPr>
      <w:r>
        <w:rPr>
          <w:b/>
          <w:bCs/>
          <w:sz w:val="20"/>
          <w:szCs w:val="20"/>
        </w:rPr>
        <w:t>Our Apps</w:t>
      </w:r>
    </w:p>
    <w:p w14:paraId="3D58B307" w14:textId="77777777" w:rsidR="00000000" w:rsidRDefault="007E65A2">
      <w:pPr>
        <w:pStyle w:val="a3"/>
        <w:spacing w:before="0" w:beforeAutospacing="0" w:after="0" w:afterAutospacing="0"/>
        <w:jc w:val="both"/>
        <w:divId w:val="911279972"/>
        <w:rPr>
          <w:sz w:val="20"/>
          <w:szCs w:val="20"/>
        </w:rPr>
      </w:pPr>
      <w:r>
        <w:rPr>
          <w:sz w:val="20"/>
          <w:szCs w:val="20"/>
        </w:rPr>
        <w:t> </w:t>
      </w:r>
    </w:p>
    <w:p w14:paraId="0ED8DC27" w14:textId="77777777" w:rsidR="00000000" w:rsidRDefault="007E65A2">
      <w:pPr>
        <w:pStyle w:val="a3"/>
        <w:spacing w:before="0" w:beforeAutospacing="0" w:after="0" w:afterAutospacing="0"/>
        <w:jc w:val="both"/>
        <w:divId w:val="911279972"/>
        <w:rPr>
          <w:sz w:val="20"/>
          <w:szCs w:val="20"/>
        </w:rPr>
      </w:pPr>
      <w:r>
        <w:rPr>
          <w:sz w:val="20"/>
          <w:szCs w:val="20"/>
        </w:rPr>
        <w:lastRenderedPageBreak/>
        <w:t xml:space="preserve">Our company’s products include mobile applications. Our </w:t>
      </w:r>
      <w:r>
        <w:rPr>
          <w:sz w:val="20"/>
          <w:szCs w:val="20"/>
        </w:rPr>
        <w:t>company acquires third party mobile applications (“apps”), in order to build a diverse portfolio of apps that will service a wide range of industries and consumers. Our company plans to acquire apps that are currently in development, as well as apps that a</w:t>
      </w:r>
      <w:r>
        <w:rPr>
          <w:sz w:val="20"/>
          <w:szCs w:val="20"/>
        </w:rPr>
        <w:t>re ready to be presented to the public. By purchasing existing apps, we aim to considerably cut the time to the market for introducing these apps. Our company intends to market and sell our acquired apps under our own name. Our company’s target customers v</w:t>
      </w:r>
      <w:r>
        <w:rPr>
          <w:sz w:val="20"/>
          <w:szCs w:val="20"/>
        </w:rPr>
        <w:t>ary widely, due to the numerous types of apps that are currently available. Below, our current business strategy and plan are detailed in an effort to explain the methods by which our company generates revenue in the apps industry.</w:t>
      </w:r>
    </w:p>
    <w:p w14:paraId="30827805" w14:textId="77777777" w:rsidR="00000000" w:rsidRDefault="007E65A2">
      <w:pPr>
        <w:pStyle w:val="a3"/>
        <w:spacing w:before="0" w:beforeAutospacing="0" w:after="0" w:afterAutospacing="0"/>
        <w:jc w:val="both"/>
        <w:divId w:val="911279972"/>
        <w:rPr>
          <w:sz w:val="20"/>
          <w:szCs w:val="20"/>
        </w:rPr>
      </w:pPr>
      <w:r>
        <w:rPr>
          <w:sz w:val="20"/>
          <w:szCs w:val="20"/>
        </w:rPr>
        <w:t> </w:t>
      </w:r>
    </w:p>
    <w:p w14:paraId="184325F8" w14:textId="77777777" w:rsidR="00000000" w:rsidRDefault="007E65A2">
      <w:pPr>
        <w:pStyle w:val="a3"/>
        <w:spacing w:before="0" w:beforeAutospacing="0" w:after="0" w:afterAutospacing="0"/>
        <w:jc w:val="both"/>
        <w:divId w:val="911279972"/>
        <w:rPr>
          <w:sz w:val="20"/>
          <w:szCs w:val="20"/>
        </w:rPr>
      </w:pPr>
      <w:r>
        <w:rPr>
          <w:rStyle w:val="a6"/>
          <w:sz w:val="20"/>
          <w:szCs w:val="20"/>
        </w:rPr>
        <w:t>Source Code Assets</w:t>
      </w:r>
    </w:p>
    <w:p w14:paraId="63145FE0" w14:textId="77777777" w:rsidR="00000000" w:rsidRDefault="007E65A2">
      <w:pPr>
        <w:pStyle w:val="a3"/>
        <w:spacing w:before="0" w:beforeAutospacing="0" w:after="0" w:afterAutospacing="0"/>
        <w:jc w:val="both"/>
        <w:divId w:val="911279972"/>
        <w:rPr>
          <w:sz w:val="20"/>
          <w:szCs w:val="20"/>
        </w:rPr>
      </w:pPr>
      <w:r>
        <w:rPr>
          <w:sz w:val="20"/>
          <w:szCs w:val="20"/>
        </w:rPr>
        <w:t> </w:t>
      </w:r>
    </w:p>
    <w:p w14:paraId="1FAF0AD7" w14:textId="77777777" w:rsidR="00000000" w:rsidRDefault="007E65A2">
      <w:pPr>
        <w:pStyle w:val="a3"/>
        <w:spacing w:before="0" w:beforeAutospacing="0" w:after="0" w:afterAutospacing="0"/>
        <w:jc w:val="both"/>
        <w:divId w:val="911279972"/>
        <w:rPr>
          <w:sz w:val="20"/>
          <w:szCs w:val="20"/>
        </w:rPr>
      </w:pPr>
      <w:r>
        <w:rPr>
          <w:sz w:val="20"/>
          <w:szCs w:val="20"/>
        </w:rPr>
        <w:t>O</w:t>
      </w:r>
      <w:r>
        <w:rPr>
          <w:sz w:val="20"/>
          <w:szCs w:val="20"/>
        </w:rPr>
        <w:t>n April 2, 2013 we acquired a mobile application that will help the millions of amusement and theme park visitors by providing them with accurate attraction wait times, ride information, theme park maps, hours of park operation, parade and show times, fire</w:t>
      </w:r>
      <w:r>
        <w:rPr>
          <w:sz w:val="20"/>
          <w:szCs w:val="20"/>
        </w:rPr>
        <w:t>work times, and much more in the palms of cell phone users’ hands.</w:t>
      </w:r>
    </w:p>
    <w:p w14:paraId="193F9441" w14:textId="77777777" w:rsidR="00000000" w:rsidRDefault="007E65A2">
      <w:pPr>
        <w:pStyle w:val="a3"/>
        <w:spacing w:before="0" w:beforeAutospacing="0" w:after="0" w:afterAutospacing="0"/>
        <w:jc w:val="both"/>
        <w:divId w:val="911279972"/>
        <w:rPr>
          <w:sz w:val="20"/>
          <w:szCs w:val="20"/>
        </w:rPr>
      </w:pPr>
      <w:r>
        <w:rPr>
          <w:sz w:val="20"/>
          <w:szCs w:val="20"/>
        </w:rPr>
        <w:t> </w:t>
      </w:r>
    </w:p>
    <w:p w14:paraId="3727334B" w14:textId="77777777" w:rsidR="00000000" w:rsidRDefault="007E65A2">
      <w:pPr>
        <w:pStyle w:val="a3"/>
        <w:spacing w:before="0" w:beforeAutospacing="0" w:after="0" w:afterAutospacing="0"/>
        <w:jc w:val="both"/>
        <w:divId w:val="911279972"/>
        <w:rPr>
          <w:sz w:val="20"/>
          <w:szCs w:val="20"/>
        </w:rPr>
      </w:pPr>
      <w:r>
        <w:rPr>
          <w:sz w:val="20"/>
          <w:szCs w:val="20"/>
        </w:rPr>
        <w:t>On October 15, 2014, we acquired an automobile and the MySocial mobile application for $60,000. The purchase was satisfied through the issuance of a Promissory Note in an amount of $60,00</w:t>
      </w:r>
      <w:r>
        <w:rPr>
          <w:sz w:val="20"/>
          <w:szCs w:val="20"/>
        </w:rPr>
        <w:t>0. The MySocial mobile application is a social media application that will allow a user to share news, videos, and other information to various social media outlets.</w:t>
      </w:r>
    </w:p>
    <w:p w14:paraId="75E78821" w14:textId="77777777" w:rsidR="00000000" w:rsidRDefault="007E65A2">
      <w:pPr>
        <w:pStyle w:val="a3"/>
        <w:spacing w:before="0" w:beforeAutospacing="0" w:after="0" w:afterAutospacing="0"/>
        <w:jc w:val="both"/>
        <w:divId w:val="911279972"/>
        <w:rPr>
          <w:sz w:val="20"/>
          <w:szCs w:val="20"/>
        </w:rPr>
      </w:pPr>
      <w:r>
        <w:rPr>
          <w:sz w:val="20"/>
          <w:szCs w:val="20"/>
        </w:rPr>
        <w:t>    </w:t>
      </w:r>
    </w:p>
    <w:p w14:paraId="4E5E498E" w14:textId="77777777" w:rsidR="00000000" w:rsidRDefault="007E65A2">
      <w:pPr>
        <w:pStyle w:val="a3"/>
        <w:spacing w:before="0" w:beforeAutospacing="0" w:after="0" w:afterAutospacing="0"/>
        <w:jc w:val="both"/>
        <w:divId w:val="911279972"/>
        <w:rPr>
          <w:sz w:val="20"/>
          <w:szCs w:val="20"/>
        </w:rPr>
      </w:pPr>
      <w:r>
        <w:rPr>
          <w:rStyle w:val="a6"/>
          <w:sz w:val="20"/>
          <w:szCs w:val="20"/>
        </w:rPr>
        <w:t>Current Products and Revenue</w:t>
      </w:r>
    </w:p>
    <w:p w14:paraId="1238B843" w14:textId="77777777" w:rsidR="00000000" w:rsidRDefault="007E65A2">
      <w:pPr>
        <w:pStyle w:val="a3"/>
        <w:spacing w:before="0" w:beforeAutospacing="0" w:after="0" w:afterAutospacing="0"/>
        <w:jc w:val="both"/>
        <w:divId w:val="911279972"/>
        <w:rPr>
          <w:sz w:val="20"/>
          <w:szCs w:val="20"/>
        </w:rPr>
      </w:pPr>
      <w:r>
        <w:rPr>
          <w:sz w:val="20"/>
          <w:szCs w:val="20"/>
        </w:rPr>
        <w:t> </w:t>
      </w:r>
    </w:p>
    <w:p w14:paraId="2501967E" w14:textId="77777777" w:rsidR="00000000" w:rsidRDefault="007E65A2">
      <w:pPr>
        <w:pStyle w:val="a3"/>
        <w:spacing w:before="0" w:beforeAutospacing="0" w:after="0" w:afterAutospacing="0"/>
        <w:jc w:val="both"/>
        <w:divId w:val="911279972"/>
        <w:rPr>
          <w:sz w:val="20"/>
          <w:szCs w:val="20"/>
        </w:rPr>
      </w:pPr>
      <w:r>
        <w:rPr>
          <w:sz w:val="20"/>
          <w:szCs w:val="20"/>
        </w:rPr>
        <w:t xml:space="preserve">Our company currently generates nominal revenues from </w:t>
      </w:r>
      <w:r>
        <w:rPr>
          <w:sz w:val="20"/>
          <w:szCs w:val="20"/>
        </w:rPr>
        <w:t xml:space="preserve">paid downloads and advertisement integration. We currently use advertising integration in the free versions of our mobile applications that are downloaded by consumers. Advertisement integration has accounted for roughly five percent of our total revenues </w:t>
      </w:r>
      <w:r>
        <w:rPr>
          <w:sz w:val="20"/>
          <w:szCs w:val="20"/>
        </w:rPr>
        <w:t>as of the date of this annual report. Our company plans to continue using advertisement integration in the free versions of our mobile apps. However, at the time of the initial download, or at any time after the initial download of our application, the con</w:t>
      </w:r>
      <w:r>
        <w:rPr>
          <w:sz w:val="20"/>
          <w:szCs w:val="20"/>
        </w:rPr>
        <w:t>sumer can choose to pay for the full application, at which time the advertisements are removed. Our company plans on generating future revenues from the purchase of underdeveloped mobile applications, application development and mobile application developm</w:t>
      </w:r>
      <w:r>
        <w:rPr>
          <w:sz w:val="20"/>
          <w:szCs w:val="20"/>
        </w:rPr>
        <w:t>ent consulting. There is currently no single customer or product that has accounted for a material portion of our revenues.</w:t>
      </w:r>
    </w:p>
    <w:p w14:paraId="48F7236F" w14:textId="77777777" w:rsidR="00000000" w:rsidRDefault="007E65A2">
      <w:pPr>
        <w:pStyle w:val="a3"/>
        <w:spacing w:before="0" w:beforeAutospacing="0" w:after="0" w:afterAutospacing="0"/>
        <w:jc w:val="both"/>
        <w:divId w:val="911279972"/>
        <w:rPr>
          <w:sz w:val="20"/>
          <w:szCs w:val="20"/>
        </w:rPr>
      </w:pPr>
      <w:r>
        <w:rPr>
          <w:sz w:val="20"/>
          <w:szCs w:val="20"/>
        </w:rPr>
        <w:t> </w:t>
      </w:r>
    </w:p>
    <w:p w14:paraId="4C1733FD" w14:textId="77777777" w:rsidR="00000000" w:rsidRDefault="007E65A2">
      <w:pPr>
        <w:pStyle w:val="a3"/>
        <w:spacing w:before="0" w:beforeAutospacing="0" w:after="0" w:afterAutospacing="0"/>
        <w:jc w:val="both"/>
        <w:divId w:val="911279972"/>
        <w:rPr>
          <w:sz w:val="20"/>
          <w:szCs w:val="20"/>
        </w:rPr>
      </w:pPr>
      <w:r>
        <w:rPr>
          <w:rStyle w:val="a6"/>
          <w:sz w:val="20"/>
          <w:szCs w:val="20"/>
        </w:rPr>
        <w:t>Management and Development Role</w:t>
      </w:r>
    </w:p>
    <w:p w14:paraId="31324282" w14:textId="77777777" w:rsidR="00000000" w:rsidRDefault="007E65A2">
      <w:pPr>
        <w:pStyle w:val="a3"/>
        <w:spacing w:before="0" w:beforeAutospacing="0" w:after="0" w:afterAutospacing="0"/>
        <w:jc w:val="both"/>
        <w:divId w:val="911279972"/>
        <w:rPr>
          <w:sz w:val="20"/>
          <w:szCs w:val="20"/>
        </w:rPr>
      </w:pPr>
      <w:r>
        <w:rPr>
          <w:sz w:val="20"/>
          <w:szCs w:val="20"/>
        </w:rPr>
        <w:t> </w:t>
      </w:r>
    </w:p>
    <w:p w14:paraId="702E47A5" w14:textId="77777777" w:rsidR="00000000" w:rsidRDefault="007E65A2">
      <w:pPr>
        <w:pStyle w:val="a3"/>
        <w:spacing w:before="0" w:beforeAutospacing="0" w:after="0" w:afterAutospacing="0"/>
        <w:jc w:val="both"/>
        <w:divId w:val="911279972"/>
        <w:rPr>
          <w:sz w:val="20"/>
          <w:szCs w:val="20"/>
        </w:rPr>
      </w:pPr>
      <w:r>
        <w:rPr>
          <w:sz w:val="20"/>
          <w:szCs w:val="20"/>
        </w:rPr>
        <w:t xml:space="preserve">We intend to become a management company that focuses on the promotion, marketing, and sales of </w:t>
      </w:r>
      <w:r>
        <w:rPr>
          <w:sz w:val="20"/>
          <w:szCs w:val="20"/>
        </w:rPr>
        <w:t>its acquired apps. We intend to obtain the services of specialized app marketing companies in order to become well positioned in online mobile app stores. In addition, our company believes that by properly marketing our apps, we will be able to increase do</w:t>
      </w:r>
      <w:r>
        <w:rPr>
          <w:sz w:val="20"/>
          <w:szCs w:val="20"/>
        </w:rPr>
        <w:t>wnloads, lower the acquisition costs associated with the acquired apps, and expand our portfolio of apps for all current and future platforms.</w:t>
      </w:r>
    </w:p>
    <w:p w14:paraId="3A7F7DA7"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55CEABA" w14:textId="77777777">
        <w:trPr>
          <w:divId w:val="911279972"/>
          <w:tblCellSpacing w:w="0" w:type="dxa"/>
        </w:trPr>
        <w:tc>
          <w:tcPr>
            <w:tcW w:w="0" w:type="auto"/>
            <w:vAlign w:val="center"/>
            <w:hideMark/>
          </w:tcPr>
          <w:p w14:paraId="48043B1F" w14:textId="77777777" w:rsidR="00000000" w:rsidRDefault="007E65A2">
            <w:pPr>
              <w:rPr>
                <w:rFonts w:eastAsia="Times New Roman"/>
                <w:sz w:val="20"/>
                <w:szCs w:val="20"/>
              </w:rPr>
            </w:pPr>
            <w:r>
              <w:rPr>
                <w:rFonts w:eastAsia="Times New Roman"/>
                <w:sz w:val="20"/>
                <w:szCs w:val="20"/>
              </w:rPr>
              <w:t> </w:t>
            </w:r>
          </w:p>
        </w:tc>
      </w:tr>
      <w:tr w:rsidR="00000000" w14:paraId="4C9A1435" w14:textId="77777777">
        <w:trPr>
          <w:divId w:val="911279972"/>
          <w:tblCellSpacing w:w="0" w:type="dxa"/>
        </w:trPr>
        <w:tc>
          <w:tcPr>
            <w:tcW w:w="0" w:type="auto"/>
            <w:tcBorders>
              <w:bottom w:val="single" w:sz="6" w:space="0" w:color="000000"/>
            </w:tcBorders>
            <w:vAlign w:val="center"/>
            <w:hideMark/>
          </w:tcPr>
          <w:p w14:paraId="38A5D2F0" w14:textId="77777777" w:rsidR="00000000" w:rsidRDefault="007E65A2">
            <w:pPr>
              <w:jc w:val="center"/>
              <w:rPr>
                <w:rFonts w:eastAsia="Times New Roman"/>
                <w:sz w:val="20"/>
                <w:szCs w:val="20"/>
              </w:rPr>
            </w:pPr>
            <w:r>
              <w:rPr>
                <w:rFonts w:eastAsia="Times New Roman"/>
                <w:sz w:val="20"/>
                <w:szCs w:val="20"/>
              </w:rPr>
              <w:t>5</w:t>
            </w:r>
          </w:p>
        </w:tc>
      </w:tr>
      <w:tr w:rsidR="00000000" w14:paraId="5AF94C51" w14:textId="77777777">
        <w:trPr>
          <w:divId w:val="911279972"/>
          <w:tblCellSpacing w:w="0" w:type="dxa"/>
        </w:trPr>
        <w:tc>
          <w:tcPr>
            <w:tcW w:w="0" w:type="auto"/>
            <w:vAlign w:val="center"/>
            <w:hideMark/>
          </w:tcPr>
          <w:p w14:paraId="4E0618FC" w14:textId="77777777" w:rsidR="00000000" w:rsidRDefault="007E65A2">
            <w:pPr>
              <w:rPr>
                <w:rFonts w:eastAsia="Times New Roman"/>
                <w:sz w:val="20"/>
                <w:szCs w:val="20"/>
              </w:rPr>
            </w:pPr>
            <w:r>
              <w:rPr>
                <w:rFonts w:eastAsia="Times New Roman"/>
                <w:sz w:val="20"/>
                <w:szCs w:val="20"/>
              </w:rPr>
              <w:t> </w:t>
            </w:r>
          </w:p>
        </w:tc>
      </w:tr>
      <w:tr w:rsidR="00000000" w14:paraId="5C37A1D5" w14:textId="77777777">
        <w:trPr>
          <w:divId w:val="911279972"/>
          <w:tblCellSpacing w:w="0" w:type="dxa"/>
        </w:trPr>
        <w:tc>
          <w:tcPr>
            <w:tcW w:w="0" w:type="auto"/>
            <w:vAlign w:val="center"/>
            <w:hideMark/>
          </w:tcPr>
          <w:p w14:paraId="28F1B849"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5D4855FF" w14:textId="77777777" w:rsidR="00000000" w:rsidRDefault="007E65A2">
      <w:pPr>
        <w:pStyle w:val="a3"/>
        <w:spacing w:before="0" w:beforeAutospacing="0" w:after="0" w:afterAutospacing="0"/>
        <w:jc w:val="both"/>
        <w:divId w:val="911279972"/>
        <w:rPr>
          <w:sz w:val="20"/>
          <w:szCs w:val="20"/>
        </w:rPr>
      </w:pPr>
      <w:r>
        <w:rPr>
          <w:sz w:val="20"/>
          <w:szCs w:val="20"/>
        </w:rPr>
        <w:t> </w:t>
      </w:r>
    </w:p>
    <w:p w14:paraId="3B180DE0" w14:textId="77777777" w:rsidR="00000000" w:rsidRDefault="007E65A2">
      <w:pPr>
        <w:pStyle w:val="a3"/>
        <w:spacing w:before="0" w:beforeAutospacing="0" w:after="0" w:afterAutospacing="0"/>
        <w:jc w:val="both"/>
        <w:divId w:val="911279972"/>
        <w:rPr>
          <w:sz w:val="20"/>
          <w:szCs w:val="20"/>
        </w:rPr>
      </w:pPr>
      <w:r>
        <w:rPr>
          <w:b/>
          <w:bCs/>
          <w:sz w:val="20"/>
          <w:szCs w:val="20"/>
        </w:rPr>
        <w:t>Competition</w:t>
      </w:r>
    </w:p>
    <w:p w14:paraId="24D915FB" w14:textId="77777777" w:rsidR="00000000" w:rsidRDefault="007E65A2">
      <w:pPr>
        <w:pStyle w:val="a3"/>
        <w:spacing w:before="0" w:beforeAutospacing="0" w:after="0" w:afterAutospacing="0"/>
        <w:jc w:val="both"/>
        <w:divId w:val="911279972"/>
        <w:rPr>
          <w:sz w:val="20"/>
          <w:szCs w:val="20"/>
        </w:rPr>
      </w:pPr>
      <w:r>
        <w:rPr>
          <w:sz w:val="20"/>
          <w:szCs w:val="20"/>
        </w:rPr>
        <w:t> </w:t>
      </w:r>
    </w:p>
    <w:p w14:paraId="372CFC3A" w14:textId="77777777" w:rsidR="00000000" w:rsidRDefault="007E65A2">
      <w:pPr>
        <w:pStyle w:val="a3"/>
        <w:spacing w:before="0" w:beforeAutospacing="0" w:after="0" w:afterAutospacing="0"/>
        <w:jc w:val="both"/>
        <w:divId w:val="911279972"/>
        <w:rPr>
          <w:sz w:val="20"/>
          <w:szCs w:val="20"/>
        </w:rPr>
      </w:pPr>
      <w:r>
        <w:rPr>
          <w:sz w:val="20"/>
          <w:szCs w:val="20"/>
        </w:rPr>
        <w:t xml:space="preserve">The app development market is very competitive, with many companies developing apps worldwide. Also, it is possible that our business model may be duplicated in the future. However, at the current time we believe our system and business method of not only </w:t>
      </w:r>
      <w:r>
        <w:rPr>
          <w:sz w:val="20"/>
          <w:szCs w:val="20"/>
        </w:rPr>
        <w:t>generating internal apps, but also continuously acquiring third party apps and app development companies will give us access to a large number of mobile apps, and while that will not decrease the amount of competitors in the industry, it will place us in a</w:t>
      </w:r>
      <w:r>
        <w:rPr>
          <w:sz w:val="20"/>
          <w:szCs w:val="20"/>
        </w:rPr>
        <w:t xml:space="preserve"> very competitive position, as we will have apps that function in a wide range of categories. Our ability to sell apps that operate in a wide range of categories will allow us to reach a large customer base, consisting of consumers who will purchase our mo</w:t>
      </w:r>
      <w:r>
        <w:rPr>
          <w:sz w:val="20"/>
          <w:szCs w:val="20"/>
        </w:rPr>
        <w:t>bile applications on app stores, which we believe will allow us to be successful and competitive, regardless of the number of other application development companies that compete in our industry.</w:t>
      </w:r>
    </w:p>
    <w:p w14:paraId="53D4FFD5" w14:textId="77777777" w:rsidR="00000000" w:rsidRDefault="007E65A2">
      <w:pPr>
        <w:pStyle w:val="a3"/>
        <w:spacing w:before="0" w:beforeAutospacing="0" w:after="0" w:afterAutospacing="0"/>
        <w:jc w:val="both"/>
        <w:divId w:val="911279972"/>
        <w:rPr>
          <w:sz w:val="20"/>
          <w:szCs w:val="20"/>
        </w:rPr>
      </w:pPr>
      <w:r>
        <w:rPr>
          <w:sz w:val="20"/>
          <w:szCs w:val="20"/>
        </w:rPr>
        <w:t> </w:t>
      </w:r>
    </w:p>
    <w:p w14:paraId="2D676226" w14:textId="77777777" w:rsidR="00000000" w:rsidRDefault="007E65A2">
      <w:pPr>
        <w:pStyle w:val="a3"/>
        <w:spacing w:before="0" w:beforeAutospacing="0" w:after="0" w:afterAutospacing="0"/>
        <w:jc w:val="both"/>
        <w:divId w:val="911279972"/>
        <w:rPr>
          <w:sz w:val="20"/>
          <w:szCs w:val="20"/>
        </w:rPr>
      </w:pPr>
      <w:r>
        <w:rPr>
          <w:b/>
          <w:bCs/>
          <w:sz w:val="20"/>
          <w:szCs w:val="20"/>
        </w:rPr>
        <w:lastRenderedPageBreak/>
        <w:t>Strategy</w:t>
      </w:r>
    </w:p>
    <w:p w14:paraId="722D287D" w14:textId="77777777" w:rsidR="00000000" w:rsidRDefault="007E65A2">
      <w:pPr>
        <w:pStyle w:val="a3"/>
        <w:spacing w:before="0" w:beforeAutospacing="0" w:after="0" w:afterAutospacing="0"/>
        <w:jc w:val="both"/>
        <w:divId w:val="911279972"/>
        <w:rPr>
          <w:sz w:val="20"/>
          <w:szCs w:val="20"/>
        </w:rPr>
      </w:pPr>
      <w:r>
        <w:rPr>
          <w:sz w:val="20"/>
          <w:szCs w:val="20"/>
        </w:rPr>
        <w:t> </w:t>
      </w:r>
    </w:p>
    <w:p w14:paraId="497737B3" w14:textId="77777777" w:rsidR="00000000" w:rsidRDefault="007E65A2">
      <w:pPr>
        <w:pStyle w:val="a3"/>
        <w:spacing w:before="0" w:beforeAutospacing="0" w:after="0" w:afterAutospacing="0"/>
        <w:jc w:val="both"/>
        <w:divId w:val="911279972"/>
        <w:rPr>
          <w:sz w:val="20"/>
          <w:szCs w:val="20"/>
        </w:rPr>
      </w:pPr>
      <w:r>
        <w:rPr>
          <w:sz w:val="20"/>
          <w:szCs w:val="20"/>
        </w:rPr>
        <w:t>Structured as a mobile app acquisition and mana</w:t>
      </w:r>
      <w:r>
        <w:rPr>
          <w:sz w:val="20"/>
          <w:szCs w:val="20"/>
        </w:rPr>
        <w:t>gement company, our app business model is designed to provide an almost unlimited amount of apps that can be of use to a large amount of different consumer purchasers. We will sell our products to consumers in mobile application stores, and we will also hi</w:t>
      </w:r>
      <w:r>
        <w:rPr>
          <w:sz w:val="20"/>
          <w:szCs w:val="20"/>
        </w:rPr>
        <w:t>re third party marketing companies in order to reach a large number of potential consumer purchasers of our apps.</w:t>
      </w:r>
    </w:p>
    <w:p w14:paraId="7DA0A444" w14:textId="77777777" w:rsidR="00000000" w:rsidRDefault="007E65A2">
      <w:pPr>
        <w:pStyle w:val="a3"/>
        <w:spacing w:before="0" w:beforeAutospacing="0" w:after="0" w:afterAutospacing="0"/>
        <w:jc w:val="both"/>
        <w:divId w:val="911279972"/>
        <w:rPr>
          <w:sz w:val="20"/>
          <w:szCs w:val="20"/>
        </w:rPr>
      </w:pPr>
      <w:r>
        <w:rPr>
          <w:sz w:val="20"/>
          <w:szCs w:val="20"/>
        </w:rPr>
        <w:t> </w:t>
      </w:r>
    </w:p>
    <w:p w14:paraId="16CAC788" w14:textId="77777777" w:rsidR="00000000" w:rsidRDefault="007E65A2">
      <w:pPr>
        <w:pStyle w:val="a3"/>
        <w:spacing w:before="0" w:beforeAutospacing="0" w:after="0" w:afterAutospacing="0"/>
        <w:jc w:val="both"/>
        <w:divId w:val="911279972"/>
        <w:rPr>
          <w:sz w:val="20"/>
          <w:szCs w:val="20"/>
        </w:rPr>
      </w:pPr>
      <w:r>
        <w:rPr>
          <w:b/>
          <w:bCs/>
          <w:sz w:val="20"/>
          <w:szCs w:val="20"/>
        </w:rPr>
        <w:t>Compliance Approval</w:t>
      </w:r>
    </w:p>
    <w:p w14:paraId="7C556593" w14:textId="77777777" w:rsidR="00000000" w:rsidRDefault="007E65A2">
      <w:pPr>
        <w:pStyle w:val="a3"/>
        <w:spacing w:before="0" w:beforeAutospacing="0" w:after="0" w:afterAutospacing="0"/>
        <w:jc w:val="both"/>
        <w:divId w:val="911279972"/>
        <w:rPr>
          <w:sz w:val="20"/>
          <w:szCs w:val="20"/>
        </w:rPr>
      </w:pPr>
      <w:r>
        <w:rPr>
          <w:sz w:val="20"/>
          <w:szCs w:val="20"/>
        </w:rPr>
        <w:t> </w:t>
      </w:r>
    </w:p>
    <w:p w14:paraId="7326A8F1" w14:textId="77777777" w:rsidR="00000000" w:rsidRDefault="007E65A2">
      <w:pPr>
        <w:pStyle w:val="a3"/>
        <w:spacing w:before="0" w:beforeAutospacing="0" w:after="0" w:afterAutospacing="0"/>
        <w:jc w:val="both"/>
        <w:divId w:val="911279972"/>
        <w:rPr>
          <w:sz w:val="20"/>
          <w:szCs w:val="20"/>
        </w:rPr>
      </w:pPr>
      <w:r>
        <w:rPr>
          <w:sz w:val="20"/>
          <w:szCs w:val="20"/>
        </w:rPr>
        <w:t>Our company does not require any government approval for our services. As a mobile application product provider, our business will not be subject to any environmental laws.</w:t>
      </w:r>
    </w:p>
    <w:p w14:paraId="2D2C1F29" w14:textId="77777777" w:rsidR="00000000" w:rsidRDefault="007E65A2">
      <w:pPr>
        <w:pStyle w:val="a3"/>
        <w:spacing w:before="0" w:beforeAutospacing="0" w:after="0" w:afterAutospacing="0"/>
        <w:jc w:val="both"/>
        <w:divId w:val="911279972"/>
        <w:rPr>
          <w:sz w:val="20"/>
          <w:szCs w:val="20"/>
        </w:rPr>
      </w:pPr>
      <w:r>
        <w:rPr>
          <w:sz w:val="20"/>
          <w:szCs w:val="20"/>
        </w:rPr>
        <w:t> </w:t>
      </w:r>
    </w:p>
    <w:p w14:paraId="10B43A3E" w14:textId="77777777" w:rsidR="00000000" w:rsidRDefault="007E65A2">
      <w:pPr>
        <w:pStyle w:val="a3"/>
        <w:spacing w:before="0" w:beforeAutospacing="0" w:after="0" w:afterAutospacing="0"/>
        <w:jc w:val="both"/>
        <w:divId w:val="911279972"/>
        <w:rPr>
          <w:sz w:val="20"/>
          <w:szCs w:val="20"/>
        </w:rPr>
      </w:pPr>
      <w:r>
        <w:rPr>
          <w:b/>
          <w:bCs/>
          <w:sz w:val="20"/>
          <w:szCs w:val="20"/>
        </w:rPr>
        <w:t>Compliance with Government Regulation</w:t>
      </w:r>
    </w:p>
    <w:p w14:paraId="6D2B27E6" w14:textId="77777777" w:rsidR="00000000" w:rsidRDefault="007E65A2">
      <w:pPr>
        <w:pStyle w:val="a3"/>
        <w:spacing w:before="0" w:beforeAutospacing="0" w:after="0" w:afterAutospacing="0"/>
        <w:jc w:val="both"/>
        <w:divId w:val="911279972"/>
        <w:rPr>
          <w:sz w:val="20"/>
          <w:szCs w:val="20"/>
        </w:rPr>
      </w:pPr>
      <w:r>
        <w:rPr>
          <w:sz w:val="20"/>
          <w:szCs w:val="20"/>
        </w:rPr>
        <w:t> </w:t>
      </w:r>
    </w:p>
    <w:p w14:paraId="2BA6986B" w14:textId="77777777" w:rsidR="00000000" w:rsidRDefault="007E65A2">
      <w:pPr>
        <w:pStyle w:val="a3"/>
        <w:spacing w:before="0" w:beforeAutospacing="0" w:after="0" w:afterAutospacing="0"/>
        <w:jc w:val="both"/>
        <w:divId w:val="911279972"/>
        <w:rPr>
          <w:sz w:val="20"/>
          <w:szCs w:val="20"/>
        </w:rPr>
      </w:pPr>
      <w:r>
        <w:rPr>
          <w:sz w:val="20"/>
          <w:szCs w:val="20"/>
        </w:rPr>
        <w:t xml:space="preserve">Our company will be subject to local and </w:t>
      </w:r>
      <w:r>
        <w:rPr>
          <w:sz w:val="20"/>
          <w:szCs w:val="20"/>
        </w:rPr>
        <w:t>international laws and regulations that relate directly or indirectly to our operations. We will also be subject to common business and tax rules and regulations pertaining to the operation of our business. Our company believes that the effects of existing</w:t>
      </w:r>
      <w:r>
        <w:rPr>
          <w:sz w:val="20"/>
          <w:szCs w:val="20"/>
        </w:rPr>
        <w:t xml:space="preserve"> or probable governmental regulations will be additional responsibilities of our management to ensure that our company is in compliance with securities regulations as they apply to our company’s products as well as ensuring that our company does not infrin</w:t>
      </w:r>
      <w:r>
        <w:rPr>
          <w:sz w:val="20"/>
          <w:szCs w:val="20"/>
        </w:rPr>
        <w:t>ge on any proprietary rights of others with respect to our products. Our company will also need to maintain accurate financial records in order to remain complaint with securities regulations as well as any corporate tax liability we incur.</w:t>
      </w:r>
    </w:p>
    <w:p w14:paraId="31321012" w14:textId="77777777" w:rsidR="00000000" w:rsidRDefault="007E65A2">
      <w:pPr>
        <w:pStyle w:val="a3"/>
        <w:spacing w:before="0" w:beforeAutospacing="0" w:after="0" w:afterAutospacing="0"/>
        <w:jc w:val="both"/>
        <w:divId w:val="911279972"/>
        <w:rPr>
          <w:sz w:val="20"/>
          <w:szCs w:val="20"/>
        </w:rPr>
      </w:pPr>
      <w:r>
        <w:rPr>
          <w:sz w:val="20"/>
          <w:szCs w:val="20"/>
        </w:rPr>
        <w:t> </w:t>
      </w:r>
    </w:p>
    <w:p w14:paraId="689F5C27" w14:textId="77777777" w:rsidR="00000000" w:rsidRDefault="007E65A2">
      <w:pPr>
        <w:pStyle w:val="a3"/>
        <w:spacing w:before="0" w:beforeAutospacing="0" w:after="0" w:afterAutospacing="0"/>
        <w:jc w:val="both"/>
        <w:divId w:val="911279972"/>
        <w:rPr>
          <w:sz w:val="20"/>
          <w:szCs w:val="20"/>
        </w:rPr>
      </w:pPr>
      <w:r>
        <w:rPr>
          <w:b/>
          <w:bCs/>
          <w:sz w:val="20"/>
          <w:szCs w:val="20"/>
        </w:rPr>
        <w:t xml:space="preserve">Research and </w:t>
      </w:r>
      <w:r>
        <w:rPr>
          <w:b/>
          <w:bCs/>
          <w:sz w:val="20"/>
          <w:szCs w:val="20"/>
        </w:rPr>
        <w:t>Development</w:t>
      </w:r>
    </w:p>
    <w:p w14:paraId="449F274C" w14:textId="77777777" w:rsidR="00000000" w:rsidRDefault="007E65A2">
      <w:pPr>
        <w:pStyle w:val="a3"/>
        <w:spacing w:before="0" w:beforeAutospacing="0" w:after="0" w:afterAutospacing="0"/>
        <w:jc w:val="both"/>
        <w:divId w:val="911279972"/>
        <w:rPr>
          <w:sz w:val="20"/>
          <w:szCs w:val="20"/>
        </w:rPr>
      </w:pPr>
      <w:r>
        <w:rPr>
          <w:sz w:val="20"/>
          <w:szCs w:val="20"/>
        </w:rPr>
        <w:t> </w:t>
      </w:r>
    </w:p>
    <w:p w14:paraId="28B3745D" w14:textId="77777777" w:rsidR="00000000" w:rsidRDefault="007E65A2">
      <w:pPr>
        <w:pStyle w:val="a3"/>
        <w:spacing w:before="0" w:beforeAutospacing="0" w:after="0" w:afterAutospacing="0"/>
        <w:jc w:val="both"/>
        <w:divId w:val="911279972"/>
        <w:rPr>
          <w:sz w:val="20"/>
          <w:szCs w:val="20"/>
        </w:rPr>
      </w:pPr>
      <w:r>
        <w:rPr>
          <w:sz w:val="20"/>
          <w:szCs w:val="20"/>
        </w:rPr>
        <w:t>We have incurred $Nil in research and development expenditures over the last two fiscal years.</w:t>
      </w:r>
    </w:p>
    <w:p w14:paraId="0783E0E4" w14:textId="77777777" w:rsidR="00000000" w:rsidRDefault="007E65A2">
      <w:pPr>
        <w:pStyle w:val="a3"/>
        <w:spacing w:before="0" w:beforeAutospacing="0" w:after="0" w:afterAutospacing="0"/>
        <w:jc w:val="both"/>
        <w:divId w:val="911279972"/>
        <w:rPr>
          <w:sz w:val="20"/>
          <w:szCs w:val="20"/>
        </w:rPr>
      </w:pPr>
      <w:r>
        <w:rPr>
          <w:sz w:val="20"/>
          <w:szCs w:val="20"/>
        </w:rPr>
        <w:t> </w:t>
      </w:r>
    </w:p>
    <w:p w14:paraId="69573AC8" w14:textId="77777777" w:rsidR="00000000" w:rsidRDefault="007E65A2">
      <w:pPr>
        <w:pStyle w:val="a3"/>
        <w:spacing w:before="0" w:beforeAutospacing="0" w:after="0" w:afterAutospacing="0"/>
        <w:jc w:val="both"/>
        <w:divId w:val="911279972"/>
        <w:rPr>
          <w:sz w:val="20"/>
          <w:szCs w:val="20"/>
        </w:rPr>
      </w:pPr>
      <w:r>
        <w:rPr>
          <w:b/>
          <w:bCs/>
          <w:sz w:val="20"/>
          <w:szCs w:val="20"/>
        </w:rPr>
        <w:t>Intellectual Property</w:t>
      </w:r>
    </w:p>
    <w:p w14:paraId="5276EE16" w14:textId="77777777" w:rsidR="00000000" w:rsidRDefault="007E65A2">
      <w:pPr>
        <w:pStyle w:val="a3"/>
        <w:spacing w:before="0" w:beforeAutospacing="0" w:after="0" w:afterAutospacing="0"/>
        <w:jc w:val="both"/>
        <w:divId w:val="911279972"/>
        <w:rPr>
          <w:sz w:val="20"/>
          <w:szCs w:val="20"/>
        </w:rPr>
      </w:pPr>
      <w:r>
        <w:rPr>
          <w:sz w:val="20"/>
          <w:szCs w:val="20"/>
        </w:rPr>
        <w:t> </w:t>
      </w:r>
    </w:p>
    <w:p w14:paraId="37989D41" w14:textId="77777777" w:rsidR="00000000" w:rsidRDefault="007E65A2">
      <w:pPr>
        <w:pStyle w:val="a3"/>
        <w:spacing w:before="0" w:beforeAutospacing="0" w:after="0" w:afterAutospacing="0"/>
        <w:jc w:val="both"/>
        <w:divId w:val="911279972"/>
        <w:rPr>
          <w:sz w:val="20"/>
          <w:szCs w:val="20"/>
        </w:rPr>
      </w:pPr>
      <w:r>
        <w:rPr>
          <w:sz w:val="20"/>
          <w:szCs w:val="20"/>
        </w:rPr>
        <w:t>Our company currently has no patents or trademarks on our brand name and we have not and do not intend to seek protection</w:t>
      </w:r>
      <w:r>
        <w:rPr>
          <w:sz w:val="20"/>
          <w:szCs w:val="20"/>
        </w:rPr>
        <w:t xml:space="preserve"> for our brand name or our mobile applications at this time; however, as business develops and operations continue, it may seek such protection. Despite efforts to protect our proprietary rights, such as our brand and service names, since we have no patent</w:t>
      </w:r>
      <w:r>
        <w:rPr>
          <w:sz w:val="20"/>
          <w:szCs w:val="20"/>
        </w:rPr>
        <w:t xml:space="preserve"> or trademark rights unauthorized persons may attempt to copy aspects of our company business, including our web site design, services, product information and sales mechanics or to obtain and use information that we regard as proprietary. Any encroachment</w:t>
      </w:r>
      <w:r>
        <w:rPr>
          <w:sz w:val="20"/>
          <w:szCs w:val="20"/>
        </w:rPr>
        <w:t xml:space="preserve"> upon our company’s proprietary information, including the unauthorized use of our brand name, the use of a similar name by a competing company or a lawsuit initiated against us for infringement upon another company’s proprietary information or improper us</w:t>
      </w:r>
      <w:r>
        <w:rPr>
          <w:sz w:val="20"/>
          <w:szCs w:val="20"/>
        </w:rPr>
        <w:t>e of their trademark, may affect our ability to create brand name recognition, cause customer confusion and/or have a detrimental effect on our business. Litigation or proceedings before the U.S. or International Patent and Trademark Offices may be necessa</w:t>
      </w:r>
      <w:r>
        <w:rPr>
          <w:sz w:val="20"/>
          <w:szCs w:val="20"/>
        </w:rPr>
        <w:t>ry in the future to enforce our intellectual property rights, to protect our trade secrets and domain name and/or to determine the validity and scope of the proprietary rights of others. Any such litigation or adverse proceeding could result in substantial</w:t>
      </w:r>
      <w:r>
        <w:rPr>
          <w:sz w:val="20"/>
          <w:szCs w:val="20"/>
        </w:rPr>
        <w:t xml:space="preserve"> costs and diversion of resources and could seriously harm our business operations and/or results of operations.</w:t>
      </w:r>
    </w:p>
    <w:p w14:paraId="74D5A997"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11FA29D" w14:textId="77777777">
        <w:trPr>
          <w:divId w:val="911279972"/>
          <w:tblCellSpacing w:w="0" w:type="dxa"/>
        </w:trPr>
        <w:tc>
          <w:tcPr>
            <w:tcW w:w="0" w:type="auto"/>
            <w:vAlign w:val="center"/>
            <w:hideMark/>
          </w:tcPr>
          <w:p w14:paraId="43D80409" w14:textId="77777777" w:rsidR="00000000" w:rsidRDefault="007E65A2">
            <w:pPr>
              <w:rPr>
                <w:rFonts w:eastAsia="Times New Roman"/>
                <w:sz w:val="20"/>
                <w:szCs w:val="20"/>
              </w:rPr>
            </w:pPr>
            <w:r>
              <w:rPr>
                <w:rFonts w:eastAsia="Times New Roman"/>
                <w:sz w:val="20"/>
                <w:szCs w:val="20"/>
              </w:rPr>
              <w:t> </w:t>
            </w:r>
          </w:p>
        </w:tc>
      </w:tr>
      <w:tr w:rsidR="00000000" w14:paraId="47719C6B" w14:textId="77777777">
        <w:trPr>
          <w:divId w:val="911279972"/>
          <w:tblCellSpacing w:w="0" w:type="dxa"/>
        </w:trPr>
        <w:tc>
          <w:tcPr>
            <w:tcW w:w="0" w:type="auto"/>
            <w:tcBorders>
              <w:bottom w:val="single" w:sz="6" w:space="0" w:color="000000"/>
            </w:tcBorders>
            <w:vAlign w:val="center"/>
            <w:hideMark/>
          </w:tcPr>
          <w:p w14:paraId="45AE369A" w14:textId="77777777" w:rsidR="00000000" w:rsidRDefault="007E65A2">
            <w:pPr>
              <w:jc w:val="center"/>
              <w:rPr>
                <w:rFonts w:eastAsia="Times New Roman"/>
                <w:sz w:val="20"/>
                <w:szCs w:val="20"/>
              </w:rPr>
            </w:pPr>
            <w:r>
              <w:rPr>
                <w:rFonts w:eastAsia="Times New Roman"/>
                <w:sz w:val="20"/>
                <w:szCs w:val="20"/>
              </w:rPr>
              <w:t>6</w:t>
            </w:r>
          </w:p>
        </w:tc>
      </w:tr>
      <w:tr w:rsidR="00000000" w14:paraId="1B35866C" w14:textId="77777777">
        <w:trPr>
          <w:divId w:val="911279972"/>
          <w:tblCellSpacing w:w="0" w:type="dxa"/>
        </w:trPr>
        <w:tc>
          <w:tcPr>
            <w:tcW w:w="0" w:type="auto"/>
            <w:vAlign w:val="center"/>
            <w:hideMark/>
          </w:tcPr>
          <w:p w14:paraId="6C8A92FB" w14:textId="77777777" w:rsidR="00000000" w:rsidRDefault="007E65A2">
            <w:pPr>
              <w:rPr>
                <w:rFonts w:eastAsia="Times New Roman"/>
                <w:sz w:val="20"/>
                <w:szCs w:val="20"/>
              </w:rPr>
            </w:pPr>
            <w:r>
              <w:rPr>
                <w:rFonts w:eastAsia="Times New Roman"/>
                <w:sz w:val="20"/>
                <w:szCs w:val="20"/>
              </w:rPr>
              <w:t> </w:t>
            </w:r>
          </w:p>
        </w:tc>
      </w:tr>
      <w:tr w:rsidR="00000000" w14:paraId="1862F096" w14:textId="77777777">
        <w:trPr>
          <w:divId w:val="911279972"/>
          <w:tblCellSpacing w:w="0" w:type="dxa"/>
        </w:trPr>
        <w:tc>
          <w:tcPr>
            <w:tcW w:w="0" w:type="auto"/>
            <w:vAlign w:val="center"/>
            <w:hideMark/>
          </w:tcPr>
          <w:p w14:paraId="6F728B9D"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26B4695C" w14:textId="77777777" w:rsidR="00000000" w:rsidRDefault="007E65A2">
      <w:pPr>
        <w:pStyle w:val="a3"/>
        <w:spacing w:before="0" w:beforeAutospacing="0" w:after="0" w:afterAutospacing="0"/>
        <w:jc w:val="both"/>
        <w:divId w:val="911279972"/>
        <w:rPr>
          <w:sz w:val="20"/>
          <w:szCs w:val="20"/>
        </w:rPr>
      </w:pPr>
      <w:r>
        <w:rPr>
          <w:sz w:val="20"/>
          <w:szCs w:val="20"/>
        </w:rPr>
        <w:t> </w:t>
      </w:r>
    </w:p>
    <w:p w14:paraId="723AB11B" w14:textId="77777777" w:rsidR="00000000" w:rsidRDefault="007E65A2">
      <w:pPr>
        <w:pStyle w:val="a3"/>
        <w:spacing w:before="0" w:beforeAutospacing="0" w:after="0" w:afterAutospacing="0"/>
        <w:jc w:val="both"/>
        <w:divId w:val="911279972"/>
        <w:rPr>
          <w:sz w:val="20"/>
          <w:szCs w:val="20"/>
        </w:rPr>
      </w:pPr>
      <w:r>
        <w:rPr>
          <w:sz w:val="20"/>
          <w:szCs w:val="20"/>
        </w:rPr>
        <w:t>Our company does not currently have any licenses to use any third-party intellectual property.</w:t>
      </w:r>
    </w:p>
    <w:p w14:paraId="50A94BF9" w14:textId="77777777" w:rsidR="00000000" w:rsidRDefault="007E65A2">
      <w:pPr>
        <w:pStyle w:val="a3"/>
        <w:spacing w:before="0" w:beforeAutospacing="0" w:after="0" w:afterAutospacing="0"/>
        <w:jc w:val="both"/>
        <w:divId w:val="911279972"/>
        <w:rPr>
          <w:sz w:val="20"/>
          <w:szCs w:val="20"/>
        </w:rPr>
      </w:pPr>
      <w:r>
        <w:rPr>
          <w:sz w:val="20"/>
          <w:szCs w:val="20"/>
        </w:rPr>
        <w:t> </w:t>
      </w:r>
    </w:p>
    <w:p w14:paraId="09D47058" w14:textId="77777777" w:rsidR="00000000" w:rsidRDefault="007E65A2">
      <w:pPr>
        <w:pStyle w:val="a3"/>
        <w:spacing w:before="0" w:beforeAutospacing="0" w:after="0" w:afterAutospacing="0"/>
        <w:jc w:val="both"/>
        <w:divId w:val="911279972"/>
        <w:rPr>
          <w:sz w:val="20"/>
          <w:szCs w:val="20"/>
        </w:rPr>
      </w:pPr>
      <w:r>
        <w:rPr>
          <w:b/>
          <w:bCs/>
          <w:sz w:val="20"/>
          <w:szCs w:val="20"/>
        </w:rPr>
        <w:t>Healthcare Products and Services</w:t>
      </w:r>
    </w:p>
    <w:p w14:paraId="35E68E20" w14:textId="77777777" w:rsidR="00000000" w:rsidRDefault="007E65A2">
      <w:pPr>
        <w:pStyle w:val="a3"/>
        <w:spacing w:before="0" w:beforeAutospacing="0" w:after="0" w:afterAutospacing="0"/>
        <w:jc w:val="both"/>
        <w:divId w:val="911279972"/>
        <w:rPr>
          <w:sz w:val="20"/>
          <w:szCs w:val="20"/>
        </w:rPr>
      </w:pPr>
      <w:r>
        <w:rPr>
          <w:sz w:val="20"/>
          <w:szCs w:val="20"/>
        </w:rPr>
        <w:t> </w:t>
      </w:r>
    </w:p>
    <w:p w14:paraId="68E73744" w14:textId="77777777" w:rsidR="00000000" w:rsidRDefault="007E65A2">
      <w:pPr>
        <w:pStyle w:val="a3"/>
        <w:spacing w:before="0" w:beforeAutospacing="0" w:after="0" w:afterAutospacing="0"/>
        <w:jc w:val="both"/>
        <w:divId w:val="911279972"/>
        <w:rPr>
          <w:sz w:val="20"/>
          <w:szCs w:val="20"/>
        </w:rPr>
      </w:pPr>
      <w:r>
        <w:rPr>
          <w:sz w:val="20"/>
          <w:szCs w:val="20"/>
        </w:rPr>
        <w:t>After investigating the healthcare markets in early 2017, it was determined that the market conditions were right for our en</w:t>
      </w:r>
      <w:r>
        <w:rPr>
          <w:sz w:val="20"/>
          <w:szCs w:val="20"/>
        </w:rPr>
        <w:t>try into blood lab, toxicology and genetic testing service industry, with a focus on marketing services using third party providers. In our investigation we found that most patients are frustrated as to the time it takes to get lab results back, especially</w:t>
      </w:r>
      <w:r>
        <w:rPr>
          <w:sz w:val="20"/>
          <w:szCs w:val="20"/>
        </w:rPr>
        <w:t xml:space="preserve"> when the diagnosis is dependent on these results.</w:t>
      </w:r>
    </w:p>
    <w:p w14:paraId="09401D26" w14:textId="77777777" w:rsidR="00000000" w:rsidRDefault="007E65A2">
      <w:pPr>
        <w:pStyle w:val="a3"/>
        <w:spacing w:before="0" w:beforeAutospacing="0" w:after="0" w:afterAutospacing="0"/>
        <w:jc w:val="both"/>
        <w:divId w:val="911279972"/>
        <w:rPr>
          <w:sz w:val="20"/>
          <w:szCs w:val="20"/>
        </w:rPr>
      </w:pPr>
      <w:r>
        <w:rPr>
          <w:sz w:val="20"/>
          <w:szCs w:val="20"/>
        </w:rPr>
        <w:t> </w:t>
      </w:r>
    </w:p>
    <w:p w14:paraId="7BAAEE6D" w14:textId="77777777" w:rsidR="00000000" w:rsidRDefault="007E65A2">
      <w:pPr>
        <w:pStyle w:val="a3"/>
        <w:spacing w:before="0" w:beforeAutospacing="0" w:after="0" w:afterAutospacing="0"/>
        <w:jc w:val="both"/>
        <w:divId w:val="911279972"/>
        <w:rPr>
          <w:sz w:val="20"/>
          <w:szCs w:val="20"/>
        </w:rPr>
      </w:pPr>
      <w:r>
        <w:rPr>
          <w:sz w:val="20"/>
          <w:szCs w:val="20"/>
        </w:rPr>
        <w:t>Our vision is to become the leading marketing and service company in the industry. Now that is a bold statement and how do we get there. People want results. People also want answers quicker especially w</w:t>
      </w:r>
      <w:r>
        <w:rPr>
          <w:sz w:val="20"/>
          <w:szCs w:val="20"/>
        </w:rPr>
        <w:t>hen it comes to their wellbeing. Our strategy is to work as a liaison between the Doctor and the lab itself. By developing strong personal relationships with these groups.</w:t>
      </w:r>
    </w:p>
    <w:p w14:paraId="6789D191" w14:textId="77777777" w:rsidR="00000000" w:rsidRDefault="007E65A2">
      <w:pPr>
        <w:pStyle w:val="a3"/>
        <w:spacing w:before="0" w:beforeAutospacing="0" w:after="0" w:afterAutospacing="0"/>
        <w:jc w:val="both"/>
        <w:divId w:val="911279972"/>
        <w:rPr>
          <w:sz w:val="20"/>
          <w:szCs w:val="20"/>
        </w:rPr>
      </w:pPr>
      <w:r>
        <w:rPr>
          <w:sz w:val="20"/>
          <w:szCs w:val="20"/>
        </w:rPr>
        <w:t> </w:t>
      </w:r>
    </w:p>
    <w:p w14:paraId="2D399F30" w14:textId="77777777" w:rsidR="00000000" w:rsidRDefault="007E65A2">
      <w:pPr>
        <w:pStyle w:val="a3"/>
        <w:spacing w:before="0" w:beforeAutospacing="0" w:after="0" w:afterAutospacing="0"/>
        <w:jc w:val="both"/>
        <w:divId w:val="911279972"/>
        <w:rPr>
          <w:sz w:val="20"/>
          <w:szCs w:val="20"/>
        </w:rPr>
      </w:pPr>
      <w:r>
        <w:rPr>
          <w:sz w:val="20"/>
          <w:szCs w:val="20"/>
        </w:rPr>
        <w:t xml:space="preserve">The diagnostic information service provider market is estimated by Forbes to be a </w:t>
      </w:r>
      <w:r>
        <w:rPr>
          <w:sz w:val="20"/>
          <w:szCs w:val="20"/>
        </w:rPr>
        <w:t>$55Billion worldwide market.</w:t>
      </w:r>
    </w:p>
    <w:p w14:paraId="169CC36A" w14:textId="77777777" w:rsidR="00000000" w:rsidRDefault="007E65A2">
      <w:pPr>
        <w:pStyle w:val="a3"/>
        <w:spacing w:before="0" w:beforeAutospacing="0" w:after="0" w:afterAutospacing="0"/>
        <w:jc w:val="both"/>
        <w:divId w:val="911279972"/>
        <w:rPr>
          <w:sz w:val="20"/>
          <w:szCs w:val="20"/>
        </w:rPr>
      </w:pPr>
      <w:r>
        <w:rPr>
          <w:sz w:val="20"/>
          <w:szCs w:val="20"/>
        </w:rPr>
        <w:t> </w:t>
      </w:r>
    </w:p>
    <w:p w14:paraId="17017E38" w14:textId="77777777" w:rsidR="00000000" w:rsidRDefault="007E65A2">
      <w:pPr>
        <w:jc w:val="both"/>
        <w:divId w:val="911279972"/>
        <w:rPr>
          <w:rFonts w:eastAsia="Times New Roman"/>
          <w:b/>
          <w:bCs/>
          <w:sz w:val="20"/>
          <w:szCs w:val="20"/>
        </w:rPr>
      </w:pPr>
      <w:r>
        <w:rPr>
          <w:rFonts w:eastAsia="Times New Roman"/>
          <w:sz w:val="20"/>
          <w:szCs w:val="20"/>
        </w:rPr>
        <w:t xml:space="preserve">The primary customers </w:t>
      </w:r>
      <w:r>
        <w:rPr>
          <w:rFonts w:eastAsia="Times New Roman"/>
          <w:b/>
          <w:bCs/>
          <w:sz w:val="20"/>
          <w:szCs w:val="20"/>
        </w:rPr>
        <w:t xml:space="preserve">for these diagnostic information services are: </w:t>
      </w:r>
    </w:p>
    <w:p w14:paraId="2F53F37A"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tbl>
      <w:tblPr>
        <w:tblW w:w="5000" w:type="pct"/>
        <w:jc w:val="center"/>
        <w:tblCellSpacing w:w="0" w:type="dxa"/>
        <w:tblBorders>
          <w:bottom w:val="single" w:sz="6" w:space="0" w:color="000000"/>
          <w:right w:val="single" w:sz="6" w:space="0" w:color="000000"/>
        </w:tblBorders>
        <w:shd w:val="clear" w:color="auto" w:fill="FFFFFF"/>
        <w:tblCellMar>
          <w:top w:w="24" w:type="dxa"/>
          <w:left w:w="24" w:type="dxa"/>
          <w:bottom w:w="24" w:type="dxa"/>
          <w:right w:w="24" w:type="dxa"/>
        </w:tblCellMar>
        <w:tblLook w:val="04A0" w:firstRow="1" w:lastRow="0" w:firstColumn="1" w:lastColumn="0" w:noHBand="0" w:noVBand="1"/>
      </w:tblPr>
      <w:tblGrid>
        <w:gridCol w:w="1063"/>
        <w:gridCol w:w="7227"/>
      </w:tblGrid>
      <w:tr w:rsidR="00000000" w14:paraId="2D592B4D" w14:textId="77777777">
        <w:trPr>
          <w:divId w:val="911279972"/>
          <w:trHeight w:val="180"/>
          <w:tblCellSpacing w:w="0" w:type="dxa"/>
          <w:jc w:val="center"/>
        </w:trPr>
        <w:tc>
          <w:tcPr>
            <w:tcW w:w="500" w:type="pct"/>
            <w:tcBorders>
              <w:top w:val="single" w:sz="6" w:space="0" w:color="000000"/>
              <w:left w:val="single" w:sz="6" w:space="0" w:color="000000"/>
            </w:tcBorders>
            <w:shd w:val="clear" w:color="auto" w:fill="FFFFFF"/>
            <w:hideMark/>
          </w:tcPr>
          <w:p w14:paraId="42B04D96" w14:textId="77777777" w:rsidR="00000000" w:rsidRDefault="007E65A2">
            <w:pPr>
              <w:pStyle w:val="a3"/>
              <w:spacing w:before="0" w:beforeAutospacing="0" w:after="0" w:afterAutospacing="0"/>
              <w:rPr>
                <w:sz w:val="20"/>
                <w:szCs w:val="20"/>
              </w:rPr>
            </w:pPr>
            <w:r>
              <w:rPr>
                <w:sz w:val="20"/>
                <w:szCs w:val="20"/>
              </w:rPr>
              <w:t>Hospitals</w:t>
            </w:r>
          </w:p>
        </w:tc>
        <w:tc>
          <w:tcPr>
            <w:tcW w:w="0" w:type="auto"/>
            <w:tcBorders>
              <w:top w:val="single" w:sz="6" w:space="0" w:color="000000"/>
              <w:left w:val="single" w:sz="6" w:space="0" w:color="000000"/>
            </w:tcBorders>
            <w:shd w:val="clear" w:color="auto" w:fill="FFFFFF"/>
            <w:hideMark/>
          </w:tcPr>
          <w:p w14:paraId="009D4B2A" w14:textId="77777777" w:rsidR="00000000" w:rsidRDefault="007E65A2">
            <w:pPr>
              <w:pStyle w:val="a3"/>
              <w:spacing w:before="0" w:beforeAutospacing="0" w:after="0" w:afterAutospacing="0"/>
              <w:jc w:val="both"/>
              <w:rPr>
                <w:sz w:val="20"/>
                <w:szCs w:val="20"/>
              </w:rPr>
            </w:pPr>
            <w:r>
              <w:rPr>
                <w:sz w:val="20"/>
                <w:szCs w:val="20"/>
              </w:rPr>
              <w:t>Hospitals generally maintain an on-site laboratory to perform the significant majority of clinical testing for their patients and refer esoteri</w:t>
            </w:r>
            <w:r>
              <w:rPr>
                <w:sz w:val="20"/>
                <w:szCs w:val="20"/>
              </w:rPr>
              <w:t>c testing to outside service providers. They are continuing to come under pricing pressure to outsource more of their basic testing based on the growing efficiency of outside labs.</w:t>
            </w:r>
          </w:p>
        </w:tc>
      </w:tr>
      <w:tr w:rsidR="00000000" w14:paraId="797E7A93" w14:textId="77777777">
        <w:trPr>
          <w:divId w:val="911279972"/>
          <w:trHeight w:val="180"/>
          <w:tblCellSpacing w:w="0" w:type="dxa"/>
          <w:jc w:val="center"/>
        </w:trPr>
        <w:tc>
          <w:tcPr>
            <w:tcW w:w="0" w:type="auto"/>
            <w:tcBorders>
              <w:top w:val="single" w:sz="6" w:space="0" w:color="000000"/>
              <w:left w:val="single" w:sz="6" w:space="0" w:color="000000"/>
            </w:tcBorders>
            <w:shd w:val="clear" w:color="auto" w:fill="FFFFFF"/>
            <w:hideMark/>
          </w:tcPr>
          <w:p w14:paraId="50DF06C9" w14:textId="77777777" w:rsidR="00000000" w:rsidRDefault="007E65A2">
            <w:pPr>
              <w:pStyle w:val="a3"/>
              <w:spacing w:before="0" w:beforeAutospacing="0" w:after="0" w:afterAutospacing="0"/>
              <w:rPr>
                <w:sz w:val="20"/>
                <w:szCs w:val="20"/>
              </w:rPr>
            </w:pPr>
            <w:r>
              <w:rPr>
                <w:sz w:val="20"/>
                <w:szCs w:val="20"/>
              </w:rPr>
              <w:t>Physicians</w:t>
            </w:r>
          </w:p>
        </w:tc>
        <w:tc>
          <w:tcPr>
            <w:tcW w:w="0" w:type="auto"/>
            <w:tcBorders>
              <w:top w:val="single" w:sz="6" w:space="0" w:color="000000"/>
              <w:left w:val="single" w:sz="6" w:space="0" w:color="000000"/>
            </w:tcBorders>
            <w:shd w:val="clear" w:color="auto" w:fill="FFFFFF"/>
            <w:hideMark/>
          </w:tcPr>
          <w:p w14:paraId="17141BE2" w14:textId="77777777" w:rsidR="00000000" w:rsidRDefault="007E65A2">
            <w:pPr>
              <w:pStyle w:val="a3"/>
              <w:spacing w:before="0" w:beforeAutospacing="0" w:after="0" w:afterAutospacing="0"/>
              <w:jc w:val="both"/>
              <w:rPr>
                <w:sz w:val="20"/>
                <w:szCs w:val="20"/>
              </w:rPr>
            </w:pPr>
            <w:r>
              <w:rPr>
                <w:sz w:val="20"/>
                <w:szCs w:val="20"/>
              </w:rPr>
              <w:t>Independent physician offices that provide a more fully stocked portfolio of care</w:t>
            </w:r>
          </w:p>
        </w:tc>
      </w:tr>
      <w:tr w:rsidR="00000000" w14:paraId="738854B8" w14:textId="77777777">
        <w:trPr>
          <w:divId w:val="911279972"/>
          <w:trHeight w:val="180"/>
          <w:tblCellSpacing w:w="0" w:type="dxa"/>
          <w:jc w:val="center"/>
        </w:trPr>
        <w:tc>
          <w:tcPr>
            <w:tcW w:w="0" w:type="auto"/>
            <w:tcBorders>
              <w:top w:val="single" w:sz="6" w:space="0" w:color="000000"/>
              <w:left w:val="single" w:sz="6" w:space="0" w:color="000000"/>
            </w:tcBorders>
            <w:shd w:val="clear" w:color="auto" w:fill="FFFFFF"/>
            <w:hideMark/>
          </w:tcPr>
          <w:p w14:paraId="04315291" w14:textId="77777777" w:rsidR="00000000" w:rsidRDefault="007E65A2">
            <w:pPr>
              <w:pStyle w:val="a3"/>
              <w:spacing w:before="0" w:beforeAutospacing="0" w:after="0" w:afterAutospacing="0"/>
              <w:rPr>
                <w:sz w:val="20"/>
                <w:szCs w:val="20"/>
              </w:rPr>
            </w:pPr>
            <w:r>
              <w:rPr>
                <w:sz w:val="20"/>
                <w:szCs w:val="20"/>
              </w:rPr>
              <w:t>Clinicians</w:t>
            </w:r>
          </w:p>
        </w:tc>
        <w:tc>
          <w:tcPr>
            <w:tcW w:w="0" w:type="auto"/>
            <w:tcBorders>
              <w:top w:val="single" w:sz="6" w:space="0" w:color="000000"/>
              <w:left w:val="single" w:sz="6" w:space="0" w:color="000000"/>
            </w:tcBorders>
            <w:shd w:val="clear" w:color="auto" w:fill="FFFFFF"/>
            <w:hideMark/>
          </w:tcPr>
          <w:p w14:paraId="73392D36" w14:textId="77777777" w:rsidR="00000000" w:rsidRDefault="007E65A2">
            <w:pPr>
              <w:pStyle w:val="a3"/>
              <w:spacing w:before="0" w:beforeAutospacing="0" w:after="0" w:afterAutospacing="0"/>
              <w:jc w:val="both"/>
              <w:rPr>
                <w:sz w:val="20"/>
                <w:szCs w:val="20"/>
              </w:rPr>
            </w:pPr>
            <w:r>
              <w:rPr>
                <w:sz w:val="20"/>
                <w:szCs w:val="20"/>
              </w:rPr>
              <w:t xml:space="preserve">Clinicians, including both primary care physicians and specialists, requiring diagnostic information services for patients are the primary referral source of our </w:t>
            </w:r>
            <w:r>
              <w:rPr>
                <w:sz w:val="20"/>
                <w:szCs w:val="20"/>
              </w:rPr>
              <w:t>services. Clinicians determine which laboratory to recommend or use based on a variety of factors</w:t>
            </w:r>
          </w:p>
        </w:tc>
      </w:tr>
      <w:tr w:rsidR="00000000" w14:paraId="304AE389" w14:textId="77777777">
        <w:trPr>
          <w:divId w:val="911279972"/>
          <w:trHeight w:val="180"/>
          <w:tblCellSpacing w:w="0" w:type="dxa"/>
          <w:jc w:val="center"/>
        </w:trPr>
        <w:tc>
          <w:tcPr>
            <w:tcW w:w="0" w:type="auto"/>
            <w:tcBorders>
              <w:top w:val="single" w:sz="6" w:space="0" w:color="000000"/>
              <w:left w:val="single" w:sz="6" w:space="0" w:color="000000"/>
            </w:tcBorders>
            <w:shd w:val="clear" w:color="auto" w:fill="FFFFFF"/>
            <w:hideMark/>
          </w:tcPr>
          <w:p w14:paraId="50270A75" w14:textId="77777777" w:rsidR="00000000" w:rsidRDefault="007E65A2">
            <w:pPr>
              <w:pStyle w:val="a3"/>
              <w:spacing w:before="0" w:beforeAutospacing="0" w:after="0" w:afterAutospacing="0"/>
              <w:rPr>
                <w:sz w:val="20"/>
                <w:szCs w:val="20"/>
              </w:rPr>
            </w:pPr>
            <w:r>
              <w:rPr>
                <w:sz w:val="20"/>
                <w:szCs w:val="20"/>
              </w:rPr>
              <w:t>Employers</w:t>
            </w:r>
          </w:p>
        </w:tc>
        <w:tc>
          <w:tcPr>
            <w:tcW w:w="0" w:type="auto"/>
            <w:tcBorders>
              <w:top w:val="single" w:sz="6" w:space="0" w:color="000000"/>
              <w:left w:val="single" w:sz="6" w:space="0" w:color="000000"/>
            </w:tcBorders>
            <w:shd w:val="clear" w:color="auto" w:fill="FFFFFF"/>
            <w:hideMark/>
          </w:tcPr>
          <w:p w14:paraId="04C90ED6" w14:textId="77777777" w:rsidR="00000000" w:rsidRDefault="007E65A2">
            <w:pPr>
              <w:pStyle w:val="a3"/>
              <w:spacing w:before="0" w:beforeAutospacing="0" w:after="0" w:afterAutospacing="0"/>
              <w:jc w:val="both"/>
              <w:rPr>
                <w:sz w:val="20"/>
                <w:szCs w:val="20"/>
              </w:rPr>
            </w:pPr>
            <w:r>
              <w:rPr>
                <w:sz w:val="20"/>
                <w:szCs w:val="20"/>
              </w:rPr>
              <w:t>Employers use tests for drugs of abuse to determine an individual’s employability and his or her “fitness for duty.” Companies with high employee t</w:t>
            </w:r>
            <w:r>
              <w:rPr>
                <w:sz w:val="20"/>
                <w:szCs w:val="20"/>
              </w:rPr>
              <w:t>urnover, safety conscious environments or regulatory testing requirements provide the highest volumes of testing.</w:t>
            </w:r>
          </w:p>
        </w:tc>
      </w:tr>
      <w:tr w:rsidR="00000000" w14:paraId="00260A35" w14:textId="77777777">
        <w:trPr>
          <w:divId w:val="911279972"/>
          <w:trHeight w:val="180"/>
          <w:tblCellSpacing w:w="0" w:type="dxa"/>
          <w:jc w:val="center"/>
        </w:trPr>
        <w:tc>
          <w:tcPr>
            <w:tcW w:w="0" w:type="auto"/>
            <w:tcBorders>
              <w:top w:val="single" w:sz="6" w:space="0" w:color="000000"/>
              <w:left w:val="single" w:sz="6" w:space="0" w:color="000000"/>
            </w:tcBorders>
            <w:shd w:val="clear" w:color="auto" w:fill="FFFFFF"/>
            <w:hideMark/>
          </w:tcPr>
          <w:p w14:paraId="4407D6A9" w14:textId="77777777" w:rsidR="00000000" w:rsidRDefault="007E65A2">
            <w:pPr>
              <w:pStyle w:val="a3"/>
              <w:spacing w:before="0" w:beforeAutospacing="0" w:after="0" w:afterAutospacing="0"/>
              <w:rPr>
                <w:sz w:val="20"/>
                <w:szCs w:val="20"/>
              </w:rPr>
            </w:pPr>
            <w:r>
              <w:rPr>
                <w:sz w:val="20"/>
                <w:szCs w:val="20"/>
              </w:rPr>
              <w:t>State &amp; Federal Government</w:t>
            </w:r>
          </w:p>
        </w:tc>
        <w:tc>
          <w:tcPr>
            <w:tcW w:w="0" w:type="auto"/>
            <w:tcBorders>
              <w:top w:val="single" w:sz="6" w:space="0" w:color="000000"/>
              <w:left w:val="single" w:sz="6" w:space="0" w:color="000000"/>
            </w:tcBorders>
            <w:shd w:val="clear" w:color="auto" w:fill="FFFFFF"/>
            <w:hideMark/>
          </w:tcPr>
          <w:p w14:paraId="7BC2EDB4" w14:textId="77777777" w:rsidR="00000000" w:rsidRDefault="007E65A2">
            <w:pPr>
              <w:pStyle w:val="a3"/>
              <w:spacing w:before="0" w:beforeAutospacing="0" w:after="0" w:afterAutospacing="0"/>
              <w:jc w:val="both"/>
              <w:rPr>
                <w:sz w:val="20"/>
                <w:szCs w:val="20"/>
              </w:rPr>
            </w:pPr>
            <w:r>
              <w:rPr>
                <w:sz w:val="20"/>
                <w:szCs w:val="20"/>
              </w:rPr>
              <w:t>Entities such as prisons, hospitals, hospices and/or psychiatric wards that are funded by state or federal agencie</w:t>
            </w:r>
            <w:r>
              <w:rPr>
                <w:sz w:val="20"/>
                <w:szCs w:val="20"/>
              </w:rPr>
              <w:t>s.</w:t>
            </w:r>
          </w:p>
        </w:tc>
      </w:tr>
      <w:tr w:rsidR="00000000" w14:paraId="059DBA24" w14:textId="77777777">
        <w:trPr>
          <w:divId w:val="911279972"/>
          <w:trHeight w:val="180"/>
          <w:tblCellSpacing w:w="0" w:type="dxa"/>
          <w:jc w:val="center"/>
        </w:trPr>
        <w:tc>
          <w:tcPr>
            <w:tcW w:w="0" w:type="auto"/>
            <w:tcBorders>
              <w:top w:val="single" w:sz="6" w:space="0" w:color="000000"/>
              <w:left w:val="single" w:sz="6" w:space="0" w:color="000000"/>
            </w:tcBorders>
            <w:shd w:val="clear" w:color="auto" w:fill="FFFFFF"/>
            <w:hideMark/>
          </w:tcPr>
          <w:p w14:paraId="4E623173" w14:textId="77777777" w:rsidR="00000000" w:rsidRDefault="007E65A2">
            <w:pPr>
              <w:pStyle w:val="a3"/>
              <w:spacing w:before="0" w:beforeAutospacing="0" w:after="0" w:afterAutospacing="0"/>
              <w:rPr>
                <w:sz w:val="20"/>
                <w:szCs w:val="20"/>
              </w:rPr>
            </w:pPr>
            <w:r>
              <w:rPr>
                <w:sz w:val="20"/>
                <w:szCs w:val="20"/>
              </w:rPr>
              <w:t>ACOs and IDNs</w:t>
            </w:r>
          </w:p>
        </w:tc>
        <w:tc>
          <w:tcPr>
            <w:tcW w:w="0" w:type="auto"/>
            <w:tcBorders>
              <w:top w:val="single" w:sz="6" w:space="0" w:color="000000"/>
              <w:left w:val="single" w:sz="6" w:space="0" w:color="000000"/>
            </w:tcBorders>
            <w:shd w:val="clear" w:color="auto" w:fill="FFFFFF"/>
            <w:hideMark/>
          </w:tcPr>
          <w:p w14:paraId="280FEA56" w14:textId="77777777" w:rsidR="00000000" w:rsidRDefault="007E65A2">
            <w:pPr>
              <w:pStyle w:val="a3"/>
              <w:spacing w:before="0" w:beforeAutospacing="0" w:after="0" w:afterAutospacing="0"/>
              <w:jc w:val="both"/>
              <w:rPr>
                <w:sz w:val="20"/>
                <w:szCs w:val="20"/>
              </w:rPr>
            </w:pPr>
            <w:r>
              <w:rPr>
                <w:sz w:val="20"/>
                <w:szCs w:val="20"/>
              </w:rPr>
              <w:t>An ACO is a network of providers and facilities that share financial risk in providing or arranging for the provision of healthcare. An IDN is a network of providers and facilities working together in providing or arranging for the provis</w:t>
            </w:r>
            <w:r>
              <w:rPr>
                <w:sz w:val="20"/>
                <w:szCs w:val="20"/>
              </w:rPr>
              <w:t>ion of healthcare.</w:t>
            </w:r>
          </w:p>
        </w:tc>
      </w:tr>
    </w:tbl>
    <w:p w14:paraId="0EFAA2D7"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p w14:paraId="4045C894" w14:textId="77777777" w:rsidR="00000000" w:rsidRDefault="007E65A2">
      <w:pPr>
        <w:pStyle w:val="a3"/>
        <w:spacing w:before="0" w:beforeAutospacing="0" w:after="0" w:afterAutospacing="0"/>
        <w:jc w:val="both"/>
        <w:divId w:val="911279972"/>
        <w:rPr>
          <w:b/>
          <w:bCs/>
          <w:sz w:val="20"/>
          <w:szCs w:val="20"/>
        </w:rPr>
      </w:pPr>
      <w:r>
        <w:rPr>
          <w:b/>
          <w:bCs/>
          <w:sz w:val="20"/>
          <w:szCs w:val="20"/>
        </w:rPr>
        <w:t>Competitive Environment</w:t>
      </w:r>
    </w:p>
    <w:p w14:paraId="502CB1A1"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p w14:paraId="5DA73B7D" w14:textId="77777777" w:rsidR="00000000" w:rsidRDefault="007E65A2">
      <w:pPr>
        <w:pStyle w:val="a3"/>
        <w:spacing w:before="0" w:beforeAutospacing="0" w:after="0" w:afterAutospacing="0"/>
        <w:jc w:val="both"/>
        <w:divId w:val="911279972"/>
        <w:rPr>
          <w:sz w:val="20"/>
          <w:szCs w:val="20"/>
        </w:rPr>
      </w:pPr>
      <w:r>
        <w:rPr>
          <w:sz w:val="20"/>
          <w:szCs w:val="20"/>
        </w:rPr>
        <w:t>The diagnostic information service industry is a very fractured market with 2 primary Companies with leading market share. These two Companies (Quest and Lab Corp) have grown through a roll-up strategy that has propelled them to the size they are today. Si</w:t>
      </w:r>
      <w:r>
        <w:rPr>
          <w:sz w:val="20"/>
          <w:szCs w:val="20"/>
        </w:rPr>
        <w:t>nce these larger providers are so focused on improving operational efficiencies from the myriad of acquired smaller providers, we believe that we can capitalize on this lack of focus on the end-user customer by these larger players, which gives us a powerf</w:t>
      </w:r>
      <w:r>
        <w:rPr>
          <w:sz w:val="20"/>
          <w:szCs w:val="20"/>
        </w:rPr>
        <w:t>ul opportunity to make its mark quickly. Additionally, a quarter of the market is served by 5000 other small players. This is also an opportunity for us to capitalize on an opportunity to gather new customers who likely have very little loyalty to their cu</w:t>
      </w:r>
      <w:r>
        <w:rPr>
          <w:sz w:val="20"/>
          <w:szCs w:val="20"/>
        </w:rPr>
        <w:t>rrent provider.</w:t>
      </w:r>
    </w:p>
    <w:p w14:paraId="73A2079E"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B4DC048" w14:textId="77777777">
        <w:trPr>
          <w:divId w:val="911279972"/>
          <w:tblCellSpacing w:w="0" w:type="dxa"/>
        </w:trPr>
        <w:tc>
          <w:tcPr>
            <w:tcW w:w="0" w:type="auto"/>
            <w:vAlign w:val="center"/>
            <w:hideMark/>
          </w:tcPr>
          <w:p w14:paraId="2A0B371B" w14:textId="77777777" w:rsidR="00000000" w:rsidRDefault="007E65A2">
            <w:pPr>
              <w:rPr>
                <w:rFonts w:eastAsia="Times New Roman"/>
                <w:sz w:val="20"/>
                <w:szCs w:val="20"/>
              </w:rPr>
            </w:pPr>
            <w:r>
              <w:rPr>
                <w:rFonts w:eastAsia="Times New Roman"/>
                <w:sz w:val="20"/>
                <w:szCs w:val="20"/>
              </w:rPr>
              <w:t> </w:t>
            </w:r>
          </w:p>
        </w:tc>
      </w:tr>
      <w:tr w:rsidR="00000000" w14:paraId="77DBCC71" w14:textId="77777777">
        <w:trPr>
          <w:divId w:val="911279972"/>
          <w:tblCellSpacing w:w="0" w:type="dxa"/>
        </w:trPr>
        <w:tc>
          <w:tcPr>
            <w:tcW w:w="0" w:type="auto"/>
            <w:tcBorders>
              <w:bottom w:val="single" w:sz="6" w:space="0" w:color="000000"/>
            </w:tcBorders>
            <w:vAlign w:val="center"/>
            <w:hideMark/>
          </w:tcPr>
          <w:p w14:paraId="40D649D8" w14:textId="77777777" w:rsidR="00000000" w:rsidRDefault="007E65A2">
            <w:pPr>
              <w:jc w:val="center"/>
              <w:rPr>
                <w:rFonts w:eastAsia="Times New Roman"/>
                <w:sz w:val="20"/>
                <w:szCs w:val="20"/>
              </w:rPr>
            </w:pPr>
            <w:r>
              <w:rPr>
                <w:rFonts w:eastAsia="Times New Roman"/>
                <w:sz w:val="20"/>
                <w:szCs w:val="20"/>
              </w:rPr>
              <w:t>7</w:t>
            </w:r>
          </w:p>
        </w:tc>
      </w:tr>
      <w:tr w:rsidR="00000000" w14:paraId="78A010D0" w14:textId="77777777">
        <w:trPr>
          <w:divId w:val="911279972"/>
          <w:tblCellSpacing w:w="0" w:type="dxa"/>
        </w:trPr>
        <w:tc>
          <w:tcPr>
            <w:tcW w:w="0" w:type="auto"/>
            <w:vAlign w:val="center"/>
            <w:hideMark/>
          </w:tcPr>
          <w:p w14:paraId="463EF73F" w14:textId="77777777" w:rsidR="00000000" w:rsidRDefault="007E65A2">
            <w:pPr>
              <w:rPr>
                <w:rFonts w:eastAsia="Times New Roman"/>
                <w:sz w:val="20"/>
                <w:szCs w:val="20"/>
              </w:rPr>
            </w:pPr>
            <w:r>
              <w:rPr>
                <w:rFonts w:eastAsia="Times New Roman"/>
                <w:sz w:val="20"/>
                <w:szCs w:val="20"/>
              </w:rPr>
              <w:t> </w:t>
            </w:r>
          </w:p>
        </w:tc>
      </w:tr>
      <w:tr w:rsidR="00000000" w14:paraId="582E95E1" w14:textId="77777777">
        <w:trPr>
          <w:divId w:val="911279972"/>
          <w:tblCellSpacing w:w="0" w:type="dxa"/>
        </w:trPr>
        <w:tc>
          <w:tcPr>
            <w:tcW w:w="0" w:type="auto"/>
            <w:vAlign w:val="center"/>
            <w:hideMark/>
          </w:tcPr>
          <w:p w14:paraId="2FB1EF1A"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0E38C5FD" w14:textId="77777777" w:rsidR="00000000" w:rsidRDefault="007E65A2">
      <w:pPr>
        <w:pStyle w:val="a3"/>
        <w:spacing w:before="0" w:beforeAutospacing="0" w:after="0" w:afterAutospacing="0"/>
        <w:jc w:val="both"/>
        <w:divId w:val="911279972"/>
        <w:rPr>
          <w:sz w:val="20"/>
          <w:szCs w:val="20"/>
        </w:rPr>
      </w:pPr>
      <w:r>
        <w:rPr>
          <w:sz w:val="20"/>
          <w:szCs w:val="20"/>
        </w:rPr>
        <w:t> </w:t>
      </w:r>
    </w:p>
    <w:p w14:paraId="331027F1" w14:textId="77777777" w:rsidR="00000000" w:rsidRDefault="007E65A2">
      <w:pPr>
        <w:pStyle w:val="a3"/>
        <w:spacing w:before="0" w:beforeAutospacing="0" w:after="0" w:afterAutospacing="0"/>
        <w:jc w:val="both"/>
        <w:divId w:val="911279972"/>
        <w:rPr>
          <w:sz w:val="20"/>
          <w:szCs w:val="20"/>
        </w:rPr>
      </w:pPr>
      <w:r>
        <w:rPr>
          <w:sz w:val="20"/>
          <w:szCs w:val="20"/>
        </w:rPr>
        <w:t>The Company’s initial primary diagnostic information service provider is the Diagnostic Group, LLC which owns and manages labs in the Dallas-Fort Worth area. Their lab is an advanced</w:t>
      </w:r>
      <w:r>
        <w:rPr>
          <w:sz w:val="20"/>
          <w:szCs w:val="20"/>
        </w:rPr>
        <w:t xml:space="preserve"> state of the art blood, toxicology and genetic testing laboratory located just outside of the DFW Metroplex in Southlake, TX – and serving customers on a national basis. Their team is comprised of innovative leaders with a combined 35 years of experience </w:t>
      </w:r>
      <w:r>
        <w:rPr>
          <w:sz w:val="20"/>
          <w:szCs w:val="20"/>
        </w:rPr>
        <w:t>in the medical and healthcare industries that have identified a need for superior laboratory services.</w:t>
      </w:r>
    </w:p>
    <w:p w14:paraId="0DD928C3" w14:textId="77777777" w:rsidR="00000000" w:rsidRDefault="007E65A2">
      <w:pPr>
        <w:pStyle w:val="a3"/>
        <w:spacing w:before="0" w:beforeAutospacing="0" w:after="0" w:afterAutospacing="0"/>
        <w:jc w:val="both"/>
        <w:divId w:val="911279972"/>
        <w:rPr>
          <w:sz w:val="20"/>
          <w:szCs w:val="20"/>
        </w:rPr>
      </w:pPr>
      <w:r>
        <w:rPr>
          <w:sz w:val="20"/>
          <w:szCs w:val="20"/>
        </w:rPr>
        <w:t>    </w:t>
      </w:r>
    </w:p>
    <w:p w14:paraId="5EFD7D01" w14:textId="77777777" w:rsidR="00000000" w:rsidRDefault="007E65A2">
      <w:pPr>
        <w:pStyle w:val="a3"/>
        <w:spacing w:before="0" w:beforeAutospacing="0" w:after="0" w:afterAutospacing="0"/>
        <w:jc w:val="both"/>
        <w:divId w:val="911279972"/>
        <w:rPr>
          <w:sz w:val="20"/>
          <w:szCs w:val="20"/>
        </w:rPr>
      </w:pPr>
      <w:r>
        <w:rPr>
          <w:b/>
          <w:bCs/>
          <w:sz w:val="20"/>
          <w:szCs w:val="20"/>
        </w:rPr>
        <w:t>Employees</w:t>
      </w:r>
    </w:p>
    <w:p w14:paraId="3DB18A19" w14:textId="77777777" w:rsidR="00000000" w:rsidRDefault="007E65A2">
      <w:pPr>
        <w:pStyle w:val="a3"/>
        <w:spacing w:before="0" w:beforeAutospacing="0" w:after="0" w:afterAutospacing="0"/>
        <w:jc w:val="both"/>
        <w:divId w:val="911279972"/>
        <w:rPr>
          <w:sz w:val="20"/>
          <w:szCs w:val="20"/>
        </w:rPr>
      </w:pPr>
      <w:r>
        <w:rPr>
          <w:sz w:val="20"/>
          <w:szCs w:val="20"/>
        </w:rPr>
        <w:t xml:space="preserve">   </w:t>
      </w:r>
    </w:p>
    <w:p w14:paraId="5F0BA8C9" w14:textId="77777777" w:rsidR="00000000" w:rsidRDefault="007E65A2">
      <w:pPr>
        <w:pStyle w:val="a3"/>
        <w:spacing w:before="0" w:beforeAutospacing="0" w:after="0" w:afterAutospacing="0"/>
        <w:jc w:val="both"/>
        <w:divId w:val="911279972"/>
        <w:rPr>
          <w:sz w:val="20"/>
          <w:szCs w:val="20"/>
        </w:rPr>
      </w:pPr>
      <w:r>
        <w:rPr>
          <w:sz w:val="20"/>
          <w:szCs w:val="20"/>
        </w:rPr>
        <w:t>As of June 30, 2019, we have no employees other than our officers and directors.</w:t>
      </w:r>
    </w:p>
    <w:p w14:paraId="5D5720B4" w14:textId="77777777" w:rsidR="00000000" w:rsidRDefault="007E65A2">
      <w:pPr>
        <w:pStyle w:val="a3"/>
        <w:spacing w:before="0" w:beforeAutospacing="0" w:after="0" w:afterAutospacing="0"/>
        <w:jc w:val="both"/>
        <w:divId w:val="911279972"/>
        <w:rPr>
          <w:sz w:val="20"/>
          <w:szCs w:val="20"/>
        </w:rPr>
      </w:pPr>
      <w:r>
        <w:rPr>
          <w:sz w:val="20"/>
          <w:szCs w:val="20"/>
        </w:rPr>
        <w:t> </w:t>
      </w:r>
    </w:p>
    <w:p w14:paraId="728E72A1" w14:textId="77777777" w:rsidR="00000000" w:rsidRDefault="007E65A2">
      <w:pPr>
        <w:pStyle w:val="a3"/>
        <w:spacing w:before="0" w:beforeAutospacing="0" w:after="0" w:afterAutospacing="0"/>
        <w:jc w:val="both"/>
        <w:divId w:val="911279972"/>
        <w:rPr>
          <w:sz w:val="20"/>
          <w:szCs w:val="20"/>
        </w:rPr>
      </w:pPr>
      <w:r>
        <w:rPr>
          <w:sz w:val="20"/>
          <w:szCs w:val="20"/>
        </w:rPr>
        <w:t>We are an early stage company that was initially on</w:t>
      </w:r>
      <w:r>
        <w:rPr>
          <w:sz w:val="20"/>
          <w:szCs w:val="20"/>
        </w:rPr>
        <w:t xml:space="preserve">ly engaged in the acquisition, purchase, and maintenance of mobile software applications (“apps”). </w:t>
      </w:r>
    </w:p>
    <w:p w14:paraId="5DD07123" w14:textId="77777777" w:rsidR="00000000" w:rsidRDefault="007E65A2">
      <w:pPr>
        <w:pStyle w:val="a3"/>
        <w:spacing w:before="0" w:beforeAutospacing="0" w:after="0" w:afterAutospacing="0"/>
        <w:jc w:val="both"/>
        <w:divId w:val="911279972"/>
        <w:rPr>
          <w:sz w:val="20"/>
          <w:szCs w:val="20"/>
        </w:rPr>
      </w:pPr>
      <w:r>
        <w:rPr>
          <w:sz w:val="20"/>
          <w:szCs w:val="20"/>
        </w:rPr>
        <w:t> </w:t>
      </w:r>
    </w:p>
    <w:p w14:paraId="2091463A" w14:textId="77777777" w:rsidR="00000000" w:rsidRDefault="007E65A2">
      <w:pPr>
        <w:pStyle w:val="a3"/>
        <w:spacing w:before="0" w:beforeAutospacing="0" w:after="0" w:afterAutospacing="0"/>
        <w:jc w:val="both"/>
        <w:divId w:val="911279972"/>
        <w:rPr>
          <w:sz w:val="20"/>
          <w:szCs w:val="20"/>
        </w:rPr>
      </w:pPr>
      <w:r>
        <w:rPr>
          <w:sz w:val="20"/>
          <w:szCs w:val="20"/>
        </w:rPr>
        <w:t xml:space="preserve">On November 15, 2017, we entered into a distribution agreement with Cedar Creek Labs Series Two LLC (“LLC”) for the term of 1 year. Our Company shall use best efforts to market the Products for the LLC and will receive compensation ranging from 15% to 40% </w:t>
      </w:r>
      <w:r>
        <w:rPr>
          <w:sz w:val="20"/>
          <w:szCs w:val="20"/>
        </w:rPr>
        <w:t>of profit. Our company owns membership interests of 5% in LLC and the transactions between our company and LLC which is an equity method investee are deemed to be between related parties. The Company reviewed Cedar Creek Labs Series Two LLC financial condi</w:t>
      </w:r>
      <w:r>
        <w:rPr>
          <w:sz w:val="20"/>
          <w:szCs w:val="20"/>
        </w:rPr>
        <w:t>tion at June 30, 2018 and concluded that there is a 100% impairment loss related to the Company’s investment, and recorded an impairment loss of $24,524, for the year ended June 30, 2018.</w:t>
      </w:r>
    </w:p>
    <w:p w14:paraId="003FD1E0" w14:textId="77777777" w:rsidR="00000000" w:rsidRDefault="007E65A2">
      <w:pPr>
        <w:pStyle w:val="a3"/>
        <w:spacing w:before="0" w:beforeAutospacing="0" w:after="0" w:afterAutospacing="0"/>
        <w:jc w:val="both"/>
        <w:divId w:val="911279972"/>
        <w:rPr>
          <w:sz w:val="20"/>
          <w:szCs w:val="20"/>
        </w:rPr>
      </w:pPr>
      <w:r>
        <w:rPr>
          <w:sz w:val="20"/>
          <w:szCs w:val="20"/>
        </w:rPr>
        <w:t> </w:t>
      </w:r>
    </w:p>
    <w:p w14:paraId="2B6337B2" w14:textId="77777777" w:rsidR="00000000" w:rsidRDefault="007E65A2">
      <w:pPr>
        <w:pStyle w:val="a3"/>
        <w:spacing w:before="0" w:beforeAutospacing="0" w:after="0" w:afterAutospacing="0"/>
        <w:jc w:val="both"/>
        <w:divId w:val="911279972"/>
        <w:rPr>
          <w:sz w:val="20"/>
          <w:szCs w:val="20"/>
        </w:rPr>
      </w:pPr>
      <w:r>
        <w:rPr>
          <w:sz w:val="20"/>
          <w:szCs w:val="20"/>
        </w:rPr>
        <w:t xml:space="preserve">Although we are still active in the mobile applications industry, </w:t>
      </w:r>
      <w:r>
        <w:rPr>
          <w:sz w:val="20"/>
          <w:szCs w:val="20"/>
        </w:rPr>
        <w:t>we began investigating healthcare markets to augment the apps business in early 2017 and subsequently formed a wholly owned subsidiary The Diagnostic Centers, Inc. to focus on marketing certain products and services to healthcare providers. Our focus is no</w:t>
      </w:r>
      <w:r>
        <w:rPr>
          <w:sz w:val="20"/>
          <w:szCs w:val="20"/>
        </w:rPr>
        <w:t>w on healthy and innovative CBD products, software development and lab services. We are currently in the process of developing Hemp derived products, branding, sourcing and distribution agreements for our products. During the quarter ended March 31, 2019 t</w:t>
      </w:r>
      <w:r>
        <w:rPr>
          <w:sz w:val="20"/>
          <w:szCs w:val="20"/>
        </w:rPr>
        <w:t>he Company entered into a management and advisory agreement with Hempori, Inc. to assist the Company in identifying and managing the Company’s overall business strategy and opportunities to enter the hemp based Cannabidiol (CBD) industry. Additionally, the</w:t>
      </w:r>
      <w:r>
        <w:rPr>
          <w:sz w:val="20"/>
          <w:szCs w:val="20"/>
        </w:rPr>
        <w:t xml:space="preserve"> Company entered into an exclusive CBD infused beverage licensing agreement with the Prouty Company to market flavored and non-flavored beverages in various formulas infused with CBD to achieve the following “mood enhancing” affects: Energy, Calm, Focus, a</w:t>
      </w:r>
      <w:r>
        <w:rPr>
          <w:sz w:val="20"/>
          <w:szCs w:val="20"/>
        </w:rPr>
        <w:t>nd Sleep.</w:t>
      </w:r>
    </w:p>
    <w:p w14:paraId="185C7FC9" w14:textId="77777777" w:rsidR="00000000" w:rsidRDefault="007E65A2">
      <w:pPr>
        <w:pStyle w:val="a3"/>
        <w:spacing w:before="0" w:beforeAutospacing="0" w:after="0" w:afterAutospacing="0"/>
        <w:jc w:val="both"/>
        <w:divId w:val="911279972"/>
        <w:rPr>
          <w:sz w:val="20"/>
          <w:szCs w:val="20"/>
        </w:rPr>
      </w:pPr>
      <w:r>
        <w:rPr>
          <w:sz w:val="20"/>
          <w:szCs w:val="20"/>
        </w:rPr>
        <w:t> </w:t>
      </w:r>
    </w:p>
    <w:p w14:paraId="2F9EF4E6" w14:textId="77777777" w:rsidR="00000000" w:rsidRDefault="007E65A2">
      <w:pPr>
        <w:pStyle w:val="a3"/>
        <w:spacing w:before="0" w:beforeAutospacing="0" w:after="0" w:afterAutospacing="0"/>
        <w:jc w:val="both"/>
        <w:divId w:val="911279972"/>
        <w:rPr>
          <w:sz w:val="20"/>
          <w:szCs w:val="20"/>
        </w:rPr>
      </w:pPr>
      <w:bookmarkStart w:id="3" w:name="ITEM_1A._RISK_FACTORS"/>
      <w:r>
        <w:rPr>
          <w:b/>
          <w:bCs/>
          <w:sz w:val="20"/>
          <w:szCs w:val="20"/>
        </w:rPr>
        <w:t>ITEM 1A. RISK FACTORS</w:t>
      </w:r>
      <w:bookmarkEnd w:id="3"/>
    </w:p>
    <w:p w14:paraId="0025DBD9" w14:textId="77777777" w:rsidR="00000000" w:rsidRDefault="007E65A2">
      <w:pPr>
        <w:pStyle w:val="a3"/>
        <w:spacing w:before="0" w:beforeAutospacing="0" w:after="0" w:afterAutospacing="0"/>
        <w:jc w:val="both"/>
        <w:divId w:val="911279972"/>
        <w:rPr>
          <w:sz w:val="20"/>
          <w:szCs w:val="20"/>
        </w:rPr>
      </w:pPr>
      <w:r>
        <w:rPr>
          <w:sz w:val="20"/>
          <w:szCs w:val="20"/>
        </w:rPr>
        <w:t> </w:t>
      </w:r>
    </w:p>
    <w:p w14:paraId="476FC177" w14:textId="77777777" w:rsidR="00000000" w:rsidRDefault="007E65A2">
      <w:pPr>
        <w:pStyle w:val="a3"/>
        <w:spacing w:before="0" w:beforeAutospacing="0" w:after="0" w:afterAutospacing="0"/>
        <w:jc w:val="both"/>
        <w:divId w:val="911279972"/>
        <w:rPr>
          <w:sz w:val="20"/>
          <w:szCs w:val="20"/>
        </w:rPr>
      </w:pPr>
      <w:r>
        <w:rPr>
          <w:sz w:val="20"/>
          <w:szCs w:val="20"/>
        </w:rPr>
        <w:t>As a “smaller reporting company”, we are not required to provide the information required by this Item.</w:t>
      </w:r>
    </w:p>
    <w:p w14:paraId="255DBD76" w14:textId="77777777" w:rsidR="00000000" w:rsidRDefault="007E65A2">
      <w:pPr>
        <w:pStyle w:val="a3"/>
        <w:spacing w:before="0" w:beforeAutospacing="0" w:after="0" w:afterAutospacing="0"/>
        <w:jc w:val="both"/>
        <w:divId w:val="911279972"/>
        <w:rPr>
          <w:sz w:val="20"/>
          <w:szCs w:val="20"/>
        </w:rPr>
      </w:pPr>
      <w:r>
        <w:rPr>
          <w:sz w:val="20"/>
          <w:szCs w:val="20"/>
        </w:rPr>
        <w:t> </w:t>
      </w:r>
    </w:p>
    <w:p w14:paraId="183A27D2" w14:textId="77777777" w:rsidR="00000000" w:rsidRDefault="007E65A2">
      <w:pPr>
        <w:pStyle w:val="a3"/>
        <w:spacing w:before="0" w:beforeAutospacing="0" w:after="0" w:afterAutospacing="0"/>
        <w:jc w:val="both"/>
        <w:divId w:val="911279972"/>
        <w:rPr>
          <w:sz w:val="20"/>
          <w:szCs w:val="20"/>
        </w:rPr>
      </w:pPr>
      <w:bookmarkStart w:id="4" w:name="ITEM_1B._UNRESOLVED_STAFF_COMMENTS"/>
      <w:r>
        <w:rPr>
          <w:b/>
          <w:bCs/>
          <w:sz w:val="20"/>
          <w:szCs w:val="20"/>
        </w:rPr>
        <w:t>ITEM 1B. UNRESOLVED STAFF COMMENTS</w:t>
      </w:r>
      <w:bookmarkEnd w:id="4"/>
    </w:p>
    <w:p w14:paraId="0A164F80" w14:textId="77777777" w:rsidR="00000000" w:rsidRDefault="007E65A2">
      <w:pPr>
        <w:pStyle w:val="a3"/>
        <w:spacing w:before="0" w:beforeAutospacing="0" w:after="0" w:afterAutospacing="0"/>
        <w:jc w:val="both"/>
        <w:divId w:val="911279972"/>
        <w:rPr>
          <w:sz w:val="20"/>
          <w:szCs w:val="20"/>
        </w:rPr>
      </w:pPr>
      <w:r>
        <w:rPr>
          <w:sz w:val="20"/>
          <w:szCs w:val="20"/>
        </w:rPr>
        <w:t> </w:t>
      </w:r>
    </w:p>
    <w:p w14:paraId="14F49B6C" w14:textId="77777777" w:rsidR="00000000" w:rsidRDefault="007E65A2">
      <w:pPr>
        <w:pStyle w:val="a3"/>
        <w:spacing w:before="0" w:beforeAutospacing="0" w:after="0" w:afterAutospacing="0"/>
        <w:jc w:val="both"/>
        <w:divId w:val="911279972"/>
        <w:rPr>
          <w:sz w:val="20"/>
          <w:szCs w:val="20"/>
        </w:rPr>
      </w:pPr>
      <w:r>
        <w:rPr>
          <w:sz w:val="20"/>
          <w:szCs w:val="20"/>
        </w:rPr>
        <w:t>Not Applicable.</w:t>
      </w:r>
    </w:p>
    <w:p w14:paraId="06FB4160" w14:textId="77777777" w:rsidR="00000000" w:rsidRDefault="007E65A2">
      <w:pPr>
        <w:pStyle w:val="a3"/>
        <w:spacing w:before="0" w:beforeAutospacing="0" w:after="0" w:afterAutospacing="0"/>
        <w:jc w:val="both"/>
        <w:divId w:val="911279972"/>
        <w:rPr>
          <w:sz w:val="20"/>
          <w:szCs w:val="20"/>
        </w:rPr>
      </w:pPr>
      <w:r>
        <w:rPr>
          <w:sz w:val="20"/>
          <w:szCs w:val="20"/>
        </w:rPr>
        <w:t> </w:t>
      </w:r>
    </w:p>
    <w:p w14:paraId="7007A9C2" w14:textId="77777777" w:rsidR="00000000" w:rsidRDefault="007E65A2">
      <w:pPr>
        <w:pStyle w:val="a3"/>
        <w:spacing w:before="0" w:beforeAutospacing="0" w:after="0" w:afterAutospacing="0"/>
        <w:jc w:val="both"/>
        <w:divId w:val="911279972"/>
        <w:rPr>
          <w:sz w:val="20"/>
          <w:szCs w:val="20"/>
        </w:rPr>
      </w:pPr>
      <w:bookmarkStart w:id="5" w:name="ITEM_2._PROPERTIES"/>
      <w:r>
        <w:rPr>
          <w:b/>
          <w:bCs/>
          <w:sz w:val="20"/>
          <w:szCs w:val="20"/>
        </w:rPr>
        <w:t>ITEM 2. PROPERTIES</w:t>
      </w:r>
      <w:bookmarkEnd w:id="5"/>
    </w:p>
    <w:p w14:paraId="710865EB" w14:textId="77777777" w:rsidR="00000000" w:rsidRDefault="007E65A2">
      <w:pPr>
        <w:pStyle w:val="a3"/>
        <w:spacing w:before="0" w:beforeAutospacing="0" w:after="0" w:afterAutospacing="0"/>
        <w:jc w:val="both"/>
        <w:divId w:val="911279972"/>
        <w:rPr>
          <w:sz w:val="20"/>
          <w:szCs w:val="20"/>
        </w:rPr>
      </w:pPr>
      <w:r>
        <w:rPr>
          <w:sz w:val="20"/>
          <w:szCs w:val="20"/>
        </w:rPr>
        <w:t> </w:t>
      </w:r>
    </w:p>
    <w:p w14:paraId="6A3ADEAE" w14:textId="77777777" w:rsidR="00000000" w:rsidRDefault="007E65A2">
      <w:pPr>
        <w:pStyle w:val="a3"/>
        <w:spacing w:before="0" w:beforeAutospacing="0" w:after="0" w:afterAutospacing="0"/>
        <w:jc w:val="both"/>
        <w:divId w:val="911279972"/>
        <w:rPr>
          <w:sz w:val="20"/>
          <w:szCs w:val="20"/>
        </w:rPr>
      </w:pPr>
      <w:r>
        <w:rPr>
          <w:sz w:val="20"/>
          <w:szCs w:val="20"/>
        </w:rPr>
        <w:t>Our company operations are currently b</w:t>
      </w:r>
      <w:r>
        <w:rPr>
          <w:sz w:val="20"/>
          <w:szCs w:val="20"/>
        </w:rPr>
        <w:t>eing conducted out of our company office located at 777 Main Street, Suite 600, Fort Worth, TX 76102; (855) 927-7932. Our management considers that the current principal office space arrangement adequate and will reassess its needs based upon the future gr</w:t>
      </w:r>
      <w:r>
        <w:rPr>
          <w:sz w:val="20"/>
          <w:szCs w:val="20"/>
        </w:rPr>
        <w:t>owth of our company. We currently rent our office space for $200 per month with three-month terms, which shall be automatically extended for successive three-month periods unless there is notice to cancel.</w:t>
      </w:r>
    </w:p>
    <w:p w14:paraId="6F7DB238" w14:textId="77777777" w:rsidR="00000000" w:rsidRDefault="007E65A2">
      <w:pPr>
        <w:pStyle w:val="a3"/>
        <w:spacing w:before="0" w:beforeAutospacing="0" w:after="0" w:afterAutospacing="0"/>
        <w:jc w:val="both"/>
        <w:divId w:val="911279972"/>
        <w:rPr>
          <w:sz w:val="20"/>
          <w:szCs w:val="20"/>
        </w:rPr>
      </w:pPr>
      <w:r>
        <w:rPr>
          <w:sz w:val="20"/>
          <w:szCs w:val="20"/>
        </w:rPr>
        <w:t> </w:t>
      </w:r>
    </w:p>
    <w:p w14:paraId="442AF598" w14:textId="77777777" w:rsidR="00000000" w:rsidRDefault="007E65A2">
      <w:pPr>
        <w:pStyle w:val="a3"/>
        <w:spacing w:before="0" w:beforeAutospacing="0" w:after="0" w:afterAutospacing="0"/>
        <w:jc w:val="both"/>
        <w:divId w:val="911279972"/>
        <w:rPr>
          <w:sz w:val="20"/>
          <w:szCs w:val="20"/>
        </w:rPr>
      </w:pPr>
      <w:bookmarkStart w:id="6" w:name="ITEM_3._LEGAL_PROCEEDINGS"/>
      <w:r>
        <w:rPr>
          <w:b/>
          <w:bCs/>
          <w:sz w:val="20"/>
          <w:szCs w:val="20"/>
        </w:rPr>
        <w:t>ITEM 3. LEGAL PROCEEDINGS</w:t>
      </w:r>
      <w:bookmarkEnd w:id="6"/>
    </w:p>
    <w:p w14:paraId="3F1CADBF" w14:textId="77777777" w:rsidR="00000000" w:rsidRDefault="007E65A2">
      <w:pPr>
        <w:pStyle w:val="a3"/>
        <w:spacing w:before="0" w:beforeAutospacing="0" w:after="0" w:afterAutospacing="0"/>
        <w:jc w:val="both"/>
        <w:divId w:val="911279972"/>
        <w:rPr>
          <w:sz w:val="20"/>
          <w:szCs w:val="20"/>
        </w:rPr>
      </w:pPr>
      <w:r>
        <w:rPr>
          <w:sz w:val="20"/>
          <w:szCs w:val="20"/>
        </w:rPr>
        <w:t> </w:t>
      </w:r>
    </w:p>
    <w:p w14:paraId="4A4256F2" w14:textId="77777777" w:rsidR="00000000" w:rsidRDefault="007E65A2">
      <w:pPr>
        <w:pStyle w:val="a3"/>
        <w:spacing w:before="0" w:beforeAutospacing="0" w:after="0" w:afterAutospacing="0"/>
        <w:jc w:val="both"/>
        <w:divId w:val="911279972"/>
        <w:rPr>
          <w:sz w:val="20"/>
          <w:szCs w:val="20"/>
        </w:rPr>
      </w:pPr>
      <w:r>
        <w:rPr>
          <w:sz w:val="20"/>
          <w:szCs w:val="20"/>
        </w:rPr>
        <w:t>From time to time, w</w:t>
      </w:r>
      <w:r>
        <w:rPr>
          <w:sz w:val="20"/>
          <w:szCs w:val="20"/>
        </w:rPr>
        <w:t>e may become involved in litigation relating to claims arising out of our operations in the normal course of business. We are not involved in any pending legal proceeding or litigation and, to the best of our knowledge, no governmental authority is contemp</w:t>
      </w:r>
      <w:r>
        <w:rPr>
          <w:sz w:val="20"/>
          <w:szCs w:val="20"/>
        </w:rPr>
        <w:t>lating any proceeding to which we are a party and which would reasonably be likely to have a material adverse effect on our company. To date, our company has never been involved in litigation, as either a party or a witness, nor has our company been involv</w:t>
      </w:r>
      <w:r>
        <w:rPr>
          <w:sz w:val="20"/>
          <w:szCs w:val="20"/>
        </w:rPr>
        <w:t>ed in any legal proceedings commenced by any regulatory agency against our company.</w:t>
      </w:r>
    </w:p>
    <w:p w14:paraId="6E0E6498" w14:textId="77777777" w:rsidR="00000000" w:rsidRDefault="007E65A2">
      <w:pPr>
        <w:pStyle w:val="a3"/>
        <w:spacing w:before="0" w:beforeAutospacing="0" w:after="0" w:afterAutospacing="0"/>
        <w:jc w:val="both"/>
        <w:divId w:val="911279972"/>
        <w:rPr>
          <w:sz w:val="20"/>
          <w:szCs w:val="20"/>
        </w:rPr>
      </w:pPr>
      <w:r>
        <w:rPr>
          <w:sz w:val="20"/>
          <w:szCs w:val="20"/>
        </w:rPr>
        <w:t> </w:t>
      </w:r>
    </w:p>
    <w:p w14:paraId="3935FD87" w14:textId="77777777" w:rsidR="00000000" w:rsidRDefault="007E65A2">
      <w:pPr>
        <w:pStyle w:val="a3"/>
        <w:spacing w:before="0" w:beforeAutospacing="0" w:after="0" w:afterAutospacing="0"/>
        <w:jc w:val="both"/>
        <w:divId w:val="911279972"/>
        <w:rPr>
          <w:sz w:val="20"/>
          <w:szCs w:val="20"/>
        </w:rPr>
      </w:pPr>
      <w:bookmarkStart w:id="7" w:name="ITEM_4._MINE_SAFETY_DISCLOSURES"/>
      <w:r>
        <w:rPr>
          <w:b/>
          <w:bCs/>
          <w:sz w:val="20"/>
          <w:szCs w:val="20"/>
        </w:rPr>
        <w:t>ITEM 4. MINE SAFETY DISCLOSURES</w:t>
      </w:r>
      <w:bookmarkEnd w:id="7"/>
    </w:p>
    <w:p w14:paraId="674BE381" w14:textId="77777777" w:rsidR="00000000" w:rsidRDefault="007E65A2">
      <w:pPr>
        <w:pStyle w:val="a3"/>
        <w:spacing w:before="0" w:beforeAutospacing="0" w:after="0" w:afterAutospacing="0"/>
        <w:jc w:val="both"/>
        <w:divId w:val="911279972"/>
        <w:rPr>
          <w:sz w:val="20"/>
          <w:szCs w:val="20"/>
        </w:rPr>
      </w:pPr>
      <w:r>
        <w:rPr>
          <w:sz w:val="20"/>
          <w:szCs w:val="20"/>
        </w:rPr>
        <w:t> </w:t>
      </w:r>
    </w:p>
    <w:p w14:paraId="6563C64B" w14:textId="77777777" w:rsidR="00000000" w:rsidRDefault="007E65A2">
      <w:pPr>
        <w:pStyle w:val="a3"/>
        <w:spacing w:before="0" w:beforeAutospacing="0" w:after="0" w:afterAutospacing="0"/>
        <w:jc w:val="both"/>
        <w:divId w:val="911279972"/>
        <w:rPr>
          <w:sz w:val="20"/>
          <w:szCs w:val="20"/>
        </w:rPr>
      </w:pPr>
      <w:r>
        <w:rPr>
          <w:sz w:val="20"/>
          <w:szCs w:val="20"/>
        </w:rPr>
        <w:t>Not Applicable.</w:t>
      </w:r>
    </w:p>
    <w:p w14:paraId="3FBB23CE"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89C6052" w14:textId="77777777">
        <w:trPr>
          <w:divId w:val="911279972"/>
          <w:tblCellSpacing w:w="0" w:type="dxa"/>
        </w:trPr>
        <w:tc>
          <w:tcPr>
            <w:tcW w:w="0" w:type="auto"/>
            <w:vAlign w:val="center"/>
            <w:hideMark/>
          </w:tcPr>
          <w:p w14:paraId="095979A5" w14:textId="77777777" w:rsidR="00000000" w:rsidRDefault="007E65A2">
            <w:pPr>
              <w:rPr>
                <w:rFonts w:eastAsia="Times New Roman"/>
                <w:sz w:val="20"/>
                <w:szCs w:val="20"/>
              </w:rPr>
            </w:pPr>
            <w:r>
              <w:rPr>
                <w:rFonts w:eastAsia="Times New Roman"/>
                <w:sz w:val="20"/>
                <w:szCs w:val="20"/>
              </w:rPr>
              <w:t> </w:t>
            </w:r>
          </w:p>
        </w:tc>
      </w:tr>
      <w:tr w:rsidR="00000000" w14:paraId="42683CF2" w14:textId="77777777">
        <w:trPr>
          <w:divId w:val="911279972"/>
          <w:tblCellSpacing w:w="0" w:type="dxa"/>
        </w:trPr>
        <w:tc>
          <w:tcPr>
            <w:tcW w:w="0" w:type="auto"/>
            <w:tcBorders>
              <w:bottom w:val="single" w:sz="6" w:space="0" w:color="000000"/>
            </w:tcBorders>
            <w:vAlign w:val="center"/>
            <w:hideMark/>
          </w:tcPr>
          <w:p w14:paraId="3227F82A" w14:textId="77777777" w:rsidR="00000000" w:rsidRDefault="007E65A2">
            <w:pPr>
              <w:jc w:val="center"/>
              <w:rPr>
                <w:rFonts w:eastAsia="Times New Roman"/>
                <w:sz w:val="20"/>
                <w:szCs w:val="20"/>
              </w:rPr>
            </w:pPr>
            <w:r>
              <w:rPr>
                <w:rFonts w:eastAsia="Times New Roman"/>
                <w:sz w:val="20"/>
                <w:szCs w:val="20"/>
              </w:rPr>
              <w:t>8</w:t>
            </w:r>
          </w:p>
        </w:tc>
      </w:tr>
      <w:tr w:rsidR="00000000" w14:paraId="24E226B9" w14:textId="77777777">
        <w:trPr>
          <w:divId w:val="911279972"/>
          <w:tblCellSpacing w:w="0" w:type="dxa"/>
        </w:trPr>
        <w:tc>
          <w:tcPr>
            <w:tcW w:w="0" w:type="auto"/>
            <w:vAlign w:val="center"/>
            <w:hideMark/>
          </w:tcPr>
          <w:p w14:paraId="33F6FA03" w14:textId="77777777" w:rsidR="00000000" w:rsidRDefault="007E65A2">
            <w:pPr>
              <w:rPr>
                <w:rFonts w:eastAsia="Times New Roman"/>
                <w:sz w:val="20"/>
                <w:szCs w:val="20"/>
              </w:rPr>
            </w:pPr>
            <w:r>
              <w:rPr>
                <w:rFonts w:eastAsia="Times New Roman"/>
                <w:sz w:val="20"/>
                <w:szCs w:val="20"/>
              </w:rPr>
              <w:t> </w:t>
            </w:r>
          </w:p>
        </w:tc>
      </w:tr>
      <w:tr w:rsidR="00000000" w14:paraId="4261905F" w14:textId="77777777">
        <w:trPr>
          <w:divId w:val="911279972"/>
          <w:tblCellSpacing w:w="0" w:type="dxa"/>
        </w:trPr>
        <w:tc>
          <w:tcPr>
            <w:tcW w:w="0" w:type="auto"/>
            <w:vAlign w:val="center"/>
            <w:hideMark/>
          </w:tcPr>
          <w:p w14:paraId="12F454B0"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33EC5B56" w14:textId="77777777" w:rsidR="00000000" w:rsidRDefault="007E65A2">
      <w:pPr>
        <w:pStyle w:val="a3"/>
        <w:spacing w:before="0" w:beforeAutospacing="0" w:after="0" w:afterAutospacing="0"/>
        <w:jc w:val="both"/>
        <w:divId w:val="911279972"/>
        <w:rPr>
          <w:sz w:val="20"/>
          <w:szCs w:val="20"/>
        </w:rPr>
      </w:pPr>
      <w:r>
        <w:rPr>
          <w:sz w:val="20"/>
          <w:szCs w:val="20"/>
        </w:rPr>
        <w:t> </w:t>
      </w:r>
    </w:p>
    <w:p w14:paraId="0D78CF62" w14:textId="77777777" w:rsidR="00000000" w:rsidRDefault="007E65A2">
      <w:pPr>
        <w:pStyle w:val="a3"/>
        <w:spacing w:before="0" w:beforeAutospacing="0" w:after="0" w:afterAutospacing="0"/>
        <w:jc w:val="center"/>
        <w:divId w:val="911279972"/>
        <w:rPr>
          <w:sz w:val="20"/>
          <w:szCs w:val="20"/>
        </w:rPr>
      </w:pPr>
      <w:bookmarkStart w:id="8" w:name="PART_II"/>
      <w:r>
        <w:rPr>
          <w:b/>
          <w:bCs/>
          <w:sz w:val="20"/>
          <w:szCs w:val="20"/>
        </w:rPr>
        <w:t>PART II</w:t>
      </w:r>
      <w:bookmarkEnd w:id="8"/>
    </w:p>
    <w:p w14:paraId="6EB88D9C" w14:textId="77777777" w:rsidR="00000000" w:rsidRDefault="007E65A2">
      <w:pPr>
        <w:pStyle w:val="a3"/>
        <w:spacing w:before="0" w:beforeAutospacing="0" w:after="0" w:afterAutospacing="0"/>
        <w:jc w:val="both"/>
        <w:divId w:val="911279972"/>
        <w:rPr>
          <w:sz w:val="20"/>
          <w:szCs w:val="20"/>
        </w:rPr>
      </w:pPr>
      <w:r>
        <w:rPr>
          <w:sz w:val="20"/>
          <w:szCs w:val="20"/>
        </w:rPr>
        <w:t> </w:t>
      </w:r>
    </w:p>
    <w:p w14:paraId="391D7D8D" w14:textId="77777777" w:rsidR="00000000" w:rsidRDefault="007E65A2">
      <w:pPr>
        <w:pStyle w:val="a3"/>
        <w:spacing w:before="0" w:beforeAutospacing="0" w:after="0" w:afterAutospacing="0"/>
        <w:jc w:val="both"/>
        <w:divId w:val="911279972"/>
        <w:rPr>
          <w:sz w:val="20"/>
          <w:szCs w:val="20"/>
        </w:rPr>
      </w:pPr>
      <w:bookmarkStart w:id="9" w:name="Item5"/>
      <w:r>
        <w:rPr>
          <w:b/>
          <w:bCs/>
          <w:sz w:val="20"/>
          <w:szCs w:val="20"/>
        </w:rPr>
        <w:t>ITEM 5. MARKET FOR REGISTRANT’S COMMON EQUITY, RELATED STOCKHOLDER MATTERS AND ISSUER PURCHASES OF EQUITY SECURITIES</w:t>
      </w:r>
      <w:bookmarkEnd w:id="9"/>
    </w:p>
    <w:p w14:paraId="3B666902" w14:textId="77777777" w:rsidR="00000000" w:rsidRDefault="007E65A2">
      <w:pPr>
        <w:pStyle w:val="a3"/>
        <w:spacing w:before="0" w:beforeAutospacing="0" w:after="0" w:afterAutospacing="0"/>
        <w:jc w:val="both"/>
        <w:divId w:val="911279972"/>
        <w:rPr>
          <w:sz w:val="20"/>
          <w:szCs w:val="20"/>
        </w:rPr>
      </w:pPr>
      <w:r>
        <w:rPr>
          <w:sz w:val="20"/>
          <w:szCs w:val="20"/>
        </w:rPr>
        <w:t> </w:t>
      </w:r>
    </w:p>
    <w:p w14:paraId="62D742F2" w14:textId="77777777" w:rsidR="00000000" w:rsidRDefault="007E65A2">
      <w:pPr>
        <w:pStyle w:val="a3"/>
        <w:spacing w:before="0" w:beforeAutospacing="0" w:after="0" w:afterAutospacing="0"/>
        <w:jc w:val="both"/>
        <w:divId w:val="911279972"/>
        <w:rPr>
          <w:sz w:val="20"/>
          <w:szCs w:val="20"/>
        </w:rPr>
      </w:pPr>
      <w:r>
        <w:rPr>
          <w:b/>
          <w:bCs/>
          <w:sz w:val="20"/>
          <w:szCs w:val="20"/>
        </w:rPr>
        <w:t>Market Information</w:t>
      </w:r>
    </w:p>
    <w:p w14:paraId="77303A38" w14:textId="77777777" w:rsidR="00000000" w:rsidRDefault="007E65A2">
      <w:pPr>
        <w:pStyle w:val="a3"/>
        <w:spacing w:before="0" w:beforeAutospacing="0" w:after="0" w:afterAutospacing="0"/>
        <w:jc w:val="both"/>
        <w:divId w:val="911279972"/>
        <w:rPr>
          <w:sz w:val="20"/>
          <w:szCs w:val="20"/>
        </w:rPr>
      </w:pPr>
      <w:r>
        <w:rPr>
          <w:sz w:val="20"/>
          <w:szCs w:val="20"/>
        </w:rPr>
        <w:t> </w:t>
      </w:r>
    </w:p>
    <w:p w14:paraId="10365D4C" w14:textId="77777777" w:rsidR="00000000" w:rsidRDefault="007E65A2">
      <w:pPr>
        <w:pStyle w:val="a3"/>
        <w:spacing w:before="0" w:beforeAutospacing="0" w:after="0" w:afterAutospacing="0"/>
        <w:jc w:val="both"/>
        <w:divId w:val="911279972"/>
        <w:rPr>
          <w:sz w:val="20"/>
          <w:szCs w:val="20"/>
        </w:rPr>
      </w:pPr>
      <w:r>
        <w:rPr>
          <w:sz w:val="20"/>
          <w:szCs w:val="20"/>
        </w:rPr>
        <w:t>There is a limited public market for our common shares. Our common shares are listed for quotation on the Pink sheet</w:t>
      </w:r>
      <w:r>
        <w:rPr>
          <w:sz w:val="20"/>
          <w:szCs w:val="20"/>
        </w:rPr>
        <w:t>s of the OTC Markets under the trading symbol “APYP”. Trading in stocks quoted on the Pink Sheets is often thin and is characterized by wide fluctuations in trading prices due to many factors that may be unrelated to a company’s operations or business pros</w:t>
      </w:r>
      <w:r>
        <w:rPr>
          <w:sz w:val="20"/>
          <w:szCs w:val="20"/>
        </w:rPr>
        <w:t>pects.</w:t>
      </w:r>
    </w:p>
    <w:p w14:paraId="10A5F644" w14:textId="77777777" w:rsidR="00000000" w:rsidRDefault="007E65A2">
      <w:pPr>
        <w:pStyle w:val="a3"/>
        <w:spacing w:before="0" w:beforeAutospacing="0" w:after="0" w:afterAutospacing="0"/>
        <w:jc w:val="both"/>
        <w:divId w:val="911279972"/>
        <w:rPr>
          <w:sz w:val="20"/>
          <w:szCs w:val="20"/>
        </w:rPr>
      </w:pPr>
      <w:r>
        <w:rPr>
          <w:sz w:val="20"/>
          <w:szCs w:val="20"/>
        </w:rPr>
        <w:t> </w:t>
      </w:r>
    </w:p>
    <w:p w14:paraId="49E55762" w14:textId="77777777" w:rsidR="00000000" w:rsidRDefault="007E65A2">
      <w:pPr>
        <w:pStyle w:val="a3"/>
        <w:spacing w:before="0" w:beforeAutospacing="0" w:after="0" w:afterAutospacing="0"/>
        <w:jc w:val="both"/>
        <w:divId w:val="911279972"/>
        <w:rPr>
          <w:sz w:val="20"/>
          <w:szCs w:val="20"/>
        </w:rPr>
      </w:pPr>
      <w:r>
        <w:rPr>
          <w:sz w:val="20"/>
          <w:szCs w:val="20"/>
        </w:rPr>
        <w:t>Pink Sheet securities are not listed or traded on the floor of an organized national or regional stock exchange. Instead, OTC Pink Sheet securities transactions are conducted through a telephone and computer network connecting dealers in stocks. P</w:t>
      </w:r>
      <w:r>
        <w:rPr>
          <w:sz w:val="20"/>
          <w:szCs w:val="20"/>
        </w:rPr>
        <w:t>ink Sheet issuers are traditionally smaller companies that do not meet the financial and other listing requirements of a regional or national stock exchange.</w:t>
      </w:r>
    </w:p>
    <w:p w14:paraId="7E562BC8" w14:textId="77777777" w:rsidR="00000000" w:rsidRDefault="007E65A2">
      <w:pPr>
        <w:pStyle w:val="a3"/>
        <w:spacing w:before="0" w:beforeAutospacing="0" w:after="0" w:afterAutospacing="0"/>
        <w:jc w:val="both"/>
        <w:divId w:val="911279972"/>
        <w:rPr>
          <w:sz w:val="20"/>
          <w:szCs w:val="20"/>
        </w:rPr>
      </w:pPr>
      <w:r>
        <w:rPr>
          <w:sz w:val="20"/>
          <w:szCs w:val="20"/>
        </w:rPr>
        <w:t> </w:t>
      </w:r>
    </w:p>
    <w:p w14:paraId="4ADA880C" w14:textId="77777777" w:rsidR="00000000" w:rsidRDefault="007E65A2">
      <w:pPr>
        <w:pStyle w:val="a3"/>
        <w:spacing w:before="0" w:beforeAutospacing="0" w:after="0" w:afterAutospacing="0"/>
        <w:jc w:val="both"/>
        <w:divId w:val="911279972"/>
        <w:rPr>
          <w:sz w:val="20"/>
          <w:szCs w:val="20"/>
        </w:rPr>
      </w:pPr>
      <w:r>
        <w:rPr>
          <w:b/>
          <w:bCs/>
          <w:sz w:val="20"/>
          <w:szCs w:val="20"/>
        </w:rPr>
        <w:t>Holders</w:t>
      </w:r>
    </w:p>
    <w:p w14:paraId="3CA21FE2" w14:textId="77777777" w:rsidR="00000000" w:rsidRDefault="007E65A2">
      <w:pPr>
        <w:pStyle w:val="a3"/>
        <w:spacing w:before="0" w:beforeAutospacing="0" w:after="0" w:afterAutospacing="0"/>
        <w:jc w:val="both"/>
        <w:divId w:val="911279972"/>
        <w:rPr>
          <w:sz w:val="20"/>
          <w:szCs w:val="20"/>
        </w:rPr>
      </w:pPr>
      <w:r>
        <w:rPr>
          <w:sz w:val="20"/>
          <w:szCs w:val="20"/>
        </w:rPr>
        <w:t> </w:t>
      </w:r>
    </w:p>
    <w:p w14:paraId="32ADEDAE" w14:textId="77777777" w:rsidR="00000000" w:rsidRDefault="007E65A2">
      <w:pPr>
        <w:pStyle w:val="a3"/>
        <w:spacing w:before="0" w:beforeAutospacing="0" w:after="0" w:afterAutospacing="0"/>
        <w:jc w:val="both"/>
        <w:divId w:val="911279972"/>
        <w:rPr>
          <w:sz w:val="20"/>
          <w:szCs w:val="20"/>
        </w:rPr>
      </w:pPr>
      <w:r>
        <w:rPr>
          <w:sz w:val="20"/>
          <w:szCs w:val="20"/>
        </w:rPr>
        <w:t>As of October 15, 2019, we had 48 shareholders of record of our common stock with 5,161,140,774 shares of common stock outstanding.</w:t>
      </w:r>
    </w:p>
    <w:p w14:paraId="5583F81D" w14:textId="77777777" w:rsidR="00000000" w:rsidRDefault="007E65A2">
      <w:pPr>
        <w:pStyle w:val="a3"/>
        <w:spacing w:before="0" w:beforeAutospacing="0" w:after="0" w:afterAutospacing="0"/>
        <w:jc w:val="both"/>
        <w:divId w:val="911279972"/>
        <w:rPr>
          <w:sz w:val="20"/>
          <w:szCs w:val="20"/>
        </w:rPr>
      </w:pPr>
      <w:r>
        <w:rPr>
          <w:sz w:val="20"/>
          <w:szCs w:val="20"/>
        </w:rPr>
        <w:t> </w:t>
      </w:r>
    </w:p>
    <w:p w14:paraId="42D24A73" w14:textId="77777777" w:rsidR="00000000" w:rsidRDefault="007E65A2">
      <w:pPr>
        <w:pStyle w:val="a3"/>
        <w:spacing w:before="0" w:beforeAutospacing="0" w:after="0" w:afterAutospacing="0"/>
        <w:jc w:val="both"/>
        <w:divId w:val="911279972"/>
        <w:rPr>
          <w:sz w:val="20"/>
          <w:szCs w:val="20"/>
        </w:rPr>
      </w:pPr>
      <w:r>
        <w:rPr>
          <w:b/>
          <w:bCs/>
          <w:sz w:val="20"/>
          <w:szCs w:val="20"/>
        </w:rPr>
        <w:t>Dividends</w:t>
      </w:r>
    </w:p>
    <w:p w14:paraId="187EF66C" w14:textId="77777777" w:rsidR="00000000" w:rsidRDefault="007E65A2">
      <w:pPr>
        <w:pStyle w:val="a3"/>
        <w:spacing w:before="0" w:beforeAutospacing="0" w:after="0" w:afterAutospacing="0"/>
        <w:jc w:val="both"/>
        <w:divId w:val="911279972"/>
        <w:rPr>
          <w:sz w:val="20"/>
          <w:szCs w:val="20"/>
        </w:rPr>
      </w:pPr>
      <w:r>
        <w:rPr>
          <w:sz w:val="20"/>
          <w:szCs w:val="20"/>
        </w:rPr>
        <w:t> </w:t>
      </w:r>
    </w:p>
    <w:p w14:paraId="59C03C23" w14:textId="77777777" w:rsidR="00000000" w:rsidRDefault="007E65A2">
      <w:pPr>
        <w:pStyle w:val="a3"/>
        <w:spacing w:before="0" w:beforeAutospacing="0" w:after="0" w:afterAutospacing="0"/>
        <w:jc w:val="both"/>
        <w:divId w:val="911279972"/>
        <w:rPr>
          <w:sz w:val="20"/>
          <w:szCs w:val="20"/>
        </w:rPr>
      </w:pPr>
      <w:r>
        <w:rPr>
          <w:sz w:val="20"/>
          <w:szCs w:val="20"/>
        </w:rPr>
        <w:t>We have not paid any cash dividends to our shareholders. The declaration of any future cash dividends is at th</w:t>
      </w:r>
      <w:r>
        <w:rPr>
          <w:sz w:val="20"/>
          <w:szCs w:val="20"/>
        </w:rPr>
        <w:t>e discretion of our board of directors and depends upon our earnings, if any, our capital requirements and financial position, our general economic conditions, and other pertinent conditions. It is our present intention not to pay any cash dividends in the</w:t>
      </w:r>
      <w:r>
        <w:rPr>
          <w:sz w:val="20"/>
          <w:szCs w:val="20"/>
        </w:rPr>
        <w:t xml:space="preserve"> foreseeable future, but rather to reinvest earnings, if any, in our business operations.</w:t>
      </w:r>
    </w:p>
    <w:p w14:paraId="3ECFFFAE" w14:textId="77777777" w:rsidR="00000000" w:rsidRDefault="007E65A2">
      <w:pPr>
        <w:pStyle w:val="a3"/>
        <w:spacing w:before="0" w:beforeAutospacing="0" w:after="0" w:afterAutospacing="0"/>
        <w:jc w:val="both"/>
        <w:divId w:val="911279972"/>
        <w:rPr>
          <w:sz w:val="20"/>
          <w:szCs w:val="20"/>
        </w:rPr>
      </w:pPr>
      <w:r>
        <w:rPr>
          <w:sz w:val="20"/>
          <w:szCs w:val="20"/>
        </w:rPr>
        <w:t> </w:t>
      </w:r>
    </w:p>
    <w:p w14:paraId="4C907E71" w14:textId="77777777" w:rsidR="00000000" w:rsidRDefault="007E65A2">
      <w:pPr>
        <w:pStyle w:val="a3"/>
        <w:spacing w:before="0" w:beforeAutospacing="0" w:after="0" w:afterAutospacing="0"/>
        <w:jc w:val="both"/>
        <w:divId w:val="911279972"/>
        <w:rPr>
          <w:sz w:val="20"/>
          <w:szCs w:val="20"/>
        </w:rPr>
      </w:pPr>
      <w:r>
        <w:rPr>
          <w:b/>
          <w:bCs/>
          <w:sz w:val="20"/>
          <w:szCs w:val="20"/>
        </w:rPr>
        <w:t>Equity Compensation Plans</w:t>
      </w:r>
    </w:p>
    <w:p w14:paraId="5E4F92C9" w14:textId="77777777" w:rsidR="00000000" w:rsidRDefault="007E65A2">
      <w:pPr>
        <w:pStyle w:val="a3"/>
        <w:spacing w:before="0" w:beforeAutospacing="0" w:after="0" w:afterAutospacing="0"/>
        <w:jc w:val="both"/>
        <w:divId w:val="911279972"/>
        <w:rPr>
          <w:sz w:val="20"/>
          <w:szCs w:val="20"/>
        </w:rPr>
      </w:pPr>
      <w:r>
        <w:rPr>
          <w:sz w:val="20"/>
          <w:szCs w:val="20"/>
        </w:rPr>
        <w:t> </w:t>
      </w:r>
    </w:p>
    <w:p w14:paraId="2DBF0BC7" w14:textId="77777777" w:rsidR="00000000" w:rsidRDefault="007E65A2">
      <w:pPr>
        <w:pStyle w:val="a3"/>
        <w:spacing w:before="0" w:beforeAutospacing="0" w:after="0" w:afterAutospacing="0"/>
        <w:jc w:val="both"/>
        <w:divId w:val="911279972"/>
        <w:rPr>
          <w:sz w:val="20"/>
          <w:szCs w:val="20"/>
        </w:rPr>
      </w:pPr>
      <w:r>
        <w:rPr>
          <w:sz w:val="20"/>
          <w:szCs w:val="20"/>
        </w:rPr>
        <w:t>Our company has not adopted any equity compensation plans and does not anticipate adopting any equity compensation plans in the near fut</w:t>
      </w:r>
      <w:r>
        <w:rPr>
          <w:sz w:val="20"/>
          <w:szCs w:val="20"/>
        </w:rPr>
        <w:t xml:space="preserve">ure. Notwithstanding the foregoing, because the company has limited cash resources at this time, it may issue shares or options to or enter into obligations that are convertible into shares of common stock with its employees and consultants as payment for </w:t>
      </w:r>
      <w:r>
        <w:rPr>
          <w:sz w:val="20"/>
          <w:szCs w:val="20"/>
        </w:rPr>
        <w:t>services or as discretionary bonuses.</w:t>
      </w:r>
    </w:p>
    <w:p w14:paraId="15339435" w14:textId="77777777" w:rsidR="00000000" w:rsidRDefault="007E65A2">
      <w:pPr>
        <w:pStyle w:val="a3"/>
        <w:spacing w:before="0" w:beforeAutospacing="0" w:after="0" w:afterAutospacing="0"/>
        <w:jc w:val="both"/>
        <w:divId w:val="911279972"/>
        <w:rPr>
          <w:sz w:val="20"/>
          <w:szCs w:val="20"/>
        </w:rPr>
      </w:pPr>
      <w:r>
        <w:rPr>
          <w:sz w:val="20"/>
          <w:szCs w:val="20"/>
        </w:rPr>
        <w:t> </w:t>
      </w:r>
    </w:p>
    <w:p w14:paraId="76C97098" w14:textId="77777777" w:rsidR="00000000" w:rsidRDefault="007E65A2">
      <w:pPr>
        <w:pStyle w:val="a3"/>
        <w:spacing w:before="0" w:beforeAutospacing="0" w:after="0" w:afterAutospacing="0"/>
        <w:jc w:val="both"/>
        <w:divId w:val="911279972"/>
        <w:rPr>
          <w:sz w:val="20"/>
          <w:szCs w:val="20"/>
        </w:rPr>
      </w:pPr>
      <w:r>
        <w:rPr>
          <w:b/>
          <w:bCs/>
          <w:sz w:val="20"/>
          <w:szCs w:val="20"/>
        </w:rPr>
        <w:t>Recent Sales of unregistered securities</w:t>
      </w:r>
    </w:p>
    <w:p w14:paraId="28F17207" w14:textId="77777777" w:rsidR="00000000" w:rsidRDefault="007E65A2">
      <w:pPr>
        <w:pStyle w:val="a3"/>
        <w:spacing w:before="0" w:beforeAutospacing="0" w:after="0" w:afterAutospacing="0"/>
        <w:jc w:val="both"/>
        <w:divId w:val="911279972"/>
        <w:rPr>
          <w:sz w:val="20"/>
          <w:szCs w:val="20"/>
        </w:rPr>
      </w:pPr>
      <w:r>
        <w:rPr>
          <w:sz w:val="20"/>
          <w:szCs w:val="20"/>
        </w:rPr>
        <w:t> </w:t>
      </w:r>
    </w:p>
    <w:p w14:paraId="51B0454B" w14:textId="77777777" w:rsidR="00000000" w:rsidRDefault="007E65A2">
      <w:pPr>
        <w:pStyle w:val="a3"/>
        <w:spacing w:before="0" w:beforeAutospacing="0" w:after="0" w:afterAutospacing="0"/>
        <w:jc w:val="both"/>
        <w:divId w:val="911279972"/>
        <w:rPr>
          <w:sz w:val="20"/>
          <w:szCs w:val="20"/>
        </w:rPr>
      </w:pPr>
      <w:r>
        <w:rPr>
          <w:sz w:val="20"/>
          <w:szCs w:val="20"/>
        </w:rPr>
        <w:t>None.</w:t>
      </w:r>
    </w:p>
    <w:p w14:paraId="725F2469"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E12FF95" w14:textId="77777777">
        <w:trPr>
          <w:divId w:val="911279972"/>
          <w:tblCellSpacing w:w="0" w:type="dxa"/>
        </w:trPr>
        <w:tc>
          <w:tcPr>
            <w:tcW w:w="0" w:type="auto"/>
            <w:vAlign w:val="center"/>
            <w:hideMark/>
          </w:tcPr>
          <w:p w14:paraId="4704CC00" w14:textId="77777777" w:rsidR="00000000" w:rsidRDefault="007E65A2">
            <w:pPr>
              <w:rPr>
                <w:rFonts w:eastAsia="Times New Roman"/>
                <w:sz w:val="20"/>
                <w:szCs w:val="20"/>
              </w:rPr>
            </w:pPr>
            <w:r>
              <w:rPr>
                <w:rFonts w:eastAsia="Times New Roman"/>
                <w:sz w:val="20"/>
                <w:szCs w:val="20"/>
              </w:rPr>
              <w:t> </w:t>
            </w:r>
          </w:p>
        </w:tc>
      </w:tr>
      <w:tr w:rsidR="00000000" w14:paraId="10621379" w14:textId="77777777">
        <w:trPr>
          <w:divId w:val="911279972"/>
          <w:tblCellSpacing w:w="0" w:type="dxa"/>
        </w:trPr>
        <w:tc>
          <w:tcPr>
            <w:tcW w:w="0" w:type="auto"/>
            <w:tcBorders>
              <w:bottom w:val="single" w:sz="6" w:space="0" w:color="000000"/>
            </w:tcBorders>
            <w:vAlign w:val="center"/>
            <w:hideMark/>
          </w:tcPr>
          <w:p w14:paraId="59E3B9F7" w14:textId="77777777" w:rsidR="00000000" w:rsidRDefault="007E65A2">
            <w:pPr>
              <w:jc w:val="center"/>
              <w:rPr>
                <w:rFonts w:eastAsia="Times New Roman"/>
                <w:sz w:val="20"/>
                <w:szCs w:val="20"/>
              </w:rPr>
            </w:pPr>
            <w:r>
              <w:rPr>
                <w:rFonts w:eastAsia="Times New Roman"/>
                <w:sz w:val="20"/>
                <w:szCs w:val="20"/>
              </w:rPr>
              <w:t>9</w:t>
            </w:r>
          </w:p>
        </w:tc>
      </w:tr>
      <w:tr w:rsidR="00000000" w14:paraId="7AC5E231" w14:textId="77777777">
        <w:trPr>
          <w:divId w:val="911279972"/>
          <w:tblCellSpacing w:w="0" w:type="dxa"/>
        </w:trPr>
        <w:tc>
          <w:tcPr>
            <w:tcW w:w="0" w:type="auto"/>
            <w:vAlign w:val="center"/>
            <w:hideMark/>
          </w:tcPr>
          <w:p w14:paraId="1D91BB29" w14:textId="77777777" w:rsidR="00000000" w:rsidRDefault="007E65A2">
            <w:pPr>
              <w:rPr>
                <w:rFonts w:eastAsia="Times New Roman"/>
                <w:sz w:val="20"/>
                <w:szCs w:val="20"/>
              </w:rPr>
            </w:pPr>
            <w:r>
              <w:rPr>
                <w:rFonts w:eastAsia="Times New Roman"/>
                <w:sz w:val="20"/>
                <w:szCs w:val="20"/>
              </w:rPr>
              <w:t> </w:t>
            </w:r>
          </w:p>
        </w:tc>
      </w:tr>
      <w:tr w:rsidR="00000000" w14:paraId="10A84E53" w14:textId="77777777">
        <w:trPr>
          <w:divId w:val="911279972"/>
          <w:tblCellSpacing w:w="0" w:type="dxa"/>
        </w:trPr>
        <w:tc>
          <w:tcPr>
            <w:tcW w:w="0" w:type="auto"/>
            <w:vAlign w:val="center"/>
            <w:hideMark/>
          </w:tcPr>
          <w:p w14:paraId="14836AE3"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23D1810C" w14:textId="77777777" w:rsidR="00000000" w:rsidRDefault="007E65A2">
      <w:pPr>
        <w:pStyle w:val="a3"/>
        <w:spacing w:before="0" w:beforeAutospacing="0" w:after="0" w:afterAutospacing="0"/>
        <w:jc w:val="both"/>
        <w:divId w:val="911279972"/>
        <w:rPr>
          <w:sz w:val="20"/>
          <w:szCs w:val="20"/>
        </w:rPr>
      </w:pPr>
      <w:r>
        <w:rPr>
          <w:sz w:val="20"/>
          <w:szCs w:val="20"/>
        </w:rPr>
        <w:t> </w:t>
      </w:r>
    </w:p>
    <w:p w14:paraId="37507A5C" w14:textId="77777777" w:rsidR="00000000" w:rsidRDefault="007E65A2">
      <w:pPr>
        <w:pStyle w:val="a3"/>
        <w:spacing w:before="0" w:beforeAutospacing="0" w:after="0" w:afterAutospacing="0"/>
        <w:jc w:val="both"/>
        <w:divId w:val="911279972"/>
        <w:rPr>
          <w:sz w:val="20"/>
          <w:szCs w:val="20"/>
        </w:rPr>
      </w:pPr>
      <w:r>
        <w:rPr>
          <w:b/>
          <w:bCs/>
          <w:sz w:val="20"/>
          <w:szCs w:val="20"/>
        </w:rPr>
        <w:t>Issuer Purchases of Equity Securities</w:t>
      </w:r>
    </w:p>
    <w:p w14:paraId="2572DC76" w14:textId="77777777" w:rsidR="00000000" w:rsidRDefault="007E65A2">
      <w:pPr>
        <w:pStyle w:val="a3"/>
        <w:spacing w:before="0" w:beforeAutospacing="0" w:after="0" w:afterAutospacing="0"/>
        <w:jc w:val="both"/>
        <w:divId w:val="911279972"/>
        <w:rPr>
          <w:sz w:val="20"/>
          <w:szCs w:val="20"/>
        </w:rPr>
      </w:pPr>
      <w:r>
        <w:rPr>
          <w:sz w:val="20"/>
          <w:szCs w:val="20"/>
        </w:rPr>
        <w:t> </w:t>
      </w:r>
    </w:p>
    <w:p w14:paraId="428067D2" w14:textId="77777777" w:rsidR="00000000" w:rsidRDefault="007E65A2">
      <w:pPr>
        <w:pStyle w:val="a3"/>
        <w:spacing w:before="0" w:beforeAutospacing="0" w:after="0" w:afterAutospacing="0"/>
        <w:jc w:val="both"/>
        <w:divId w:val="911279972"/>
        <w:rPr>
          <w:sz w:val="20"/>
          <w:szCs w:val="20"/>
        </w:rPr>
      </w:pPr>
      <w:r>
        <w:rPr>
          <w:sz w:val="20"/>
          <w:szCs w:val="20"/>
        </w:rPr>
        <w:t>There were no repurchases of common stock for the year ended June 30, 2019.</w:t>
      </w:r>
    </w:p>
    <w:p w14:paraId="531BABAB" w14:textId="77777777" w:rsidR="00000000" w:rsidRDefault="007E65A2">
      <w:pPr>
        <w:pStyle w:val="a3"/>
        <w:spacing w:before="0" w:beforeAutospacing="0" w:after="0" w:afterAutospacing="0"/>
        <w:jc w:val="both"/>
        <w:divId w:val="911279972"/>
        <w:rPr>
          <w:sz w:val="20"/>
          <w:szCs w:val="20"/>
        </w:rPr>
      </w:pPr>
      <w:r>
        <w:rPr>
          <w:sz w:val="20"/>
          <w:szCs w:val="20"/>
        </w:rPr>
        <w:t> </w:t>
      </w:r>
    </w:p>
    <w:p w14:paraId="6795AACA" w14:textId="77777777" w:rsidR="00000000" w:rsidRDefault="007E65A2">
      <w:pPr>
        <w:pStyle w:val="a3"/>
        <w:spacing w:before="0" w:beforeAutospacing="0" w:after="0" w:afterAutospacing="0"/>
        <w:jc w:val="both"/>
        <w:divId w:val="911279972"/>
        <w:rPr>
          <w:sz w:val="20"/>
          <w:szCs w:val="20"/>
        </w:rPr>
      </w:pPr>
      <w:bookmarkStart w:id="10" w:name="ITEM_6._SELECTED_FINANCIAL_DATA"/>
      <w:r>
        <w:rPr>
          <w:b/>
          <w:bCs/>
          <w:sz w:val="20"/>
          <w:szCs w:val="20"/>
        </w:rPr>
        <w:t>ITEM 6. SELECTED FINANCIAL DATA</w:t>
      </w:r>
      <w:bookmarkEnd w:id="10"/>
    </w:p>
    <w:p w14:paraId="73C60842" w14:textId="77777777" w:rsidR="00000000" w:rsidRDefault="007E65A2">
      <w:pPr>
        <w:pStyle w:val="a3"/>
        <w:spacing w:before="0" w:beforeAutospacing="0" w:after="0" w:afterAutospacing="0"/>
        <w:jc w:val="both"/>
        <w:divId w:val="911279972"/>
        <w:rPr>
          <w:sz w:val="20"/>
          <w:szCs w:val="20"/>
        </w:rPr>
      </w:pPr>
      <w:r>
        <w:rPr>
          <w:sz w:val="20"/>
          <w:szCs w:val="20"/>
        </w:rPr>
        <w:t> </w:t>
      </w:r>
    </w:p>
    <w:p w14:paraId="0F37B601" w14:textId="77777777" w:rsidR="00000000" w:rsidRDefault="007E65A2">
      <w:pPr>
        <w:pStyle w:val="a3"/>
        <w:spacing w:before="0" w:beforeAutospacing="0" w:after="0" w:afterAutospacing="0"/>
        <w:jc w:val="both"/>
        <w:divId w:val="911279972"/>
        <w:rPr>
          <w:sz w:val="20"/>
          <w:szCs w:val="20"/>
        </w:rPr>
      </w:pPr>
      <w:r>
        <w:rPr>
          <w:sz w:val="20"/>
          <w:szCs w:val="20"/>
        </w:rPr>
        <w:t>Not Applicable.</w:t>
      </w:r>
    </w:p>
    <w:p w14:paraId="674DF8BC" w14:textId="77777777" w:rsidR="00000000" w:rsidRDefault="007E65A2">
      <w:pPr>
        <w:pStyle w:val="a3"/>
        <w:spacing w:before="0" w:beforeAutospacing="0" w:after="0" w:afterAutospacing="0"/>
        <w:jc w:val="both"/>
        <w:divId w:val="911279972"/>
        <w:rPr>
          <w:sz w:val="20"/>
          <w:szCs w:val="20"/>
        </w:rPr>
      </w:pPr>
      <w:r>
        <w:rPr>
          <w:sz w:val="20"/>
          <w:szCs w:val="20"/>
        </w:rPr>
        <w:t> </w:t>
      </w:r>
    </w:p>
    <w:p w14:paraId="354C433A" w14:textId="77777777" w:rsidR="00000000" w:rsidRDefault="007E65A2">
      <w:pPr>
        <w:pStyle w:val="a3"/>
        <w:spacing w:before="0" w:beforeAutospacing="0" w:after="0" w:afterAutospacing="0"/>
        <w:jc w:val="both"/>
        <w:divId w:val="911279972"/>
        <w:rPr>
          <w:sz w:val="20"/>
          <w:szCs w:val="20"/>
        </w:rPr>
      </w:pPr>
      <w:bookmarkStart w:id="11" w:name="Item7"/>
      <w:r>
        <w:rPr>
          <w:b/>
          <w:bCs/>
          <w:sz w:val="20"/>
          <w:szCs w:val="20"/>
        </w:rPr>
        <w:t>ITEM 7. MANAGEMENT’S DISCUSSION AND ANALYSIS OF FINANCIAL CONDITION AND RESULTS OF OPERATIONS</w:t>
      </w:r>
      <w:bookmarkEnd w:id="11"/>
    </w:p>
    <w:p w14:paraId="49BBD65F" w14:textId="77777777" w:rsidR="00000000" w:rsidRDefault="007E65A2">
      <w:pPr>
        <w:pStyle w:val="a3"/>
        <w:spacing w:before="0" w:beforeAutospacing="0" w:after="0" w:afterAutospacing="0"/>
        <w:jc w:val="both"/>
        <w:divId w:val="911279972"/>
        <w:rPr>
          <w:sz w:val="20"/>
          <w:szCs w:val="20"/>
        </w:rPr>
      </w:pPr>
      <w:r>
        <w:rPr>
          <w:sz w:val="20"/>
          <w:szCs w:val="20"/>
        </w:rPr>
        <w:t> </w:t>
      </w:r>
    </w:p>
    <w:p w14:paraId="461BCD3C" w14:textId="77777777" w:rsidR="00000000" w:rsidRDefault="007E65A2">
      <w:pPr>
        <w:pStyle w:val="a3"/>
        <w:spacing w:before="0" w:beforeAutospacing="0" w:after="0" w:afterAutospacing="0"/>
        <w:jc w:val="both"/>
        <w:divId w:val="911279972"/>
        <w:rPr>
          <w:sz w:val="20"/>
          <w:szCs w:val="20"/>
        </w:rPr>
      </w:pPr>
      <w:r>
        <w:rPr>
          <w:rStyle w:val="a6"/>
          <w:sz w:val="20"/>
          <w:szCs w:val="20"/>
        </w:rPr>
        <w:t>This annual report on Form 10-</w:t>
      </w:r>
      <w:r>
        <w:rPr>
          <w:rStyle w:val="a6"/>
          <w:sz w:val="20"/>
          <w:szCs w:val="20"/>
        </w:rPr>
        <w:t>K contains forward-looking statements within the meaning of the federal securities laws. These include statements about our expectations, beliefs, intentions or strategies for the future, which we indicate by words or phrases such as “anticipate,” “expect,</w:t>
      </w:r>
      <w:r>
        <w:rPr>
          <w:rStyle w:val="a6"/>
          <w:sz w:val="20"/>
          <w:szCs w:val="20"/>
        </w:rPr>
        <w:t>” “intend,” “plan,” “will,” “we believe,” “management believes” and similar language. Except for the historical information contained herein, the matters discussed in this “Management’s Discussion and Analysis of Financial Condition and Results of Operatio</w:t>
      </w:r>
      <w:r>
        <w:rPr>
          <w:rStyle w:val="a6"/>
          <w:sz w:val="20"/>
          <w:szCs w:val="20"/>
        </w:rPr>
        <w:t xml:space="preserve">ns,” and elsewhere in this current report on Form 10-K are forward-looking statements that involve risks and uncertainties. The factors listed in the section captioned “Risk Factors,” as well as any cautionary language in this current report on Form 10-K, </w:t>
      </w:r>
      <w:r>
        <w:rPr>
          <w:rStyle w:val="a6"/>
          <w:sz w:val="20"/>
          <w:szCs w:val="20"/>
        </w:rPr>
        <w:t>provide examples of risks, uncertainties and events that may cause our actual results to differ materially from those projected. Except as may be required by law, we undertake no obligation to update any forward-looking statement to reflect events after th</w:t>
      </w:r>
      <w:r>
        <w:rPr>
          <w:rStyle w:val="a6"/>
          <w:sz w:val="20"/>
          <w:szCs w:val="20"/>
        </w:rPr>
        <w:t>e date of this current report on Form 10-K.</w:t>
      </w:r>
    </w:p>
    <w:p w14:paraId="339D3EA7" w14:textId="77777777" w:rsidR="00000000" w:rsidRDefault="007E65A2">
      <w:pPr>
        <w:pStyle w:val="a3"/>
        <w:spacing w:before="0" w:beforeAutospacing="0" w:after="0" w:afterAutospacing="0"/>
        <w:jc w:val="both"/>
        <w:divId w:val="911279972"/>
        <w:rPr>
          <w:sz w:val="20"/>
          <w:szCs w:val="20"/>
        </w:rPr>
      </w:pPr>
      <w:r>
        <w:rPr>
          <w:sz w:val="20"/>
          <w:szCs w:val="20"/>
        </w:rPr>
        <w:t> </w:t>
      </w:r>
    </w:p>
    <w:p w14:paraId="32796DED" w14:textId="77777777" w:rsidR="00000000" w:rsidRDefault="007E65A2">
      <w:pPr>
        <w:pStyle w:val="a3"/>
        <w:spacing w:before="0" w:beforeAutospacing="0" w:after="0" w:afterAutospacing="0"/>
        <w:jc w:val="both"/>
        <w:divId w:val="911279972"/>
        <w:rPr>
          <w:sz w:val="20"/>
          <w:szCs w:val="20"/>
        </w:rPr>
      </w:pPr>
      <w:r>
        <w:rPr>
          <w:b/>
          <w:bCs/>
          <w:sz w:val="20"/>
          <w:szCs w:val="20"/>
          <w:u w:val="single"/>
        </w:rPr>
        <w:t>Results of Operations</w:t>
      </w:r>
    </w:p>
    <w:p w14:paraId="777AEE18" w14:textId="77777777" w:rsidR="00000000" w:rsidRDefault="007E65A2">
      <w:pPr>
        <w:pStyle w:val="a3"/>
        <w:spacing w:before="0" w:beforeAutospacing="0" w:after="0" w:afterAutospacing="0"/>
        <w:jc w:val="both"/>
        <w:divId w:val="911279972"/>
        <w:rPr>
          <w:sz w:val="20"/>
          <w:szCs w:val="20"/>
        </w:rPr>
      </w:pPr>
      <w:r>
        <w:rPr>
          <w:sz w:val="20"/>
          <w:szCs w:val="20"/>
        </w:rPr>
        <w:t> </w:t>
      </w:r>
    </w:p>
    <w:p w14:paraId="420CF61F" w14:textId="77777777" w:rsidR="00000000" w:rsidRDefault="007E65A2">
      <w:pPr>
        <w:pStyle w:val="a3"/>
        <w:spacing w:before="0" w:beforeAutospacing="0" w:after="0" w:afterAutospacing="0"/>
        <w:jc w:val="both"/>
        <w:divId w:val="911279972"/>
        <w:rPr>
          <w:sz w:val="20"/>
          <w:szCs w:val="20"/>
        </w:rPr>
      </w:pPr>
      <w:r>
        <w:rPr>
          <w:rStyle w:val="a6"/>
          <w:sz w:val="20"/>
          <w:szCs w:val="20"/>
        </w:rPr>
        <w:t>Year ended June 30, 2019 compared to year ended June 30, 2018.</w:t>
      </w:r>
    </w:p>
    <w:p w14:paraId="064AD038"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11"/>
        <w:gridCol w:w="64"/>
        <w:gridCol w:w="100"/>
        <w:gridCol w:w="867"/>
        <w:gridCol w:w="67"/>
        <w:gridCol w:w="63"/>
        <w:gridCol w:w="100"/>
        <w:gridCol w:w="867"/>
        <w:gridCol w:w="67"/>
      </w:tblGrid>
      <w:tr w:rsidR="00000000" w14:paraId="564A13ED" w14:textId="77777777">
        <w:trPr>
          <w:divId w:val="911279972"/>
          <w:tblCellSpacing w:w="0" w:type="dxa"/>
        </w:trPr>
        <w:tc>
          <w:tcPr>
            <w:tcW w:w="0" w:type="auto"/>
            <w:vAlign w:val="bottom"/>
            <w:hideMark/>
          </w:tcPr>
          <w:p w14:paraId="7F22965C"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CEF3317"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2F87FA4F" w14:textId="77777777" w:rsidR="00000000" w:rsidRDefault="007E65A2">
            <w:pPr>
              <w:pStyle w:val="a3"/>
              <w:spacing w:before="0" w:beforeAutospacing="0" w:after="0" w:afterAutospacing="0"/>
              <w:jc w:val="center"/>
              <w:rPr>
                <w:sz w:val="20"/>
                <w:szCs w:val="20"/>
              </w:rPr>
            </w:pPr>
            <w:r>
              <w:rPr>
                <w:b/>
                <w:bCs/>
                <w:sz w:val="20"/>
                <w:szCs w:val="20"/>
              </w:rPr>
              <w:t xml:space="preserve">Year Ended </w:t>
            </w:r>
          </w:p>
        </w:tc>
        <w:tc>
          <w:tcPr>
            <w:tcW w:w="0" w:type="auto"/>
            <w:vAlign w:val="bottom"/>
            <w:hideMark/>
          </w:tcPr>
          <w:p w14:paraId="0E9A7368" w14:textId="77777777" w:rsidR="00000000" w:rsidRDefault="007E65A2">
            <w:pPr>
              <w:pStyle w:val="a3"/>
              <w:spacing w:before="0" w:beforeAutospacing="0" w:after="0" w:afterAutospacing="0"/>
              <w:jc w:val="both"/>
              <w:rPr>
                <w:sz w:val="20"/>
                <w:szCs w:val="20"/>
              </w:rPr>
            </w:pPr>
            <w:r>
              <w:rPr>
                <w:sz w:val="20"/>
                <w:szCs w:val="20"/>
              </w:rPr>
              <w:t> </w:t>
            </w:r>
          </w:p>
        </w:tc>
      </w:tr>
      <w:tr w:rsidR="00000000" w14:paraId="2AD91C4F" w14:textId="77777777">
        <w:trPr>
          <w:divId w:val="911279972"/>
          <w:tblCellSpacing w:w="0" w:type="dxa"/>
        </w:trPr>
        <w:tc>
          <w:tcPr>
            <w:tcW w:w="0" w:type="auto"/>
            <w:vAlign w:val="bottom"/>
            <w:hideMark/>
          </w:tcPr>
          <w:p w14:paraId="72EB5F4F"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4AB44F56"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025476FB" w14:textId="77777777" w:rsidR="00000000" w:rsidRDefault="007E65A2">
            <w:pPr>
              <w:pStyle w:val="a3"/>
              <w:spacing w:before="0" w:beforeAutospacing="0" w:after="0" w:afterAutospacing="0"/>
              <w:jc w:val="center"/>
              <w:rPr>
                <w:sz w:val="20"/>
                <w:szCs w:val="20"/>
              </w:rPr>
            </w:pPr>
            <w:r>
              <w:rPr>
                <w:b/>
                <w:bCs/>
                <w:sz w:val="20"/>
                <w:szCs w:val="20"/>
              </w:rPr>
              <w:t xml:space="preserve">June 30, </w:t>
            </w:r>
          </w:p>
        </w:tc>
        <w:tc>
          <w:tcPr>
            <w:tcW w:w="0" w:type="auto"/>
            <w:vAlign w:val="bottom"/>
            <w:hideMark/>
          </w:tcPr>
          <w:p w14:paraId="7D651B66" w14:textId="77777777" w:rsidR="00000000" w:rsidRDefault="007E65A2">
            <w:pPr>
              <w:pStyle w:val="a3"/>
              <w:spacing w:before="0" w:beforeAutospacing="0" w:after="0" w:afterAutospacing="0"/>
              <w:jc w:val="both"/>
              <w:rPr>
                <w:sz w:val="20"/>
                <w:szCs w:val="20"/>
              </w:rPr>
            </w:pPr>
            <w:r>
              <w:rPr>
                <w:sz w:val="20"/>
                <w:szCs w:val="20"/>
              </w:rPr>
              <w:t> </w:t>
            </w:r>
          </w:p>
        </w:tc>
      </w:tr>
      <w:tr w:rsidR="00000000" w14:paraId="21674E27" w14:textId="77777777">
        <w:trPr>
          <w:divId w:val="911279972"/>
          <w:tblCellSpacing w:w="0" w:type="dxa"/>
        </w:trPr>
        <w:tc>
          <w:tcPr>
            <w:tcW w:w="0" w:type="auto"/>
            <w:vAlign w:val="bottom"/>
            <w:hideMark/>
          </w:tcPr>
          <w:p w14:paraId="661FBDAA"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ABC2116"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4E4E2C46"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80546C2"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D784555"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3A08CB4F"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E6C723B" w14:textId="77777777" w:rsidR="00000000" w:rsidRDefault="007E65A2">
            <w:pPr>
              <w:pStyle w:val="a3"/>
              <w:spacing w:before="0" w:beforeAutospacing="0" w:after="0" w:afterAutospacing="0"/>
              <w:jc w:val="both"/>
              <w:rPr>
                <w:sz w:val="20"/>
                <w:szCs w:val="20"/>
              </w:rPr>
            </w:pPr>
            <w:r>
              <w:rPr>
                <w:sz w:val="20"/>
                <w:szCs w:val="20"/>
              </w:rPr>
              <w:t> </w:t>
            </w:r>
          </w:p>
        </w:tc>
      </w:tr>
      <w:tr w:rsidR="00000000" w14:paraId="6B4998AB" w14:textId="77777777">
        <w:trPr>
          <w:divId w:val="911279972"/>
          <w:tblCellSpacing w:w="0" w:type="dxa"/>
        </w:trPr>
        <w:tc>
          <w:tcPr>
            <w:tcW w:w="0" w:type="auto"/>
            <w:shd w:val="clear" w:color="auto" w:fill="CCEEFF"/>
            <w:hideMark/>
          </w:tcPr>
          <w:p w14:paraId="132DE671" w14:textId="77777777" w:rsidR="00000000" w:rsidRDefault="007E65A2">
            <w:pPr>
              <w:pStyle w:val="a3"/>
              <w:spacing w:before="0" w:beforeAutospacing="0" w:after="0" w:afterAutospacing="0"/>
              <w:jc w:val="both"/>
              <w:rPr>
                <w:sz w:val="20"/>
                <w:szCs w:val="20"/>
              </w:rPr>
            </w:pPr>
            <w:r>
              <w:rPr>
                <w:sz w:val="20"/>
                <w:szCs w:val="20"/>
              </w:rPr>
              <w:t>Revenue</w:t>
            </w:r>
          </w:p>
        </w:tc>
        <w:tc>
          <w:tcPr>
            <w:tcW w:w="50" w:type="pct"/>
            <w:shd w:val="clear" w:color="auto" w:fill="CCEEFF"/>
            <w:vAlign w:val="bottom"/>
            <w:hideMark/>
          </w:tcPr>
          <w:p w14:paraId="62EE405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927016D"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86E98CD" w14:textId="77777777" w:rsidR="00000000" w:rsidRDefault="007E65A2">
            <w:pPr>
              <w:jc w:val="right"/>
              <w:rPr>
                <w:rFonts w:eastAsia="Times New Roman"/>
                <w:sz w:val="20"/>
                <w:szCs w:val="20"/>
              </w:rPr>
            </w:pPr>
            <w:r>
              <w:rPr>
                <w:rFonts w:eastAsia="Times New Roman"/>
                <w:sz w:val="20"/>
                <w:szCs w:val="20"/>
              </w:rPr>
              <w:t>345</w:t>
            </w:r>
          </w:p>
        </w:tc>
        <w:tc>
          <w:tcPr>
            <w:tcW w:w="50" w:type="pct"/>
            <w:shd w:val="clear" w:color="auto" w:fill="CCEEFF"/>
            <w:vAlign w:val="bottom"/>
            <w:hideMark/>
          </w:tcPr>
          <w:p w14:paraId="65E8C10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D41C0C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8D2B3E"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8C0D606" w14:textId="77777777" w:rsidR="00000000" w:rsidRDefault="007E65A2">
            <w:pPr>
              <w:jc w:val="right"/>
              <w:rPr>
                <w:rFonts w:eastAsia="Times New Roman"/>
                <w:sz w:val="20"/>
                <w:szCs w:val="20"/>
              </w:rPr>
            </w:pPr>
            <w:r>
              <w:rPr>
                <w:rFonts w:eastAsia="Times New Roman"/>
                <w:sz w:val="20"/>
                <w:szCs w:val="20"/>
              </w:rPr>
              <w:t>1,349</w:t>
            </w:r>
          </w:p>
        </w:tc>
        <w:tc>
          <w:tcPr>
            <w:tcW w:w="50" w:type="pct"/>
            <w:shd w:val="clear" w:color="auto" w:fill="CCEEFF"/>
            <w:vAlign w:val="bottom"/>
            <w:hideMark/>
          </w:tcPr>
          <w:p w14:paraId="38DF5841" w14:textId="77777777" w:rsidR="00000000" w:rsidRDefault="007E65A2">
            <w:pPr>
              <w:pStyle w:val="a3"/>
              <w:spacing w:before="0" w:beforeAutospacing="0" w:after="0" w:afterAutospacing="0"/>
              <w:jc w:val="both"/>
              <w:rPr>
                <w:sz w:val="20"/>
                <w:szCs w:val="20"/>
              </w:rPr>
            </w:pPr>
            <w:r>
              <w:rPr>
                <w:sz w:val="20"/>
                <w:szCs w:val="20"/>
              </w:rPr>
              <w:t> </w:t>
            </w:r>
          </w:p>
        </w:tc>
      </w:tr>
      <w:tr w:rsidR="00000000" w14:paraId="0B70DA91" w14:textId="77777777">
        <w:trPr>
          <w:divId w:val="911279972"/>
          <w:tblCellSpacing w:w="0" w:type="dxa"/>
        </w:trPr>
        <w:tc>
          <w:tcPr>
            <w:tcW w:w="0" w:type="auto"/>
            <w:shd w:val="clear" w:color="auto" w:fill="FFFFFF"/>
            <w:hideMark/>
          </w:tcPr>
          <w:p w14:paraId="0172B6E9" w14:textId="77777777" w:rsidR="00000000" w:rsidRDefault="007E65A2">
            <w:pPr>
              <w:pStyle w:val="a3"/>
              <w:spacing w:before="0" w:beforeAutospacing="0" w:after="0" w:afterAutospacing="0"/>
              <w:jc w:val="both"/>
              <w:rPr>
                <w:sz w:val="20"/>
                <w:szCs w:val="20"/>
              </w:rPr>
            </w:pPr>
            <w:r>
              <w:rPr>
                <w:sz w:val="20"/>
                <w:szCs w:val="20"/>
              </w:rPr>
              <w:t>Revenue - related party</w:t>
            </w:r>
          </w:p>
        </w:tc>
        <w:tc>
          <w:tcPr>
            <w:tcW w:w="50" w:type="pct"/>
            <w:shd w:val="clear" w:color="auto" w:fill="FFFFFF"/>
            <w:vAlign w:val="bottom"/>
            <w:hideMark/>
          </w:tcPr>
          <w:p w14:paraId="28DFB39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8F911AE"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628082D"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8CEA53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AA5F33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B6F9D81"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43FA3D9F" w14:textId="77777777" w:rsidR="00000000" w:rsidRDefault="007E65A2">
            <w:pPr>
              <w:jc w:val="right"/>
              <w:rPr>
                <w:rFonts w:eastAsia="Times New Roman"/>
                <w:sz w:val="20"/>
                <w:szCs w:val="20"/>
              </w:rPr>
            </w:pPr>
            <w:r>
              <w:rPr>
                <w:rFonts w:eastAsia="Times New Roman"/>
                <w:sz w:val="20"/>
                <w:szCs w:val="20"/>
              </w:rPr>
              <w:t>2,900</w:t>
            </w:r>
          </w:p>
        </w:tc>
        <w:tc>
          <w:tcPr>
            <w:tcW w:w="50" w:type="pct"/>
            <w:shd w:val="clear" w:color="auto" w:fill="FFFFFF"/>
            <w:vAlign w:val="bottom"/>
            <w:hideMark/>
          </w:tcPr>
          <w:p w14:paraId="721ADBD8" w14:textId="77777777" w:rsidR="00000000" w:rsidRDefault="007E65A2">
            <w:pPr>
              <w:pStyle w:val="a3"/>
              <w:spacing w:before="0" w:beforeAutospacing="0" w:after="0" w:afterAutospacing="0"/>
              <w:jc w:val="both"/>
              <w:rPr>
                <w:sz w:val="20"/>
                <w:szCs w:val="20"/>
              </w:rPr>
            </w:pPr>
            <w:r>
              <w:rPr>
                <w:sz w:val="20"/>
                <w:szCs w:val="20"/>
              </w:rPr>
              <w:t> </w:t>
            </w:r>
          </w:p>
        </w:tc>
      </w:tr>
      <w:tr w:rsidR="00000000" w14:paraId="3DBCF348" w14:textId="77777777">
        <w:trPr>
          <w:divId w:val="911279972"/>
          <w:tblCellSpacing w:w="0" w:type="dxa"/>
        </w:trPr>
        <w:tc>
          <w:tcPr>
            <w:tcW w:w="0" w:type="auto"/>
            <w:shd w:val="clear" w:color="auto" w:fill="CCEEFF"/>
            <w:hideMark/>
          </w:tcPr>
          <w:p w14:paraId="037DB223" w14:textId="77777777" w:rsidR="00000000" w:rsidRDefault="007E65A2">
            <w:pPr>
              <w:pStyle w:val="a3"/>
              <w:spacing w:before="0" w:beforeAutospacing="0" w:after="0" w:afterAutospacing="0"/>
              <w:jc w:val="both"/>
              <w:rPr>
                <w:sz w:val="20"/>
                <w:szCs w:val="20"/>
              </w:rPr>
            </w:pPr>
            <w:r>
              <w:rPr>
                <w:sz w:val="20"/>
                <w:szCs w:val="20"/>
              </w:rPr>
              <w:t>Operating expenses</w:t>
            </w:r>
          </w:p>
        </w:tc>
        <w:tc>
          <w:tcPr>
            <w:tcW w:w="50" w:type="pct"/>
            <w:shd w:val="clear" w:color="auto" w:fill="CCEEFF"/>
            <w:vAlign w:val="bottom"/>
            <w:hideMark/>
          </w:tcPr>
          <w:p w14:paraId="0827AAC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4D05C40"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8700506" w14:textId="77777777" w:rsidR="00000000" w:rsidRDefault="007E65A2">
            <w:pPr>
              <w:jc w:val="right"/>
              <w:rPr>
                <w:rFonts w:eastAsia="Times New Roman"/>
                <w:sz w:val="20"/>
                <w:szCs w:val="20"/>
              </w:rPr>
            </w:pPr>
            <w:r>
              <w:rPr>
                <w:rFonts w:eastAsia="Times New Roman"/>
                <w:sz w:val="20"/>
                <w:szCs w:val="20"/>
              </w:rPr>
              <w:t>(164,258</w:t>
            </w:r>
          </w:p>
        </w:tc>
        <w:tc>
          <w:tcPr>
            <w:tcW w:w="50" w:type="pct"/>
            <w:shd w:val="clear" w:color="auto" w:fill="CCEEFF"/>
            <w:vAlign w:val="bottom"/>
            <w:hideMark/>
          </w:tcPr>
          <w:p w14:paraId="7C7DA818"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7BA696B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0F16112"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0725C0FD" w14:textId="77777777" w:rsidR="00000000" w:rsidRDefault="007E65A2">
            <w:pPr>
              <w:jc w:val="right"/>
              <w:rPr>
                <w:rFonts w:eastAsia="Times New Roman"/>
                <w:sz w:val="20"/>
                <w:szCs w:val="20"/>
              </w:rPr>
            </w:pPr>
            <w:r>
              <w:rPr>
                <w:rFonts w:eastAsia="Times New Roman"/>
                <w:sz w:val="20"/>
                <w:szCs w:val="20"/>
              </w:rPr>
              <w:t>(636,362</w:t>
            </w:r>
          </w:p>
        </w:tc>
        <w:tc>
          <w:tcPr>
            <w:tcW w:w="50" w:type="pct"/>
            <w:shd w:val="clear" w:color="auto" w:fill="CCEEFF"/>
            <w:vAlign w:val="bottom"/>
            <w:hideMark/>
          </w:tcPr>
          <w:p w14:paraId="4E696E65" w14:textId="77777777" w:rsidR="00000000" w:rsidRDefault="007E65A2">
            <w:pPr>
              <w:jc w:val="both"/>
              <w:rPr>
                <w:rFonts w:eastAsia="Times New Roman"/>
                <w:sz w:val="20"/>
                <w:szCs w:val="20"/>
              </w:rPr>
            </w:pPr>
            <w:r>
              <w:rPr>
                <w:rFonts w:eastAsia="Times New Roman"/>
                <w:sz w:val="20"/>
                <w:szCs w:val="20"/>
              </w:rPr>
              <w:t>)</w:t>
            </w:r>
          </w:p>
        </w:tc>
      </w:tr>
      <w:tr w:rsidR="00000000" w14:paraId="4D67A6F5" w14:textId="77777777">
        <w:trPr>
          <w:divId w:val="911279972"/>
          <w:tblCellSpacing w:w="0" w:type="dxa"/>
        </w:trPr>
        <w:tc>
          <w:tcPr>
            <w:tcW w:w="0" w:type="auto"/>
            <w:shd w:val="clear" w:color="auto" w:fill="FFFFFF"/>
            <w:hideMark/>
          </w:tcPr>
          <w:p w14:paraId="14CDDBCA" w14:textId="77777777" w:rsidR="00000000" w:rsidRDefault="007E65A2">
            <w:pPr>
              <w:pStyle w:val="a3"/>
              <w:spacing w:before="0" w:beforeAutospacing="0" w:after="0" w:afterAutospacing="0"/>
              <w:jc w:val="both"/>
              <w:rPr>
                <w:sz w:val="20"/>
                <w:szCs w:val="20"/>
              </w:rPr>
            </w:pPr>
            <w:r>
              <w:rPr>
                <w:sz w:val="20"/>
                <w:szCs w:val="20"/>
              </w:rPr>
              <w:t>Other expense</w:t>
            </w:r>
          </w:p>
        </w:tc>
        <w:tc>
          <w:tcPr>
            <w:tcW w:w="50" w:type="pct"/>
            <w:shd w:val="clear" w:color="auto" w:fill="FFFFFF"/>
            <w:vAlign w:val="bottom"/>
            <w:hideMark/>
          </w:tcPr>
          <w:p w14:paraId="3875849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F6B5A4A"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2473716C" w14:textId="77777777" w:rsidR="00000000" w:rsidRDefault="007E65A2">
            <w:pPr>
              <w:jc w:val="right"/>
              <w:rPr>
                <w:rFonts w:eastAsia="Times New Roman"/>
                <w:sz w:val="20"/>
                <w:szCs w:val="20"/>
              </w:rPr>
            </w:pPr>
            <w:r>
              <w:rPr>
                <w:rFonts w:eastAsia="Times New Roman"/>
                <w:sz w:val="20"/>
                <w:szCs w:val="20"/>
              </w:rPr>
              <w:t>(900,897</w:t>
            </w:r>
          </w:p>
        </w:tc>
        <w:tc>
          <w:tcPr>
            <w:tcW w:w="50" w:type="pct"/>
            <w:shd w:val="clear" w:color="auto" w:fill="FFFFFF"/>
            <w:vAlign w:val="bottom"/>
            <w:hideMark/>
          </w:tcPr>
          <w:p w14:paraId="7BD2F9F9"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67CCB91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3E4CBDE"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6B6DE5CD" w14:textId="77777777" w:rsidR="00000000" w:rsidRDefault="007E65A2">
            <w:pPr>
              <w:jc w:val="right"/>
              <w:rPr>
                <w:rFonts w:eastAsia="Times New Roman"/>
                <w:sz w:val="20"/>
                <w:szCs w:val="20"/>
              </w:rPr>
            </w:pPr>
            <w:r>
              <w:rPr>
                <w:rFonts w:eastAsia="Times New Roman"/>
                <w:sz w:val="20"/>
                <w:szCs w:val="20"/>
              </w:rPr>
              <w:t>(1,362,143</w:t>
            </w:r>
          </w:p>
        </w:tc>
        <w:tc>
          <w:tcPr>
            <w:tcW w:w="50" w:type="pct"/>
            <w:shd w:val="clear" w:color="auto" w:fill="FFFFFF"/>
            <w:vAlign w:val="bottom"/>
            <w:hideMark/>
          </w:tcPr>
          <w:p w14:paraId="7215E7B9" w14:textId="77777777" w:rsidR="00000000" w:rsidRDefault="007E65A2">
            <w:pPr>
              <w:jc w:val="both"/>
              <w:rPr>
                <w:rFonts w:eastAsia="Times New Roman"/>
                <w:sz w:val="20"/>
                <w:szCs w:val="20"/>
              </w:rPr>
            </w:pPr>
            <w:r>
              <w:rPr>
                <w:rFonts w:eastAsia="Times New Roman"/>
                <w:sz w:val="20"/>
                <w:szCs w:val="20"/>
              </w:rPr>
              <w:t>)</w:t>
            </w:r>
          </w:p>
        </w:tc>
      </w:tr>
      <w:tr w:rsidR="00000000" w14:paraId="7E4FC3E3" w14:textId="77777777">
        <w:trPr>
          <w:divId w:val="911279972"/>
          <w:tblCellSpacing w:w="0" w:type="dxa"/>
        </w:trPr>
        <w:tc>
          <w:tcPr>
            <w:tcW w:w="0" w:type="auto"/>
            <w:shd w:val="clear" w:color="auto" w:fill="CCEEFF"/>
            <w:hideMark/>
          </w:tcPr>
          <w:p w14:paraId="1C7CDD7F" w14:textId="77777777" w:rsidR="00000000" w:rsidRDefault="007E65A2">
            <w:pPr>
              <w:pStyle w:val="a3"/>
              <w:spacing w:before="0" w:beforeAutospacing="0" w:after="0" w:afterAutospacing="0"/>
              <w:jc w:val="both"/>
              <w:rPr>
                <w:sz w:val="20"/>
                <w:szCs w:val="20"/>
              </w:rPr>
            </w:pPr>
            <w:r>
              <w:rPr>
                <w:sz w:val="20"/>
                <w:szCs w:val="20"/>
              </w:rPr>
              <w:t>Net loss</w:t>
            </w:r>
          </w:p>
        </w:tc>
        <w:tc>
          <w:tcPr>
            <w:tcW w:w="50" w:type="pct"/>
            <w:shd w:val="clear" w:color="auto" w:fill="CCEEFF"/>
            <w:vAlign w:val="bottom"/>
            <w:hideMark/>
          </w:tcPr>
          <w:p w14:paraId="7D4A187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998A70"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0360B23F" w14:textId="77777777" w:rsidR="00000000" w:rsidRDefault="007E65A2">
            <w:pPr>
              <w:jc w:val="right"/>
              <w:rPr>
                <w:rFonts w:eastAsia="Times New Roman"/>
                <w:sz w:val="20"/>
                <w:szCs w:val="20"/>
              </w:rPr>
            </w:pPr>
            <w:r>
              <w:rPr>
                <w:rFonts w:eastAsia="Times New Roman"/>
                <w:sz w:val="20"/>
                <w:szCs w:val="20"/>
              </w:rPr>
              <w:t>(1,064,810</w:t>
            </w:r>
          </w:p>
        </w:tc>
        <w:tc>
          <w:tcPr>
            <w:tcW w:w="50" w:type="pct"/>
            <w:shd w:val="clear" w:color="auto" w:fill="CCEEFF"/>
            <w:vAlign w:val="bottom"/>
            <w:hideMark/>
          </w:tcPr>
          <w:p w14:paraId="2FA2E046"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1682988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B2318C3"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C79CBE0" w14:textId="77777777" w:rsidR="00000000" w:rsidRDefault="007E65A2">
            <w:pPr>
              <w:jc w:val="right"/>
              <w:rPr>
                <w:rFonts w:eastAsia="Times New Roman"/>
                <w:sz w:val="20"/>
                <w:szCs w:val="20"/>
              </w:rPr>
            </w:pPr>
            <w:r>
              <w:rPr>
                <w:rFonts w:eastAsia="Times New Roman"/>
                <w:sz w:val="20"/>
                <w:szCs w:val="20"/>
              </w:rPr>
              <w:t>(1,994,256</w:t>
            </w:r>
          </w:p>
        </w:tc>
        <w:tc>
          <w:tcPr>
            <w:tcW w:w="50" w:type="pct"/>
            <w:shd w:val="clear" w:color="auto" w:fill="CCEEFF"/>
            <w:vAlign w:val="bottom"/>
            <w:hideMark/>
          </w:tcPr>
          <w:p w14:paraId="678F44D0" w14:textId="77777777" w:rsidR="00000000" w:rsidRDefault="007E65A2">
            <w:pPr>
              <w:jc w:val="both"/>
              <w:rPr>
                <w:rFonts w:eastAsia="Times New Roman"/>
                <w:sz w:val="20"/>
                <w:szCs w:val="20"/>
              </w:rPr>
            </w:pPr>
            <w:r>
              <w:rPr>
                <w:rFonts w:eastAsia="Times New Roman"/>
                <w:sz w:val="20"/>
                <w:szCs w:val="20"/>
              </w:rPr>
              <w:t>)</w:t>
            </w:r>
          </w:p>
        </w:tc>
      </w:tr>
    </w:tbl>
    <w:p w14:paraId="551AE3FC" w14:textId="77777777" w:rsidR="00000000" w:rsidRDefault="007E65A2">
      <w:pPr>
        <w:pStyle w:val="a3"/>
        <w:spacing w:before="0" w:beforeAutospacing="0" w:after="0" w:afterAutospacing="0"/>
        <w:jc w:val="both"/>
        <w:divId w:val="911279972"/>
        <w:rPr>
          <w:sz w:val="20"/>
          <w:szCs w:val="20"/>
        </w:rPr>
      </w:pPr>
      <w:r>
        <w:rPr>
          <w:sz w:val="20"/>
          <w:szCs w:val="20"/>
        </w:rPr>
        <w:t> </w:t>
      </w:r>
    </w:p>
    <w:p w14:paraId="03A91297" w14:textId="77777777" w:rsidR="00000000" w:rsidRDefault="007E65A2">
      <w:pPr>
        <w:pStyle w:val="a3"/>
        <w:spacing w:before="0" w:beforeAutospacing="0" w:after="0" w:afterAutospacing="0"/>
        <w:jc w:val="both"/>
        <w:divId w:val="911279972"/>
        <w:rPr>
          <w:sz w:val="20"/>
          <w:szCs w:val="20"/>
        </w:rPr>
      </w:pPr>
      <w:r>
        <w:rPr>
          <w:sz w:val="20"/>
          <w:szCs w:val="20"/>
        </w:rPr>
        <w:t>We generated revenue of $345 and $1,349, and revenue from related party of $0 and $2,900 for the years ended June 30, 2019 and 2018, respectively. During our limited history, we have generated nominal revenue and have very little operating history upon whi</w:t>
      </w:r>
      <w:r>
        <w:rPr>
          <w:sz w:val="20"/>
          <w:szCs w:val="20"/>
        </w:rPr>
        <w:t>ch to evaluate our business.</w:t>
      </w:r>
    </w:p>
    <w:p w14:paraId="083AEEBF" w14:textId="77777777" w:rsidR="00000000" w:rsidRDefault="007E65A2">
      <w:pPr>
        <w:pStyle w:val="a3"/>
        <w:spacing w:before="0" w:beforeAutospacing="0" w:after="0" w:afterAutospacing="0"/>
        <w:jc w:val="both"/>
        <w:divId w:val="911279972"/>
        <w:rPr>
          <w:sz w:val="20"/>
          <w:szCs w:val="20"/>
        </w:rPr>
      </w:pPr>
      <w:r>
        <w:rPr>
          <w:sz w:val="20"/>
          <w:szCs w:val="20"/>
        </w:rPr>
        <w:t> </w:t>
      </w:r>
    </w:p>
    <w:p w14:paraId="57E5B83A" w14:textId="77777777" w:rsidR="00000000" w:rsidRDefault="007E65A2">
      <w:pPr>
        <w:pStyle w:val="a3"/>
        <w:spacing w:before="0" w:beforeAutospacing="0" w:after="0" w:afterAutospacing="0"/>
        <w:jc w:val="both"/>
        <w:divId w:val="911279972"/>
        <w:rPr>
          <w:sz w:val="20"/>
          <w:szCs w:val="20"/>
        </w:rPr>
      </w:pPr>
      <w:r>
        <w:rPr>
          <w:sz w:val="20"/>
          <w:szCs w:val="20"/>
        </w:rPr>
        <w:t>Operating expenses, which consisted of legal and professional fees, general and administrative expenses, and depreciation expense, were $164,258 and $636,362, for the years ended June 30, 2019 and 2018, respectively. Operatin</w:t>
      </w:r>
      <w:r>
        <w:rPr>
          <w:sz w:val="20"/>
          <w:szCs w:val="20"/>
        </w:rPr>
        <w:t>g expense decreased during the year ended June 30, 2019, by $472,104 as compared to 2018, were primarily the result of decreased professional fees. Professional fees decrease by $371,941 during the year ended 2019, due to a decrease in consulting fees.</w:t>
      </w:r>
    </w:p>
    <w:p w14:paraId="22D974AB" w14:textId="77777777" w:rsidR="00000000" w:rsidRDefault="007E65A2">
      <w:pPr>
        <w:pStyle w:val="a3"/>
        <w:spacing w:before="0" w:beforeAutospacing="0" w:after="0" w:afterAutospacing="0"/>
        <w:jc w:val="both"/>
        <w:divId w:val="911279972"/>
        <w:rPr>
          <w:sz w:val="20"/>
          <w:szCs w:val="20"/>
        </w:rPr>
      </w:pPr>
      <w:r>
        <w:rPr>
          <w:sz w:val="20"/>
          <w:szCs w:val="20"/>
        </w:rPr>
        <w:t> </w:t>
      </w:r>
    </w:p>
    <w:p w14:paraId="0B5D97AB" w14:textId="77777777" w:rsidR="00000000" w:rsidRDefault="007E65A2">
      <w:pPr>
        <w:pStyle w:val="a3"/>
        <w:spacing w:before="0" w:beforeAutospacing="0" w:after="0" w:afterAutospacing="0"/>
        <w:jc w:val="both"/>
        <w:divId w:val="911279972"/>
        <w:rPr>
          <w:sz w:val="20"/>
          <w:szCs w:val="20"/>
        </w:rPr>
      </w:pPr>
      <w:r>
        <w:rPr>
          <w:sz w:val="20"/>
          <w:szCs w:val="20"/>
        </w:rPr>
        <w:t>O</w:t>
      </w:r>
      <w:r>
        <w:rPr>
          <w:sz w:val="20"/>
          <w:szCs w:val="20"/>
        </w:rPr>
        <w:t>ther expenses totaled $900,897 for the year ended June 30, 2019 compared to $1,362,143 for the year ended June 30, 2018. The decrease in other expenses was primarily related a decrease in interest expense as well as the loss on the change in the fair value</w:t>
      </w:r>
      <w:r>
        <w:rPr>
          <w:sz w:val="20"/>
          <w:szCs w:val="20"/>
        </w:rPr>
        <w:t xml:space="preserve"> of our derivative liabilities offset by a loss on settlement of debt a decrease.</w:t>
      </w:r>
    </w:p>
    <w:p w14:paraId="209042E8" w14:textId="77777777" w:rsidR="00000000" w:rsidRDefault="007E65A2">
      <w:pPr>
        <w:pStyle w:val="a3"/>
        <w:spacing w:before="0" w:beforeAutospacing="0" w:after="0" w:afterAutospacing="0"/>
        <w:jc w:val="both"/>
        <w:divId w:val="911279972"/>
        <w:rPr>
          <w:sz w:val="20"/>
          <w:szCs w:val="20"/>
        </w:rPr>
      </w:pPr>
      <w:r>
        <w:rPr>
          <w:sz w:val="20"/>
          <w:szCs w:val="20"/>
        </w:rPr>
        <w:t> </w:t>
      </w:r>
    </w:p>
    <w:p w14:paraId="59637235" w14:textId="77777777" w:rsidR="00000000" w:rsidRDefault="007E65A2">
      <w:pPr>
        <w:pStyle w:val="a3"/>
        <w:spacing w:before="0" w:beforeAutospacing="0" w:after="0" w:afterAutospacing="0"/>
        <w:jc w:val="both"/>
        <w:divId w:val="911279972"/>
        <w:rPr>
          <w:sz w:val="20"/>
          <w:szCs w:val="20"/>
        </w:rPr>
      </w:pPr>
      <w:r>
        <w:rPr>
          <w:sz w:val="20"/>
          <w:szCs w:val="20"/>
        </w:rPr>
        <w:t>As a result of the foregoing, we incurred losses of $1,064,810 and $1,994,256 during the year ended June 30, 2019 and 2018, respectively.</w:t>
      </w:r>
    </w:p>
    <w:p w14:paraId="5721305F" w14:textId="77777777" w:rsidR="00000000" w:rsidRDefault="007E65A2">
      <w:pPr>
        <w:pStyle w:val="a3"/>
        <w:spacing w:before="0" w:beforeAutospacing="0" w:after="0" w:afterAutospacing="0"/>
        <w:jc w:val="both"/>
        <w:divId w:val="911279972"/>
        <w:rPr>
          <w:sz w:val="20"/>
          <w:szCs w:val="20"/>
        </w:rPr>
      </w:pPr>
      <w:r>
        <w:rPr>
          <w:sz w:val="20"/>
          <w:szCs w:val="20"/>
        </w:rPr>
        <w:t> </w:t>
      </w:r>
    </w:p>
    <w:p w14:paraId="2F49938A" w14:textId="77777777" w:rsidR="00000000" w:rsidRDefault="007E65A2">
      <w:pPr>
        <w:pStyle w:val="a3"/>
        <w:spacing w:before="0" w:beforeAutospacing="0" w:after="0" w:afterAutospacing="0"/>
        <w:jc w:val="both"/>
        <w:divId w:val="911279972"/>
        <w:rPr>
          <w:sz w:val="20"/>
          <w:szCs w:val="20"/>
        </w:rPr>
      </w:pPr>
      <w:r>
        <w:rPr>
          <w:sz w:val="20"/>
          <w:szCs w:val="20"/>
        </w:rPr>
        <w:t>Our activities have been entirely directed at the development of our internal apps, the acquisition of third-party a</w:t>
      </w:r>
      <w:r>
        <w:rPr>
          <w:sz w:val="20"/>
          <w:szCs w:val="20"/>
        </w:rPr>
        <w:t>pps, investigation and analysis of the healthcare industry, and the sourcing of capital to fund these activities.</w:t>
      </w:r>
    </w:p>
    <w:p w14:paraId="34ADE59B"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C384F0B" w14:textId="77777777">
        <w:trPr>
          <w:divId w:val="911279972"/>
          <w:tblCellSpacing w:w="0" w:type="dxa"/>
        </w:trPr>
        <w:tc>
          <w:tcPr>
            <w:tcW w:w="0" w:type="auto"/>
            <w:vAlign w:val="center"/>
            <w:hideMark/>
          </w:tcPr>
          <w:p w14:paraId="0E4E484C" w14:textId="77777777" w:rsidR="00000000" w:rsidRDefault="007E65A2">
            <w:pPr>
              <w:rPr>
                <w:rFonts w:eastAsia="Times New Roman"/>
                <w:sz w:val="20"/>
                <w:szCs w:val="20"/>
              </w:rPr>
            </w:pPr>
            <w:r>
              <w:rPr>
                <w:rFonts w:eastAsia="Times New Roman"/>
                <w:sz w:val="20"/>
                <w:szCs w:val="20"/>
              </w:rPr>
              <w:t> </w:t>
            </w:r>
          </w:p>
        </w:tc>
      </w:tr>
      <w:tr w:rsidR="00000000" w14:paraId="14916DF0" w14:textId="77777777">
        <w:trPr>
          <w:divId w:val="911279972"/>
          <w:tblCellSpacing w:w="0" w:type="dxa"/>
        </w:trPr>
        <w:tc>
          <w:tcPr>
            <w:tcW w:w="0" w:type="auto"/>
            <w:tcBorders>
              <w:bottom w:val="single" w:sz="6" w:space="0" w:color="000000"/>
            </w:tcBorders>
            <w:vAlign w:val="center"/>
            <w:hideMark/>
          </w:tcPr>
          <w:p w14:paraId="473D451E" w14:textId="77777777" w:rsidR="00000000" w:rsidRDefault="007E65A2">
            <w:pPr>
              <w:jc w:val="center"/>
              <w:rPr>
                <w:rFonts w:eastAsia="Times New Roman"/>
                <w:sz w:val="20"/>
                <w:szCs w:val="20"/>
              </w:rPr>
            </w:pPr>
            <w:r>
              <w:rPr>
                <w:rFonts w:eastAsia="Times New Roman"/>
                <w:sz w:val="20"/>
                <w:szCs w:val="20"/>
              </w:rPr>
              <w:t>10</w:t>
            </w:r>
          </w:p>
        </w:tc>
      </w:tr>
      <w:tr w:rsidR="00000000" w14:paraId="0B7B4526" w14:textId="77777777">
        <w:trPr>
          <w:divId w:val="911279972"/>
          <w:tblCellSpacing w:w="0" w:type="dxa"/>
        </w:trPr>
        <w:tc>
          <w:tcPr>
            <w:tcW w:w="0" w:type="auto"/>
            <w:vAlign w:val="center"/>
            <w:hideMark/>
          </w:tcPr>
          <w:p w14:paraId="2A334217" w14:textId="77777777" w:rsidR="00000000" w:rsidRDefault="007E65A2">
            <w:pPr>
              <w:rPr>
                <w:rFonts w:eastAsia="Times New Roman"/>
                <w:sz w:val="20"/>
                <w:szCs w:val="20"/>
              </w:rPr>
            </w:pPr>
            <w:r>
              <w:rPr>
                <w:rFonts w:eastAsia="Times New Roman"/>
                <w:sz w:val="20"/>
                <w:szCs w:val="20"/>
              </w:rPr>
              <w:t> </w:t>
            </w:r>
          </w:p>
        </w:tc>
      </w:tr>
      <w:tr w:rsidR="00000000" w14:paraId="2DE5C9AA" w14:textId="77777777">
        <w:trPr>
          <w:divId w:val="911279972"/>
          <w:tblCellSpacing w:w="0" w:type="dxa"/>
        </w:trPr>
        <w:tc>
          <w:tcPr>
            <w:tcW w:w="0" w:type="auto"/>
            <w:vAlign w:val="center"/>
            <w:hideMark/>
          </w:tcPr>
          <w:p w14:paraId="13187FA6"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637647BC" w14:textId="77777777" w:rsidR="00000000" w:rsidRDefault="007E65A2">
      <w:pPr>
        <w:pStyle w:val="a3"/>
        <w:spacing w:before="0" w:beforeAutospacing="0" w:after="0" w:afterAutospacing="0"/>
        <w:jc w:val="both"/>
        <w:divId w:val="911279972"/>
        <w:rPr>
          <w:sz w:val="20"/>
          <w:szCs w:val="20"/>
        </w:rPr>
      </w:pPr>
      <w:r>
        <w:rPr>
          <w:sz w:val="20"/>
          <w:szCs w:val="20"/>
        </w:rPr>
        <w:t> </w:t>
      </w:r>
    </w:p>
    <w:p w14:paraId="4BAAF45A" w14:textId="77777777" w:rsidR="00000000" w:rsidRDefault="007E65A2">
      <w:pPr>
        <w:pStyle w:val="a3"/>
        <w:spacing w:before="0" w:beforeAutospacing="0" w:after="0" w:afterAutospacing="0"/>
        <w:jc w:val="both"/>
        <w:divId w:val="911279972"/>
        <w:rPr>
          <w:sz w:val="20"/>
          <w:szCs w:val="20"/>
        </w:rPr>
      </w:pPr>
      <w:r>
        <w:rPr>
          <w:sz w:val="20"/>
          <w:szCs w:val="20"/>
        </w:rPr>
        <w:t>The following table provides selected financial data about our Company as at June 30, 2019 and 2018.</w:t>
      </w:r>
    </w:p>
    <w:p w14:paraId="786D009A"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80"/>
        <w:gridCol w:w="63"/>
        <w:gridCol w:w="100"/>
        <w:gridCol w:w="800"/>
        <w:gridCol w:w="67"/>
        <w:gridCol w:w="62"/>
        <w:gridCol w:w="100"/>
        <w:gridCol w:w="867"/>
        <w:gridCol w:w="67"/>
      </w:tblGrid>
      <w:tr w:rsidR="00000000" w14:paraId="7F12625C" w14:textId="77777777">
        <w:trPr>
          <w:divId w:val="911279972"/>
          <w:tblCellSpacing w:w="0" w:type="dxa"/>
        </w:trPr>
        <w:tc>
          <w:tcPr>
            <w:tcW w:w="0" w:type="auto"/>
            <w:vAlign w:val="bottom"/>
            <w:hideMark/>
          </w:tcPr>
          <w:p w14:paraId="08BD00F8"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55DAE8A8"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4A1C6892"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3EE48653"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6001FD76" w14:textId="77777777" w:rsidR="00000000" w:rsidRDefault="007E65A2">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47657381"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1A0CFB53" w14:textId="77777777" w:rsidR="00000000" w:rsidRDefault="007E65A2">
            <w:pPr>
              <w:pStyle w:val="a3"/>
              <w:spacing w:before="0" w:beforeAutospacing="0" w:after="0" w:afterAutospacing="0"/>
              <w:jc w:val="center"/>
              <w:rPr>
                <w:sz w:val="20"/>
                <w:szCs w:val="20"/>
              </w:rPr>
            </w:pPr>
            <w:r>
              <w:rPr>
                <w:sz w:val="20"/>
                <w:szCs w:val="20"/>
              </w:rPr>
              <w:t> </w:t>
            </w:r>
          </w:p>
        </w:tc>
      </w:tr>
      <w:tr w:rsidR="00000000" w14:paraId="5274F889" w14:textId="77777777">
        <w:trPr>
          <w:divId w:val="911279972"/>
          <w:tblCellSpacing w:w="0" w:type="dxa"/>
        </w:trPr>
        <w:tc>
          <w:tcPr>
            <w:tcW w:w="0" w:type="auto"/>
            <w:vAlign w:val="bottom"/>
            <w:hideMark/>
          </w:tcPr>
          <w:p w14:paraId="7F546100"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631A2752" w14:textId="77777777" w:rsidR="00000000" w:rsidRDefault="007E65A2">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14:paraId="7D636B66"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A1C167F"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5297FC73" w14:textId="77777777" w:rsidR="00000000" w:rsidRDefault="007E65A2">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14:paraId="2BBC9A5A"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D7A289D" w14:textId="77777777" w:rsidR="00000000" w:rsidRDefault="007E65A2">
            <w:pPr>
              <w:pStyle w:val="a3"/>
              <w:spacing w:before="0" w:beforeAutospacing="0" w:after="0" w:afterAutospacing="0"/>
              <w:jc w:val="both"/>
              <w:rPr>
                <w:sz w:val="20"/>
                <w:szCs w:val="20"/>
              </w:rPr>
            </w:pPr>
            <w:r>
              <w:rPr>
                <w:sz w:val="20"/>
                <w:szCs w:val="20"/>
              </w:rPr>
              <w:t> </w:t>
            </w:r>
          </w:p>
        </w:tc>
      </w:tr>
      <w:tr w:rsidR="00000000" w14:paraId="2A4F4A36" w14:textId="77777777">
        <w:trPr>
          <w:divId w:val="911279972"/>
          <w:tblCellSpacing w:w="0" w:type="dxa"/>
        </w:trPr>
        <w:tc>
          <w:tcPr>
            <w:tcW w:w="0" w:type="auto"/>
            <w:shd w:val="clear" w:color="auto" w:fill="CCEEFF"/>
            <w:hideMark/>
          </w:tcPr>
          <w:p w14:paraId="6C6F7004" w14:textId="77777777" w:rsidR="00000000" w:rsidRDefault="007E65A2">
            <w:pPr>
              <w:pStyle w:val="a3"/>
              <w:spacing w:before="0" w:beforeAutospacing="0" w:after="0" w:afterAutospacing="0"/>
              <w:jc w:val="both"/>
              <w:rPr>
                <w:sz w:val="20"/>
                <w:szCs w:val="20"/>
              </w:rPr>
            </w:pPr>
            <w:r>
              <w:rPr>
                <w:sz w:val="20"/>
                <w:szCs w:val="20"/>
              </w:rPr>
              <w:t>Cash</w:t>
            </w:r>
          </w:p>
        </w:tc>
        <w:tc>
          <w:tcPr>
            <w:tcW w:w="50" w:type="pct"/>
            <w:shd w:val="clear" w:color="auto" w:fill="CCEEFF"/>
            <w:vAlign w:val="bottom"/>
            <w:hideMark/>
          </w:tcPr>
          <w:p w14:paraId="0A2937E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A524280"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0CE216E" w14:textId="77777777" w:rsidR="00000000" w:rsidRDefault="007E65A2">
            <w:pPr>
              <w:jc w:val="right"/>
              <w:rPr>
                <w:rFonts w:eastAsia="Times New Roman"/>
                <w:sz w:val="20"/>
                <w:szCs w:val="20"/>
              </w:rPr>
            </w:pPr>
            <w:r>
              <w:rPr>
                <w:rFonts w:eastAsia="Times New Roman"/>
                <w:sz w:val="20"/>
                <w:szCs w:val="20"/>
              </w:rPr>
              <w:t>45,056</w:t>
            </w:r>
          </w:p>
        </w:tc>
        <w:tc>
          <w:tcPr>
            <w:tcW w:w="50" w:type="pct"/>
            <w:shd w:val="clear" w:color="auto" w:fill="CCEEFF"/>
            <w:vAlign w:val="bottom"/>
            <w:hideMark/>
          </w:tcPr>
          <w:p w14:paraId="2EE57F9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55D46E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6752351"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6D8C4BF" w14:textId="77777777" w:rsidR="00000000" w:rsidRDefault="007E65A2">
            <w:pPr>
              <w:jc w:val="right"/>
              <w:rPr>
                <w:rFonts w:eastAsia="Times New Roman"/>
                <w:sz w:val="20"/>
                <w:szCs w:val="20"/>
              </w:rPr>
            </w:pPr>
            <w:r>
              <w:rPr>
                <w:rFonts w:eastAsia="Times New Roman"/>
                <w:sz w:val="20"/>
                <w:szCs w:val="20"/>
              </w:rPr>
              <w:t>47,196</w:t>
            </w:r>
          </w:p>
        </w:tc>
        <w:tc>
          <w:tcPr>
            <w:tcW w:w="50" w:type="pct"/>
            <w:shd w:val="clear" w:color="auto" w:fill="CCEEFF"/>
            <w:vAlign w:val="bottom"/>
            <w:hideMark/>
          </w:tcPr>
          <w:p w14:paraId="2500C9ED" w14:textId="77777777" w:rsidR="00000000" w:rsidRDefault="007E65A2">
            <w:pPr>
              <w:pStyle w:val="a3"/>
              <w:spacing w:before="0" w:beforeAutospacing="0" w:after="0" w:afterAutospacing="0"/>
              <w:jc w:val="both"/>
              <w:rPr>
                <w:sz w:val="20"/>
                <w:szCs w:val="20"/>
              </w:rPr>
            </w:pPr>
            <w:r>
              <w:rPr>
                <w:sz w:val="20"/>
                <w:szCs w:val="20"/>
              </w:rPr>
              <w:t> </w:t>
            </w:r>
          </w:p>
        </w:tc>
      </w:tr>
      <w:tr w:rsidR="00000000" w14:paraId="586ED31E" w14:textId="77777777">
        <w:trPr>
          <w:divId w:val="911279972"/>
          <w:tblCellSpacing w:w="0" w:type="dxa"/>
        </w:trPr>
        <w:tc>
          <w:tcPr>
            <w:tcW w:w="0" w:type="auto"/>
            <w:shd w:val="clear" w:color="auto" w:fill="FFFFFF"/>
            <w:hideMark/>
          </w:tcPr>
          <w:p w14:paraId="3EDECD8A" w14:textId="77777777" w:rsidR="00000000" w:rsidRDefault="007E65A2">
            <w:pPr>
              <w:pStyle w:val="a3"/>
              <w:spacing w:before="0" w:beforeAutospacing="0" w:after="0" w:afterAutospacing="0"/>
              <w:jc w:val="both"/>
              <w:rPr>
                <w:sz w:val="20"/>
                <w:szCs w:val="20"/>
              </w:rPr>
            </w:pPr>
            <w:r>
              <w:rPr>
                <w:sz w:val="20"/>
                <w:szCs w:val="20"/>
              </w:rPr>
              <w:t>Total Assets</w:t>
            </w:r>
          </w:p>
        </w:tc>
        <w:tc>
          <w:tcPr>
            <w:tcW w:w="50" w:type="pct"/>
            <w:shd w:val="clear" w:color="auto" w:fill="FFFFFF"/>
            <w:vAlign w:val="bottom"/>
            <w:hideMark/>
          </w:tcPr>
          <w:p w14:paraId="047FEB6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A764760"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669D04DD" w14:textId="77777777" w:rsidR="00000000" w:rsidRDefault="007E65A2">
            <w:pPr>
              <w:jc w:val="right"/>
              <w:rPr>
                <w:rFonts w:eastAsia="Times New Roman"/>
                <w:sz w:val="20"/>
                <w:szCs w:val="20"/>
              </w:rPr>
            </w:pPr>
            <w:r>
              <w:rPr>
                <w:rFonts w:eastAsia="Times New Roman"/>
                <w:sz w:val="20"/>
                <w:szCs w:val="20"/>
              </w:rPr>
              <w:t>54,556</w:t>
            </w:r>
          </w:p>
        </w:tc>
        <w:tc>
          <w:tcPr>
            <w:tcW w:w="50" w:type="pct"/>
            <w:shd w:val="clear" w:color="auto" w:fill="FFFFFF"/>
            <w:vAlign w:val="bottom"/>
            <w:hideMark/>
          </w:tcPr>
          <w:p w14:paraId="30D08E1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BE6FEB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7C67277"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13224415" w14:textId="77777777" w:rsidR="00000000" w:rsidRDefault="007E65A2">
            <w:pPr>
              <w:jc w:val="right"/>
              <w:rPr>
                <w:rFonts w:eastAsia="Times New Roman"/>
                <w:sz w:val="20"/>
                <w:szCs w:val="20"/>
              </w:rPr>
            </w:pPr>
            <w:r>
              <w:rPr>
                <w:rFonts w:eastAsia="Times New Roman"/>
                <w:sz w:val="20"/>
                <w:szCs w:val="20"/>
              </w:rPr>
              <w:t>54,496</w:t>
            </w:r>
          </w:p>
        </w:tc>
        <w:tc>
          <w:tcPr>
            <w:tcW w:w="50" w:type="pct"/>
            <w:shd w:val="clear" w:color="auto" w:fill="FFFFFF"/>
            <w:vAlign w:val="bottom"/>
            <w:hideMark/>
          </w:tcPr>
          <w:p w14:paraId="249A8F0E" w14:textId="77777777" w:rsidR="00000000" w:rsidRDefault="007E65A2">
            <w:pPr>
              <w:pStyle w:val="a3"/>
              <w:spacing w:before="0" w:beforeAutospacing="0" w:after="0" w:afterAutospacing="0"/>
              <w:jc w:val="both"/>
              <w:rPr>
                <w:sz w:val="20"/>
                <w:szCs w:val="20"/>
              </w:rPr>
            </w:pPr>
            <w:r>
              <w:rPr>
                <w:sz w:val="20"/>
                <w:szCs w:val="20"/>
              </w:rPr>
              <w:t> </w:t>
            </w:r>
          </w:p>
        </w:tc>
      </w:tr>
      <w:tr w:rsidR="00000000" w14:paraId="66BF4B80" w14:textId="77777777">
        <w:trPr>
          <w:divId w:val="911279972"/>
          <w:tblCellSpacing w:w="0" w:type="dxa"/>
        </w:trPr>
        <w:tc>
          <w:tcPr>
            <w:tcW w:w="0" w:type="auto"/>
            <w:shd w:val="clear" w:color="auto" w:fill="CCEEFF"/>
            <w:hideMark/>
          </w:tcPr>
          <w:p w14:paraId="2EA6073B" w14:textId="77777777" w:rsidR="00000000" w:rsidRDefault="007E65A2">
            <w:pPr>
              <w:pStyle w:val="a3"/>
              <w:spacing w:before="0" w:beforeAutospacing="0" w:after="0" w:afterAutospacing="0"/>
              <w:jc w:val="both"/>
              <w:rPr>
                <w:sz w:val="20"/>
                <w:szCs w:val="20"/>
              </w:rPr>
            </w:pPr>
            <w:r>
              <w:rPr>
                <w:sz w:val="20"/>
                <w:szCs w:val="20"/>
              </w:rPr>
              <w:t>Total Liabilities</w:t>
            </w:r>
          </w:p>
        </w:tc>
        <w:tc>
          <w:tcPr>
            <w:tcW w:w="50" w:type="pct"/>
            <w:shd w:val="clear" w:color="auto" w:fill="CCEEFF"/>
            <w:vAlign w:val="bottom"/>
            <w:hideMark/>
          </w:tcPr>
          <w:p w14:paraId="32703A6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67D3E56"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5DCD3691" w14:textId="77777777" w:rsidR="00000000" w:rsidRDefault="007E65A2">
            <w:pPr>
              <w:jc w:val="right"/>
              <w:rPr>
                <w:rFonts w:eastAsia="Times New Roman"/>
                <w:sz w:val="20"/>
                <w:szCs w:val="20"/>
              </w:rPr>
            </w:pPr>
            <w:r>
              <w:rPr>
                <w:rFonts w:eastAsia="Times New Roman"/>
                <w:sz w:val="20"/>
                <w:szCs w:val="20"/>
              </w:rPr>
              <w:t>1,030,167</w:t>
            </w:r>
          </w:p>
        </w:tc>
        <w:tc>
          <w:tcPr>
            <w:tcW w:w="50" w:type="pct"/>
            <w:shd w:val="clear" w:color="auto" w:fill="CCEEFF"/>
            <w:vAlign w:val="bottom"/>
            <w:hideMark/>
          </w:tcPr>
          <w:p w14:paraId="24B343E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C40A5A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1EA126"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5D190738" w14:textId="77777777" w:rsidR="00000000" w:rsidRDefault="007E65A2">
            <w:pPr>
              <w:jc w:val="right"/>
              <w:rPr>
                <w:rFonts w:eastAsia="Times New Roman"/>
                <w:sz w:val="20"/>
                <w:szCs w:val="20"/>
              </w:rPr>
            </w:pPr>
            <w:r>
              <w:rPr>
                <w:rFonts w:eastAsia="Times New Roman"/>
                <w:sz w:val="20"/>
                <w:szCs w:val="20"/>
              </w:rPr>
              <w:t>1,904,064</w:t>
            </w:r>
          </w:p>
        </w:tc>
        <w:tc>
          <w:tcPr>
            <w:tcW w:w="50" w:type="pct"/>
            <w:shd w:val="clear" w:color="auto" w:fill="CCEEFF"/>
            <w:vAlign w:val="bottom"/>
            <w:hideMark/>
          </w:tcPr>
          <w:p w14:paraId="2436D613" w14:textId="77777777" w:rsidR="00000000" w:rsidRDefault="007E65A2">
            <w:pPr>
              <w:pStyle w:val="a3"/>
              <w:spacing w:before="0" w:beforeAutospacing="0" w:after="0" w:afterAutospacing="0"/>
              <w:jc w:val="both"/>
              <w:rPr>
                <w:sz w:val="20"/>
                <w:szCs w:val="20"/>
              </w:rPr>
            </w:pPr>
            <w:r>
              <w:rPr>
                <w:sz w:val="20"/>
                <w:szCs w:val="20"/>
              </w:rPr>
              <w:t> </w:t>
            </w:r>
          </w:p>
        </w:tc>
      </w:tr>
      <w:tr w:rsidR="00000000" w14:paraId="67F0CDF4" w14:textId="77777777">
        <w:trPr>
          <w:divId w:val="911279972"/>
          <w:tblCellSpacing w:w="0" w:type="dxa"/>
        </w:trPr>
        <w:tc>
          <w:tcPr>
            <w:tcW w:w="0" w:type="auto"/>
            <w:shd w:val="clear" w:color="auto" w:fill="FFFFFF"/>
            <w:hideMark/>
          </w:tcPr>
          <w:p w14:paraId="53C05AF8" w14:textId="77777777" w:rsidR="00000000" w:rsidRDefault="007E65A2">
            <w:pPr>
              <w:pStyle w:val="a3"/>
              <w:spacing w:before="0" w:beforeAutospacing="0" w:after="0" w:afterAutospacing="0"/>
              <w:jc w:val="both"/>
              <w:rPr>
                <w:sz w:val="20"/>
                <w:szCs w:val="20"/>
              </w:rPr>
            </w:pPr>
            <w:r>
              <w:rPr>
                <w:sz w:val="20"/>
                <w:szCs w:val="20"/>
              </w:rPr>
              <w:t>Stockholders’ Deficit</w:t>
            </w:r>
          </w:p>
        </w:tc>
        <w:tc>
          <w:tcPr>
            <w:tcW w:w="50" w:type="pct"/>
            <w:shd w:val="clear" w:color="auto" w:fill="FFFFFF"/>
            <w:vAlign w:val="bottom"/>
            <w:hideMark/>
          </w:tcPr>
          <w:p w14:paraId="156EC46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5712A89"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179AD6C" w14:textId="77777777" w:rsidR="00000000" w:rsidRDefault="007E65A2">
            <w:pPr>
              <w:jc w:val="right"/>
              <w:rPr>
                <w:rFonts w:eastAsia="Times New Roman"/>
                <w:sz w:val="20"/>
                <w:szCs w:val="20"/>
              </w:rPr>
            </w:pPr>
            <w:r>
              <w:rPr>
                <w:rFonts w:eastAsia="Times New Roman"/>
                <w:sz w:val="20"/>
                <w:szCs w:val="20"/>
              </w:rPr>
              <w:t>(975,611</w:t>
            </w:r>
          </w:p>
        </w:tc>
        <w:tc>
          <w:tcPr>
            <w:tcW w:w="50" w:type="pct"/>
            <w:shd w:val="clear" w:color="auto" w:fill="FFFFFF"/>
            <w:vAlign w:val="bottom"/>
            <w:hideMark/>
          </w:tcPr>
          <w:p w14:paraId="63FEF866"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478C5E1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F033814"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698B4449" w14:textId="77777777" w:rsidR="00000000" w:rsidRDefault="007E65A2">
            <w:pPr>
              <w:jc w:val="right"/>
              <w:rPr>
                <w:rFonts w:eastAsia="Times New Roman"/>
                <w:sz w:val="20"/>
                <w:szCs w:val="20"/>
              </w:rPr>
            </w:pPr>
            <w:r>
              <w:rPr>
                <w:rFonts w:eastAsia="Times New Roman"/>
                <w:sz w:val="20"/>
                <w:szCs w:val="20"/>
              </w:rPr>
              <w:t>(1,849,568</w:t>
            </w:r>
          </w:p>
        </w:tc>
        <w:tc>
          <w:tcPr>
            <w:tcW w:w="50" w:type="pct"/>
            <w:shd w:val="clear" w:color="auto" w:fill="FFFFFF"/>
            <w:vAlign w:val="bottom"/>
            <w:hideMark/>
          </w:tcPr>
          <w:p w14:paraId="1EC78973" w14:textId="77777777" w:rsidR="00000000" w:rsidRDefault="007E65A2">
            <w:pPr>
              <w:jc w:val="both"/>
              <w:rPr>
                <w:rFonts w:eastAsia="Times New Roman"/>
                <w:sz w:val="20"/>
                <w:szCs w:val="20"/>
              </w:rPr>
            </w:pPr>
            <w:r>
              <w:rPr>
                <w:rFonts w:eastAsia="Times New Roman"/>
                <w:sz w:val="20"/>
                <w:szCs w:val="20"/>
              </w:rPr>
              <w:t>)</w:t>
            </w:r>
          </w:p>
        </w:tc>
      </w:tr>
    </w:tbl>
    <w:p w14:paraId="1C19E6EE" w14:textId="77777777" w:rsidR="00000000" w:rsidRDefault="007E65A2">
      <w:pPr>
        <w:pStyle w:val="a3"/>
        <w:spacing w:before="0" w:beforeAutospacing="0" w:after="0" w:afterAutospacing="0"/>
        <w:jc w:val="both"/>
        <w:divId w:val="911279972"/>
        <w:rPr>
          <w:sz w:val="20"/>
          <w:szCs w:val="20"/>
        </w:rPr>
      </w:pPr>
      <w:r>
        <w:rPr>
          <w:sz w:val="20"/>
          <w:szCs w:val="20"/>
        </w:rPr>
        <w:t> </w:t>
      </w:r>
    </w:p>
    <w:p w14:paraId="28BCF168" w14:textId="77777777" w:rsidR="00000000" w:rsidRDefault="007E65A2">
      <w:pPr>
        <w:pStyle w:val="a3"/>
        <w:spacing w:before="0" w:beforeAutospacing="0" w:after="0" w:afterAutospacing="0"/>
        <w:jc w:val="both"/>
        <w:divId w:val="911279972"/>
        <w:rPr>
          <w:sz w:val="20"/>
          <w:szCs w:val="20"/>
        </w:rPr>
      </w:pPr>
      <w:r>
        <w:rPr>
          <w:sz w:val="20"/>
          <w:szCs w:val="20"/>
        </w:rPr>
        <w:t>As at June 30, 2019, the Company’</w:t>
      </w:r>
      <w:r>
        <w:rPr>
          <w:sz w:val="20"/>
          <w:szCs w:val="20"/>
        </w:rPr>
        <w:t>s cash balance was $45,056 compared to $47,196 as at June 30, 2018 and our total assets at June 30, 2019 were $54,556 compared with $54,496 as at June 30, 2018. The increase in total assets was due to a decrease in fixed assets of $7,300 and cash of $2,140</w:t>
      </w:r>
      <w:r>
        <w:rPr>
          <w:sz w:val="20"/>
          <w:szCs w:val="20"/>
        </w:rPr>
        <w:t xml:space="preserve"> offset by an increase in prepaid expense of $9,500.</w:t>
      </w:r>
    </w:p>
    <w:p w14:paraId="7385FE6A" w14:textId="77777777" w:rsidR="00000000" w:rsidRDefault="007E65A2">
      <w:pPr>
        <w:pStyle w:val="a3"/>
        <w:spacing w:before="0" w:beforeAutospacing="0" w:after="0" w:afterAutospacing="0"/>
        <w:jc w:val="both"/>
        <w:divId w:val="911279972"/>
        <w:rPr>
          <w:sz w:val="20"/>
          <w:szCs w:val="20"/>
        </w:rPr>
      </w:pPr>
      <w:r>
        <w:rPr>
          <w:sz w:val="20"/>
          <w:szCs w:val="20"/>
        </w:rPr>
        <w:t> </w:t>
      </w:r>
    </w:p>
    <w:p w14:paraId="767E2E54" w14:textId="77777777" w:rsidR="00000000" w:rsidRDefault="007E65A2">
      <w:pPr>
        <w:pStyle w:val="a3"/>
        <w:spacing w:before="0" w:beforeAutospacing="0" w:after="0" w:afterAutospacing="0"/>
        <w:jc w:val="both"/>
        <w:divId w:val="911279972"/>
        <w:rPr>
          <w:sz w:val="20"/>
          <w:szCs w:val="20"/>
        </w:rPr>
      </w:pPr>
      <w:r>
        <w:rPr>
          <w:sz w:val="20"/>
          <w:szCs w:val="20"/>
        </w:rPr>
        <w:t>As at June 30, 2019, the Company had total liabilities of $1,030,167 compared with total liabilities of $1,904,064 as at June 30, 2018. The decrease in total liabilities of $873,897, during the year en</w:t>
      </w:r>
      <w:r>
        <w:rPr>
          <w:sz w:val="20"/>
          <w:szCs w:val="20"/>
        </w:rPr>
        <w:t>ded 2019, was primarily the result of a decrease in accounts payable and accrued liabilities of $230,919, accrued salary of $220,494 and derivative liability of $438,053. As at June 30, 2019 and 2018, the Company accrued $3,506 and $224,000 for officer sal</w:t>
      </w:r>
      <w:r>
        <w:rPr>
          <w:sz w:val="20"/>
          <w:szCs w:val="20"/>
        </w:rPr>
        <w:t>ary, respectively.</w:t>
      </w:r>
    </w:p>
    <w:p w14:paraId="61C4363D" w14:textId="77777777" w:rsidR="00000000" w:rsidRDefault="007E65A2">
      <w:pPr>
        <w:pStyle w:val="a3"/>
        <w:spacing w:before="0" w:beforeAutospacing="0" w:after="0" w:afterAutospacing="0"/>
        <w:jc w:val="both"/>
        <w:divId w:val="911279972"/>
        <w:rPr>
          <w:sz w:val="20"/>
          <w:szCs w:val="20"/>
        </w:rPr>
      </w:pPr>
      <w:r>
        <w:rPr>
          <w:sz w:val="20"/>
          <w:szCs w:val="20"/>
        </w:rPr>
        <w:t> </w:t>
      </w:r>
    </w:p>
    <w:p w14:paraId="3F61A763" w14:textId="77777777" w:rsidR="00000000" w:rsidRDefault="007E65A2">
      <w:pPr>
        <w:pStyle w:val="a3"/>
        <w:spacing w:before="0" w:beforeAutospacing="0" w:after="0" w:afterAutospacing="0"/>
        <w:jc w:val="both"/>
        <w:divId w:val="911279972"/>
        <w:rPr>
          <w:sz w:val="20"/>
          <w:szCs w:val="20"/>
        </w:rPr>
      </w:pPr>
      <w:r>
        <w:rPr>
          <w:b/>
          <w:bCs/>
          <w:sz w:val="20"/>
          <w:szCs w:val="20"/>
          <w:u w:val="single"/>
        </w:rPr>
        <w:t>Liquidity and Capital Resources</w:t>
      </w:r>
    </w:p>
    <w:p w14:paraId="205F6A04" w14:textId="77777777" w:rsidR="00000000" w:rsidRDefault="007E65A2">
      <w:pPr>
        <w:pStyle w:val="a3"/>
        <w:spacing w:before="0" w:beforeAutospacing="0" w:after="0" w:afterAutospacing="0"/>
        <w:jc w:val="both"/>
        <w:divId w:val="911279972"/>
        <w:rPr>
          <w:sz w:val="20"/>
          <w:szCs w:val="20"/>
        </w:rPr>
      </w:pPr>
      <w:r>
        <w:rPr>
          <w:sz w:val="20"/>
          <w:szCs w:val="20"/>
        </w:rPr>
        <w:t> </w:t>
      </w:r>
    </w:p>
    <w:p w14:paraId="0772E842" w14:textId="77777777" w:rsidR="00000000" w:rsidRDefault="007E65A2">
      <w:pPr>
        <w:pStyle w:val="a3"/>
        <w:spacing w:before="0" w:beforeAutospacing="0" w:after="0" w:afterAutospacing="0"/>
        <w:jc w:val="both"/>
        <w:divId w:val="911279972"/>
        <w:rPr>
          <w:sz w:val="20"/>
          <w:szCs w:val="20"/>
        </w:rPr>
      </w:pPr>
      <w:r>
        <w:rPr>
          <w:sz w:val="20"/>
          <w:szCs w:val="20"/>
        </w:rPr>
        <w:t>Currently we do not have sufficient capital to fund our overhead expenses or business development for the next 12 months.</w:t>
      </w:r>
    </w:p>
    <w:p w14:paraId="5E44E66B" w14:textId="77777777" w:rsidR="00000000" w:rsidRDefault="007E65A2">
      <w:pPr>
        <w:pStyle w:val="a3"/>
        <w:spacing w:before="0" w:beforeAutospacing="0" w:after="0" w:afterAutospacing="0"/>
        <w:jc w:val="both"/>
        <w:divId w:val="911279972"/>
        <w:rPr>
          <w:sz w:val="20"/>
          <w:szCs w:val="20"/>
        </w:rPr>
      </w:pPr>
      <w:r>
        <w:rPr>
          <w:sz w:val="20"/>
          <w:szCs w:val="20"/>
        </w:rPr>
        <w:t> </w:t>
      </w:r>
    </w:p>
    <w:p w14:paraId="14488ACA" w14:textId="77777777" w:rsidR="00000000" w:rsidRDefault="007E65A2">
      <w:pPr>
        <w:pStyle w:val="a3"/>
        <w:spacing w:before="0" w:beforeAutospacing="0" w:after="0" w:afterAutospacing="0"/>
        <w:jc w:val="both"/>
        <w:divId w:val="911279972"/>
        <w:rPr>
          <w:sz w:val="20"/>
          <w:szCs w:val="20"/>
        </w:rPr>
      </w:pPr>
      <w:r>
        <w:rPr>
          <w:sz w:val="20"/>
          <w:szCs w:val="20"/>
          <w:u w:val="single"/>
        </w:rPr>
        <w:t>Working Capital</w:t>
      </w:r>
    </w:p>
    <w:p w14:paraId="3E011AC9"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80"/>
        <w:gridCol w:w="63"/>
        <w:gridCol w:w="100"/>
        <w:gridCol w:w="800"/>
        <w:gridCol w:w="67"/>
        <w:gridCol w:w="62"/>
        <w:gridCol w:w="100"/>
        <w:gridCol w:w="867"/>
        <w:gridCol w:w="67"/>
      </w:tblGrid>
      <w:tr w:rsidR="00000000" w14:paraId="3D8562FC" w14:textId="77777777">
        <w:trPr>
          <w:divId w:val="911279972"/>
          <w:tblCellSpacing w:w="0" w:type="dxa"/>
        </w:trPr>
        <w:tc>
          <w:tcPr>
            <w:tcW w:w="0" w:type="auto"/>
            <w:vAlign w:val="bottom"/>
            <w:hideMark/>
          </w:tcPr>
          <w:p w14:paraId="4B6D5BB9"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3D64A5B8"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593651B1"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13E8E8F1"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93D1FC5"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68F8A793"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26419888" w14:textId="77777777" w:rsidR="00000000" w:rsidRDefault="007E65A2">
            <w:pPr>
              <w:pStyle w:val="a3"/>
              <w:spacing w:before="0" w:beforeAutospacing="0" w:after="0" w:afterAutospacing="0"/>
              <w:jc w:val="both"/>
              <w:rPr>
                <w:sz w:val="20"/>
                <w:szCs w:val="20"/>
              </w:rPr>
            </w:pPr>
            <w:r>
              <w:rPr>
                <w:sz w:val="20"/>
                <w:szCs w:val="20"/>
              </w:rPr>
              <w:t> </w:t>
            </w:r>
          </w:p>
        </w:tc>
      </w:tr>
      <w:tr w:rsidR="00000000" w14:paraId="49F63D52" w14:textId="77777777">
        <w:trPr>
          <w:divId w:val="911279972"/>
          <w:tblCellSpacing w:w="0" w:type="dxa"/>
        </w:trPr>
        <w:tc>
          <w:tcPr>
            <w:tcW w:w="0" w:type="auto"/>
            <w:vAlign w:val="bottom"/>
            <w:hideMark/>
          </w:tcPr>
          <w:p w14:paraId="4133459F"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702CA10"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710EB7D4"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CAF2F0F"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47AD33C8"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5AA8579F"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736520C" w14:textId="77777777" w:rsidR="00000000" w:rsidRDefault="007E65A2">
            <w:pPr>
              <w:pStyle w:val="a3"/>
              <w:spacing w:before="0" w:beforeAutospacing="0" w:after="0" w:afterAutospacing="0"/>
              <w:jc w:val="both"/>
              <w:rPr>
                <w:sz w:val="20"/>
                <w:szCs w:val="20"/>
              </w:rPr>
            </w:pPr>
            <w:r>
              <w:rPr>
                <w:sz w:val="20"/>
                <w:szCs w:val="20"/>
              </w:rPr>
              <w:t> </w:t>
            </w:r>
          </w:p>
        </w:tc>
      </w:tr>
      <w:tr w:rsidR="00000000" w14:paraId="433BCD28" w14:textId="77777777">
        <w:trPr>
          <w:divId w:val="911279972"/>
          <w:tblCellSpacing w:w="0" w:type="dxa"/>
        </w:trPr>
        <w:tc>
          <w:tcPr>
            <w:tcW w:w="0" w:type="auto"/>
            <w:shd w:val="clear" w:color="auto" w:fill="CCEEFF"/>
            <w:hideMark/>
          </w:tcPr>
          <w:p w14:paraId="069B5E04" w14:textId="77777777" w:rsidR="00000000" w:rsidRDefault="007E65A2">
            <w:pPr>
              <w:pStyle w:val="a3"/>
              <w:spacing w:before="0" w:beforeAutospacing="0" w:after="0" w:afterAutospacing="0"/>
              <w:jc w:val="both"/>
              <w:rPr>
                <w:sz w:val="20"/>
                <w:szCs w:val="20"/>
              </w:rPr>
            </w:pPr>
            <w:r>
              <w:rPr>
                <w:sz w:val="20"/>
                <w:szCs w:val="20"/>
              </w:rPr>
              <w:t>Current Assets</w:t>
            </w:r>
          </w:p>
        </w:tc>
        <w:tc>
          <w:tcPr>
            <w:tcW w:w="50" w:type="pct"/>
            <w:shd w:val="clear" w:color="auto" w:fill="CCEEFF"/>
            <w:vAlign w:val="bottom"/>
            <w:hideMark/>
          </w:tcPr>
          <w:p w14:paraId="1172702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E458AEA"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CEF31C8" w14:textId="77777777" w:rsidR="00000000" w:rsidRDefault="007E65A2">
            <w:pPr>
              <w:jc w:val="right"/>
              <w:rPr>
                <w:rFonts w:eastAsia="Times New Roman"/>
                <w:sz w:val="20"/>
                <w:szCs w:val="20"/>
              </w:rPr>
            </w:pPr>
            <w:r>
              <w:rPr>
                <w:rFonts w:eastAsia="Times New Roman"/>
                <w:sz w:val="20"/>
                <w:szCs w:val="20"/>
              </w:rPr>
              <w:t>54,556</w:t>
            </w:r>
          </w:p>
        </w:tc>
        <w:tc>
          <w:tcPr>
            <w:tcW w:w="50" w:type="pct"/>
            <w:shd w:val="clear" w:color="auto" w:fill="CCEEFF"/>
            <w:vAlign w:val="bottom"/>
            <w:hideMark/>
          </w:tcPr>
          <w:p w14:paraId="7F55D2B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A82C46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5B657C0"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5F512588" w14:textId="77777777" w:rsidR="00000000" w:rsidRDefault="007E65A2">
            <w:pPr>
              <w:jc w:val="right"/>
              <w:rPr>
                <w:rFonts w:eastAsia="Times New Roman"/>
                <w:sz w:val="20"/>
                <w:szCs w:val="20"/>
              </w:rPr>
            </w:pPr>
            <w:r>
              <w:rPr>
                <w:rFonts w:eastAsia="Times New Roman"/>
                <w:sz w:val="20"/>
                <w:szCs w:val="20"/>
              </w:rPr>
              <w:t>47,196</w:t>
            </w:r>
          </w:p>
        </w:tc>
        <w:tc>
          <w:tcPr>
            <w:tcW w:w="50" w:type="pct"/>
            <w:shd w:val="clear" w:color="auto" w:fill="CCEEFF"/>
            <w:vAlign w:val="bottom"/>
            <w:hideMark/>
          </w:tcPr>
          <w:p w14:paraId="4719C8DE" w14:textId="77777777" w:rsidR="00000000" w:rsidRDefault="007E65A2">
            <w:pPr>
              <w:pStyle w:val="a3"/>
              <w:spacing w:before="0" w:beforeAutospacing="0" w:after="0" w:afterAutospacing="0"/>
              <w:jc w:val="both"/>
              <w:rPr>
                <w:sz w:val="20"/>
                <w:szCs w:val="20"/>
              </w:rPr>
            </w:pPr>
            <w:r>
              <w:rPr>
                <w:sz w:val="20"/>
                <w:szCs w:val="20"/>
              </w:rPr>
              <w:t> </w:t>
            </w:r>
          </w:p>
        </w:tc>
      </w:tr>
      <w:tr w:rsidR="00000000" w14:paraId="03A24CA8" w14:textId="77777777">
        <w:trPr>
          <w:divId w:val="911279972"/>
          <w:tblCellSpacing w:w="0" w:type="dxa"/>
        </w:trPr>
        <w:tc>
          <w:tcPr>
            <w:tcW w:w="0" w:type="auto"/>
            <w:shd w:val="clear" w:color="auto" w:fill="FFFFFF"/>
            <w:hideMark/>
          </w:tcPr>
          <w:p w14:paraId="683A4F92" w14:textId="77777777" w:rsidR="00000000" w:rsidRDefault="007E65A2">
            <w:pPr>
              <w:pStyle w:val="a3"/>
              <w:spacing w:before="0" w:beforeAutospacing="0" w:after="0" w:afterAutospacing="0"/>
              <w:jc w:val="both"/>
              <w:rPr>
                <w:sz w:val="20"/>
                <w:szCs w:val="20"/>
              </w:rPr>
            </w:pPr>
            <w:r>
              <w:rPr>
                <w:sz w:val="20"/>
                <w:szCs w:val="20"/>
              </w:rPr>
              <w:t>Current Liabilities</w:t>
            </w:r>
          </w:p>
        </w:tc>
        <w:tc>
          <w:tcPr>
            <w:tcW w:w="50" w:type="pct"/>
            <w:shd w:val="clear" w:color="auto" w:fill="FFFFFF"/>
            <w:vAlign w:val="bottom"/>
            <w:hideMark/>
          </w:tcPr>
          <w:p w14:paraId="200B7E4A"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73F8A616"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25088597" w14:textId="77777777" w:rsidR="00000000" w:rsidRDefault="007E65A2">
            <w:pPr>
              <w:jc w:val="right"/>
              <w:rPr>
                <w:rFonts w:eastAsia="Times New Roman"/>
                <w:sz w:val="20"/>
                <w:szCs w:val="20"/>
              </w:rPr>
            </w:pPr>
            <w:r>
              <w:rPr>
                <w:rFonts w:eastAsia="Times New Roman"/>
                <w:sz w:val="20"/>
                <w:szCs w:val="20"/>
              </w:rPr>
              <w:t>1,030,167</w:t>
            </w:r>
          </w:p>
        </w:tc>
        <w:tc>
          <w:tcPr>
            <w:tcW w:w="50" w:type="pct"/>
            <w:shd w:val="clear" w:color="auto" w:fill="FFFFFF"/>
            <w:tcMar>
              <w:top w:w="0" w:type="dxa"/>
              <w:left w:w="0" w:type="dxa"/>
              <w:bottom w:w="15" w:type="dxa"/>
              <w:right w:w="0" w:type="dxa"/>
            </w:tcMar>
            <w:vAlign w:val="bottom"/>
            <w:hideMark/>
          </w:tcPr>
          <w:p w14:paraId="52F9C56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316C833"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C0B26D1"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42DCF50B" w14:textId="77777777" w:rsidR="00000000" w:rsidRDefault="007E65A2">
            <w:pPr>
              <w:jc w:val="right"/>
              <w:rPr>
                <w:rFonts w:eastAsia="Times New Roman"/>
                <w:sz w:val="20"/>
                <w:szCs w:val="20"/>
              </w:rPr>
            </w:pPr>
            <w:r>
              <w:rPr>
                <w:rFonts w:eastAsia="Times New Roman"/>
                <w:sz w:val="20"/>
                <w:szCs w:val="20"/>
              </w:rPr>
              <w:t>1,904,064</w:t>
            </w:r>
          </w:p>
        </w:tc>
        <w:tc>
          <w:tcPr>
            <w:tcW w:w="50" w:type="pct"/>
            <w:shd w:val="clear" w:color="auto" w:fill="FFFFFF"/>
            <w:tcMar>
              <w:top w:w="0" w:type="dxa"/>
              <w:left w:w="0" w:type="dxa"/>
              <w:bottom w:w="15" w:type="dxa"/>
              <w:right w:w="0" w:type="dxa"/>
            </w:tcMar>
            <w:vAlign w:val="bottom"/>
            <w:hideMark/>
          </w:tcPr>
          <w:p w14:paraId="31B18E06" w14:textId="77777777" w:rsidR="00000000" w:rsidRDefault="007E65A2">
            <w:pPr>
              <w:pStyle w:val="a3"/>
              <w:spacing w:before="0" w:beforeAutospacing="0" w:after="0" w:afterAutospacing="0"/>
              <w:jc w:val="both"/>
              <w:rPr>
                <w:sz w:val="20"/>
                <w:szCs w:val="20"/>
              </w:rPr>
            </w:pPr>
            <w:r>
              <w:rPr>
                <w:sz w:val="20"/>
                <w:szCs w:val="20"/>
              </w:rPr>
              <w:t> </w:t>
            </w:r>
          </w:p>
        </w:tc>
      </w:tr>
      <w:tr w:rsidR="00000000" w14:paraId="6EDC7C24" w14:textId="77777777">
        <w:trPr>
          <w:divId w:val="911279972"/>
          <w:tblCellSpacing w:w="0" w:type="dxa"/>
        </w:trPr>
        <w:tc>
          <w:tcPr>
            <w:tcW w:w="0" w:type="auto"/>
            <w:shd w:val="clear" w:color="auto" w:fill="CCEEFF"/>
            <w:hideMark/>
          </w:tcPr>
          <w:p w14:paraId="04637FA8" w14:textId="77777777" w:rsidR="00000000" w:rsidRDefault="007E65A2">
            <w:pPr>
              <w:pStyle w:val="a3"/>
              <w:spacing w:before="0" w:beforeAutospacing="0" w:after="0" w:afterAutospacing="0"/>
              <w:jc w:val="both"/>
              <w:rPr>
                <w:sz w:val="20"/>
                <w:szCs w:val="20"/>
              </w:rPr>
            </w:pPr>
            <w:r>
              <w:rPr>
                <w:sz w:val="20"/>
                <w:szCs w:val="20"/>
              </w:rPr>
              <w:t>Working Capital (Deficiency)</w:t>
            </w:r>
          </w:p>
        </w:tc>
        <w:tc>
          <w:tcPr>
            <w:tcW w:w="50" w:type="pct"/>
            <w:shd w:val="clear" w:color="auto" w:fill="CCEEFF"/>
            <w:vAlign w:val="bottom"/>
            <w:hideMark/>
          </w:tcPr>
          <w:p w14:paraId="78251377"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168A85A"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70F62BA" w14:textId="77777777" w:rsidR="00000000" w:rsidRDefault="007E65A2">
            <w:pPr>
              <w:jc w:val="right"/>
              <w:rPr>
                <w:rFonts w:eastAsia="Times New Roman"/>
                <w:sz w:val="20"/>
                <w:szCs w:val="20"/>
              </w:rPr>
            </w:pPr>
            <w:r>
              <w:rPr>
                <w:rFonts w:eastAsia="Times New Roman"/>
                <w:sz w:val="20"/>
                <w:szCs w:val="20"/>
              </w:rPr>
              <w:t>(975,611</w:t>
            </w:r>
          </w:p>
        </w:tc>
        <w:tc>
          <w:tcPr>
            <w:tcW w:w="50" w:type="pct"/>
            <w:shd w:val="clear" w:color="auto" w:fill="CCEEFF"/>
            <w:tcMar>
              <w:top w:w="0" w:type="dxa"/>
              <w:left w:w="0" w:type="dxa"/>
              <w:bottom w:w="45" w:type="dxa"/>
              <w:right w:w="0" w:type="dxa"/>
            </w:tcMar>
            <w:vAlign w:val="bottom"/>
            <w:hideMark/>
          </w:tcPr>
          <w:p w14:paraId="544B7833"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6E4F155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6AF1A7A1"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3B8B835" w14:textId="77777777" w:rsidR="00000000" w:rsidRDefault="007E65A2">
            <w:pPr>
              <w:jc w:val="right"/>
              <w:rPr>
                <w:rFonts w:eastAsia="Times New Roman"/>
                <w:sz w:val="20"/>
                <w:szCs w:val="20"/>
              </w:rPr>
            </w:pPr>
            <w:r>
              <w:rPr>
                <w:rFonts w:eastAsia="Times New Roman"/>
                <w:sz w:val="20"/>
                <w:szCs w:val="20"/>
              </w:rPr>
              <w:t>(1,856,868</w:t>
            </w:r>
          </w:p>
        </w:tc>
        <w:tc>
          <w:tcPr>
            <w:tcW w:w="50" w:type="pct"/>
            <w:shd w:val="clear" w:color="auto" w:fill="CCEEFF"/>
            <w:tcMar>
              <w:top w:w="0" w:type="dxa"/>
              <w:left w:w="0" w:type="dxa"/>
              <w:bottom w:w="45" w:type="dxa"/>
              <w:right w:w="0" w:type="dxa"/>
            </w:tcMar>
            <w:vAlign w:val="bottom"/>
            <w:hideMark/>
          </w:tcPr>
          <w:p w14:paraId="707FB8AB" w14:textId="77777777" w:rsidR="00000000" w:rsidRDefault="007E65A2">
            <w:pPr>
              <w:jc w:val="both"/>
              <w:rPr>
                <w:rFonts w:eastAsia="Times New Roman"/>
                <w:sz w:val="20"/>
                <w:szCs w:val="20"/>
              </w:rPr>
            </w:pPr>
            <w:r>
              <w:rPr>
                <w:rFonts w:eastAsia="Times New Roman"/>
                <w:sz w:val="20"/>
                <w:szCs w:val="20"/>
              </w:rPr>
              <w:t>)</w:t>
            </w:r>
          </w:p>
        </w:tc>
      </w:tr>
    </w:tbl>
    <w:p w14:paraId="1B937362" w14:textId="77777777" w:rsidR="00000000" w:rsidRDefault="007E65A2">
      <w:pPr>
        <w:pStyle w:val="a3"/>
        <w:spacing w:before="0" w:beforeAutospacing="0" w:after="0" w:afterAutospacing="0"/>
        <w:jc w:val="both"/>
        <w:divId w:val="911279972"/>
        <w:rPr>
          <w:sz w:val="20"/>
          <w:szCs w:val="20"/>
        </w:rPr>
      </w:pPr>
      <w:r>
        <w:rPr>
          <w:sz w:val="20"/>
          <w:szCs w:val="20"/>
        </w:rPr>
        <w:t> </w:t>
      </w:r>
    </w:p>
    <w:p w14:paraId="02BE2549" w14:textId="77777777" w:rsidR="00000000" w:rsidRDefault="007E65A2">
      <w:pPr>
        <w:pStyle w:val="a3"/>
        <w:spacing w:before="0" w:beforeAutospacing="0" w:after="0" w:afterAutospacing="0"/>
        <w:jc w:val="both"/>
        <w:divId w:val="911279972"/>
        <w:rPr>
          <w:sz w:val="20"/>
          <w:szCs w:val="20"/>
        </w:rPr>
      </w:pPr>
      <w:r>
        <w:rPr>
          <w:sz w:val="20"/>
          <w:szCs w:val="20"/>
        </w:rPr>
        <w:t>The decrease in working capital deficiency was primarily attributed to a decrease in current liabilities.</w:t>
      </w:r>
    </w:p>
    <w:p w14:paraId="53A91B37" w14:textId="77777777" w:rsidR="00000000" w:rsidRDefault="007E65A2">
      <w:pPr>
        <w:pStyle w:val="a3"/>
        <w:spacing w:before="0" w:beforeAutospacing="0" w:after="0" w:afterAutospacing="0"/>
        <w:jc w:val="both"/>
        <w:divId w:val="911279972"/>
        <w:rPr>
          <w:sz w:val="20"/>
          <w:szCs w:val="20"/>
        </w:rPr>
      </w:pPr>
      <w:r>
        <w:rPr>
          <w:sz w:val="20"/>
          <w:szCs w:val="20"/>
        </w:rPr>
        <w:t> </w:t>
      </w:r>
    </w:p>
    <w:p w14:paraId="1985E194" w14:textId="77777777" w:rsidR="00000000" w:rsidRDefault="007E65A2">
      <w:pPr>
        <w:pStyle w:val="a3"/>
        <w:spacing w:before="0" w:beforeAutospacing="0" w:after="0" w:afterAutospacing="0"/>
        <w:jc w:val="both"/>
        <w:divId w:val="911279972"/>
        <w:rPr>
          <w:sz w:val="20"/>
          <w:szCs w:val="20"/>
        </w:rPr>
      </w:pPr>
      <w:r>
        <w:rPr>
          <w:sz w:val="20"/>
          <w:szCs w:val="20"/>
          <w:u w:val="single"/>
        </w:rPr>
        <w:t>Cash Flows</w:t>
      </w:r>
    </w:p>
    <w:p w14:paraId="402BB804"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14:paraId="6380E44B" w14:textId="77777777">
        <w:trPr>
          <w:divId w:val="911279972"/>
          <w:tblCellSpacing w:w="0" w:type="dxa"/>
        </w:trPr>
        <w:tc>
          <w:tcPr>
            <w:tcW w:w="0" w:type="auto"/>
            <w:vAlign w:val="bottom"/>
            <w:hideMark/>
          </w:tcPr>
          <w:p w14:paraId="683F55B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0C7DBF1"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6E4D888F" w14:textId="77777777" w:rsidR="00000000" w:rsidRDefault="007E65A2">
            <w:pPr>
              <w:pStyle w:val="a3"/>
              <w:spacing w:before="0" w:beforeAutospacing="0" w:after="0" w:afterAutospacing="0"/>
              <w:jc w:val="center"/>
              <w:rPr>
                <w:sz w:val="20"/>
                <w:szCs w:val="20"/>
              </w:rPr>
            </w:pPr>
            <w:r>
              <w:rPr>
                <w:b/>
                <w:bCs/>
                <w:sz w:val="20"/>
                <w:szCs w:val="20"/>
              </w:rPr>
              <w:t xml:space="preserve">Year Ended </w:t>
            </w:r>
          </w:p>
        </w:tc>
        <w:tc>
          <w:tcPr>
            <w:tcW w:w="0" w:type="auto"/>
            <w:vAlign w:val="bottom"/>
            <w:hideMark/>
          </w:tcPr>
          <w:p w14:paraId="2F7CD840" w14:textId="77777777" w:rsidR="00000000" w:rsidRDefault="007E65A2">
            <w:pPr>
              <w:pStyle w:val="a3"/>
              <w:spacing w:before="0" w:beforeAutospacing="0" w:after="0" w:afterAutospacing="0"/>
              <w:jc w:val="both"/>
              <w:rPr>
                <w:sz w:val="20"/>
                <w:szCs w:val="20"/>
              </w:rPr>
            </w:pPr>
            <w:r>
              <w:rPr>
                <w:sz w:val="20"/>
                <w:szCs w:val="20"/>
              </w:rPr>
              <w:t> </w:t>
            </w:r>
          </w:p>
        </w:tc>
      </w:tr>
      <w:tr w:rsidR="00000000" w14:paraId="51F1E949" w14:textId="77777777">
        <w:trPr>
          <w:divId w:val="911279972"/>
          <w:tblCellSpacing w:w="0" w:type="dxa"/>
        </w:trPr>
        <w:tc>
          <w:tcPr>
            <w:tcW w:w="0" w:type="auto"/>
            <w:vAlign w:val="bottom"/>
            <w:hideMark/>
          </w:tcPr>
          <w:p w14:paraId="62C2F14D"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BB011ED"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5CACB412"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688503DB" w14:textId="77777777" w:rsidR="00000000" w:rsidRDefault="007E65A2">
            <w:pPr>
              <w:pStyle w:val="a3"/>
              <w:spacing w:before="0" w:beforeAutospacing="0" w:after="0" w:afterAutospacing="0"/>
              <w:jc w:val="both"/>
              <w:rPr>
                <w:sz w:val="20"/>
                <w:szCs w:val="20"/>
              </w:rPr>
            </w:pPr>
            <w:r>
              <w:rPr>
                <w:sz w:val="20"/>
                <w:szCs w:val="20"/>
              </w:rPr>
              <w:t> </w:t>
            </w:r>
          </w:p>
        </w:tc>
      </w:tr>
      <w:tr w:rsidR="00000000" w14:paraId="2EFD40EB" w14:textId="77777777">
        <w:trPr>
          <w:divId w:val="911279972"/>
          <w:tblCellSpacing w:w="0" w:type="dxa"/>
        </w:trPr>
        <w:tc>
          <w:tcPr>
            <w:tcW w:w="0" w:type="auto"/>
            <w:vAlign w:val="bottom"/>
            <w:hideMark/>
          </w:tcPr>
          <w:p w14:paraId="488F719B"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42062A37"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018E50D5"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BBFAE7B"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139579E2"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68717FD5"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541F913" w14:textId="77777777" w:rsidR="00000000" w:rsidRDefault="007E65A2">
            <w:pPr>
              <w:pStyle w:val="a3"/>
              <w:spacing w:before="0" w:beforeAutospacing="0" w:after="0" w:afterAutospacing="0"/>
              <w:jc w:val="both"/>
              <w:rPr>
                <w:sz w:val="20"/>
                <w:szCs w:val="20"/>
              </w:rPr>
            </w:pPr>
            <w:r>
              <w:rPr>
                <w:sz w:val="20"/>
                <w:szCs w:val="20"/>
              </w:rPr>
              <w:t> </w:t>
            </w:r>
          </w:p>
        </w:tc>
      </w:tr>
      <w:tr w:rsidR="00000000" w14:paraId="4D66C3D4" w14:textId="77777777">
        <w:trPr>
          <w:divId w:val="911279972"/>
          <w:tblCellSpacing w:w="0" w:type="dxa"/>
        </w:trPr>
        <w:tc>
          <w:tcPr>
            <w:tcW w:w="0" w:type="auto"/>
            <w:shd w:val="clear" w:color="auto" w:fill="CCEEFF"/>
            <w:hideMark/>
          </w:tcPr>
          <w:p w14:paraId="44B04A3E" w14:textId="77777777" w:rsidR="00000000" w:rsidRDefault="007E65A2">
            <w:pPr>
              <w:pStyle w:val="a3"/>
              <w:spacing w:before="0" w:beforeAutospacing="0" w:after="0" w:afterAutospacing="0"/>
              <w:jc w:val="both"/>
              <w:rPr>
                <w:sz w:val="20"/>
                <w:szCs w:val="20"/>
              </w:rPr>
            </w:pPr>
            <w:r>
              <w:rPr>
                <w:sz w:val="20"/>
                <w:szCs w:val="20"/>
              </w:rPr>
              <w:t>Cash Flows Used in Operating Activities</w:t>
            </w:r>
          </w:p>
        </w:tc>
        <w:tc>
          <w:tcPr>
            <w:tcW w:w="50" w:type="pct"/>
            <w:shd w:val="clear" w:color="auto" w:fill="CCEEFF"/>
            <w:vAlign w:val="bottom"/>
            <w:hideMark/>
          </w:tcPr>
          <w:p w14:paraId="3A1D025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5EEB672"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31D9DECC" w14:textId="77777777" w:rsidR="00000000" w:rsidRDefault="007E65A2">
            <w:pPr>
              <w:jc w:val="right"/>
              <w:rPr>
                <w:rFonts w:eastAsia="Times New Roman"/>
                <w:sz w:val="20"/>
                <w:szCs w:val="20"/>
              </w:rPr>
            </w:pPr>
            <w:r>
              <w:rPr>
                <w:rFonts w:eastAsia="Times New Roman"/>
                <w:sz w:val="20"/>
                <w:szCs w:val="20"/>
              </w:rPr>
              <w:t>(102,277</w:t>
            </w:r>
          </w:p>
        </w:tc>
        <w:tc>
          <w:tcPr>
            <w:tcW w:w="50" w:type="pct"/>
            <w:shd w:val="clear" w:color="auto" w:fill="CCEEFF"/>
            <w:vAlign w:val="bottom"/>
            <w:hideMark/>
          </w:tcPr>
          <w:p w14:paraId="0E451878"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0BC87DB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58B0828"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1C4AEFC" w14:textId="77777777" w:rsidR="00000000" w:rsidRDefault="007E65A2">
            <w:pPr>
              <w:jc w:val="right"/>
              <w:rPr>
                <w:rFonts w:eastAsia="Times New Roman"/>
                <w:sz w:val="20"/>
                <w:szCs w:val="20"/>
              </w:rPr>
            </w:pPr>
            <w:r>
              <w:rPr>
                <w:rFonts w:eastAsia="Times New Roman"/>
                <w:sz w:val="20"/>
                <w:szCs w:val="20"/>
              </w:rPr>
              <w:t>(135,550</w:t>
            </w:r>
          </w:p>
        </w:tc>
        <w:tc>
          <w:tcPr>
            <w:tcW w:w="50" w:type="pct"/>
            <w:shd w:val="clear" w:color="auto" w:fill="CCEEFF"/>
            <w:vAlign w:val="bottom"/>
            <w:hideMark/>
          </w:tcPr>
          <w:p w14:paraId="5179EC30" w14:textId="77777777" w:rsidR="00000000" w:rsidRDefault="007E65A2">
            <w:pPr>
              <w:jc w:val="both"/>
              <w:rPr>
                <w:rFonts w:eastAsia="Times New Roman"/>
                <w:sz w:val="20"/>
                <w:szCs w:val="20"/>
              </w:rPr>
            </w:pPr>
            <w:r>
              <w:rPr>
                <w:rFonts w:eastAsia="Times New Roman"/>
                <w:sz w:val="20"/>
                <w:szCs w:val="20"/>
              </w:rPr>
              <w:t>)</w:t>
            </w:r>
          </w:p>
        </w:tc>
      </w:tr>
      <w:tr w:rsidR="00000000" w14:paraId="7DF6DA56" w14:textId="77777777">
        <w:trPr>
          <w:divId w:val="911279972"/>
          <w:tblCellSpacing w:w="0" w:type="dxa"/>
        </w:trPr>
        <w:tc>
          <w:tcPr>
            <w:tcW w:w="0" w:type="auto"/>
            <w:shd w:val="clear" w:color="auto" w:fill="FFFFFF"/>
            <w:hideMark/>
          </w:tcPr>
          <w:p w14:paraId="7A738669" w14:textId="77777777" w:rsidR="00000000" w:rsidRDefault="007E65A2">
            <w:pPr>
              <w:pStyle w:val="a3"/>
              <w:spacing w:before="0" w:beforeAutospacing="0" w:after="0" w:afterAutospacing="0"/>
              <w:jc w:val="both"/>
              <w:rPr>
                <w:sz w:val="20"/>
                <w:szCs w:val="20"/>
              </w:rPr>
            </w:pPr>
            <w:r>
              <w:rPr>
                <w:sz w:val="20"/>
                <w:szCs w:val="20"/>
              </w:rPr>
              <w:t>Cash Flows Used in Investing Activities</w:t>
            </w:r>
          </w:p>
        </w:tc>
        <w:tc>
          <w:tcPr>
            <w:tcW w:w="50" w:type="pct"/>
            <w:shd w:val="clear" w:color="auto" w:fill="FFFFFF"/>
            <w:vAlign w:val="bottom"/>
            <w:hideMark/>
          </w:tcPr>
          <w:p w14:paraId="3CF867A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0AD2EBD"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2EE6BD90"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502F9E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E3AF74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72D3422"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1C35F849" w14:textId="77777777" w:rsidR="00000000" w:rsidRDefault="007E65A2">
            <w:pPr>
              <w:jc w:val="right"/>
              <w:rPr>
                <w:rFonts w:eastAsia="Times New Roman"/>
                <w:sz w:val="20"/>
                <w:szCs w:val="20"/>
              </w:rPr>
            </w:pPr>
            <w:r>
              <w:rPr>
                <w:rFonts w:eastAsia="Times New Roman"/>
                <w:sz w:val="20"/>
                <w:szCs w:val="20"/>
              </w:rPr>
              <w:t>(25,000</w:t>
            </w:r>
          </w:p>
        </w:tc>
        <w:tc>
          <w:tcPr>
            <w:tcW w:w="50" w:type="pct"/>
            <w:shd w:val="clear" w:color="auto" w:fill="FFFFFF"/>
            <w:vAlign w:val="bottom"/>
            <w:hideMark/>
          </w:tcPr>
          <w:p w14:paraId="5D82CCC7" w14:textId="77777777" w:rsidR="00000000" w:rsidRDefault="007E65A2">
            <w:pPr>
              <w:jc w:val="both"/>
              <w:rPr>
                <w:rFonts w:eastAsia="Times New Roman"/>
                <w:sz w:val="20"/>
                <w:szCs w:val="20"/>
              </w:rPr>
            </w:pPr>
            <w:r>
              <w:rPr>
                <w:rFonts w:eastAsia="Times New Roman"/>
                <w:sz w:val="20"/>
                <w:szCs w:val="20"/>
              </w:rPr>
              <w:t>)</w:t>
            </w:r>
          </w:p>
        </w:tc>
      </w:tr>
      <w:tr w:rsidR="00000000" w14:paraId="5100787D" w14:textId="77777777">
        <w:trPr>
          <w:divId w:val="911279972"/>
          <w:tblCellSpacing w:w="0" w:type="dxa"/>
        </w:trPr>
        <w:tc>
          <w:tcPr>
            <w:tcW w:w="0" w:type="auto"/>
            <w:shd w:val="clear" w:color="auto" w:fill="CCEEFF"/>
            <w:hideMark/>
          </w:tcPr>
          <w:p w14:paraId="0223129A" w14:textId="77777777" w:rsidR="00000000" w:rsidRDefault="007E65A2">
            <w:pPr>
              <w:pStyle w:val="a3"/>
              <w:spacing w:before="0" w:beforeAutospacing="0" w:after="0" w:afterAutospacing="0"/>
              <w:jc w:val="both"/>
              <w:rPr>
                <w:sz w:val="20"/>
                <w:szCs w:val="20"/>
              </w:rPr>
            </w:pPr>
            <w:r>
              <w:rPr>
                <w:sz w:val="20"/>
                <w:szCs w:val="20"/>
              </w:rPr>
              <w:t>Cash Flows from Financing Activities</w:t>
            </w:r>
          </w:p>
        </w:tc>
        <w:tc>
          <w:tcPr>
            <w:tcW w:w="50" w:type="pct"/>
            <w:shd w:val="clear" w:color="auto" w:fill="CCEEFF"/>
            <w:vAlign w:val="bottom"/>
            <w:hideMark/>
          </w:tcPr>
          <w:p w14:paraId="168D4D14"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45D2B569"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3F865004" w14:textId="77777777" w:rsidR="00000000" w:rsidRDefault="007E65A2">
            <w:pPr>
              <w:jc w:val="right"/>
              <w:rPr>
                <w:rFonts w:eastAsia="Times New Roman"/>
                <w:sz w:val="20"/>
                <w:szCs w:val="20"/>
              </w:rPr>
            </w:pPr>
            <w:r>
              <w:rPr>
                <w:rFonts w:eastAsia="Times New Roman"/>
                <w:sz w:val="20"/>
                <w:szCs w:val="20"/>
              </w:rPr>
              <w:t>100,137</w:t>
            </w:r>
          </w:p>
        </w:tc>
        <w:tc>
          <w:tcPr>
            <w:tcW w:w="50" w:type="pct"/>
            <w:shd w:val="clear" w:color="auto" w:fill="CCEEFF"/>
            <w:tcMar>
              <w:top w:w="0" w:type="dxa"/>
              <w:left w:w="0" w:type="dxa"/>
              <w:bottom w:w="15" w:type="dxa"/>
              <w:right w:w="0" w:type="dxa"/>
            </w:tcMar>
            <w:vAlign w:val="bottom"/>
            <w:hideMark/>
          </w:tcPr>
          <w:p w14:paraId="1EB87F4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6F66CE7"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56BCABAA"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1F12791E" w14:textId="77777777" w:rsidR="00000000" w:rsidRDefault="007E65A2">
            <w:pPr>
              <w:jc w:val="right"/>
              <w:rPr>
                <w:rFonts w:eastAsia="Times New Roman"/>
                <w:sz w:val="20"/>
                <w:szCs w:val="20"/>
              </w:rPr>
            </w:pPr>
            <w:r>
              <w:rPr>
                <w:rFonts w:eastAsia="Times New Roman"/>
                <w:sz w:val="20"/>
                <w:szCs w:val="20"/>
              </w:rPr>
              <w:t>165,179</w:t>
            </w:r>
          </w:p>
        </w:tc>
        <w:tc>
          <w:tcPr>
            <w:tcW w:w="50" w:type="pct"/>
            <w:shd w:val="clear" w:color="auto" w:fill="CCEEFF"/>
            <w:tcMar>
              <w:top w:w="0" w:type="dxa"/>
              <w:left w:w="0" w:type="dxa"/>
              <w:bottom w:w="15" w:type="dxa"/>
              <w:right w:w="0" w:type="dxa"/>
            </w:tcMar>
            <w:vAlign w:val="bottom"/>
            <w:hideMark/>
          </w:tcPr>
          <w:p w14:paraId="22BD3E01" w14:textId="77777777" w:rsidR="00000000" w:rsidRDefault="007E65A2">
            <w:pPr>
              <w:pStyle w:val="a3"/>
              <w:spacing w:before="0" w:beforeAutospacing="0" w:after="0" w:afterAutospacing="0"/>
              <w:jc w:val="both"/>
              <w:rPr>
                <w:sz w:val="20"/>
                <w:szCs w:val="20"/>
              </w:rPr>
            </w:pPr>
            <w:r>
              <w:rPr>
                <w:sz w:val="20"/>
                <w:szCs w:val="20"/>
              </w:rPr>
              <w:t> </w:t>
            </w:r>
          </w:p>
        </w:tc>
      </w:tr>
      <w:tr w:rsidR="00000000" w14:paraId="710CC947" w14:textId="77777777">
        <w:trPr>
          <w:divId w:val="911279972"/>
          <w:tblCellSpacing w:w="0" w:type="dxa"/>
        </w:trPr>
        <w:tc>
          <w:tcPr>
            <w:tcW w:w="0" w:type="auto"/>
            <w:shd w:val="clear" w:color="auto" w:fill="FFFFFF"/>
            <w:hideMark/>
          </w:tcPr>
          <w:p w14:paraId="1A1B423B" w14:textId="77777777" w:rsidR="00000000" w:rsidRDefault="007E65A2">
            <w:pPr>
              <w:pStyle w:val="a3"/>
              <w:spacing w:before="0" w:beforeAutospacing="0" w:after="0" w:afterAutospacing="0"/>
              <w:jc w:val="both"/>
              <w:rPr>
                <w:sz w:val="20"/>
                <w:szCs w:val="20"/>
              </w:rPr>
            </w:pPr>
            <w:r>
              <w:rPr>
                <w:sz w:val="20"/>
                <w:szCs w:val="20"/>
              </w:rPr>
              <w:t>Net Change in Cash During Period</w:t>
            </w:r>
          </w:p>
        </w:tc>
        <w:tc>
          <w:tcPr>
            <w:tcW w:w="50" w:type="pct"/>
            <w:shd w:val="clear" w:color="auto" w:fill="FFFFFF"/>
            <w:vAlign w:val="bottom"/>
            <w:hideMark/>
          </w:tcPr>
          <w:p w14:paraId="22C89DB6"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05572583"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7B46D69F" w14:textId="77777777" w:rsidR="00000000" w:rsidRDefault="007E65A2">
            <w:pPr>
              <w:jc w:val="right"/>
              <w:rPr>
                <w:rFonts w:eastAsia="Times New Roman"/>
                <w:sz w:val="20"/>
                <w:szCs w:val="20"/>
              </w:rPr>
            </w:pPr>
            <w:r>
              <w:rPr>
                <w:rFonts w:eastAsia="Times New Roman"/>
                <w:sz w:val="20"/>
                <w:szCs w:val="20"/>
              </w:rPr>
              <w:t>(2,140</w:t>
            </w:r>
          </w:p>
        </w:tc>
        <w:tc>
          <w:tcPr>
            <w:tcW w:w="50" w:type="pct"/>
            <w:shd w:val="clear" w:color="auto" w:fill="FFFFFF"/>
            <w:tcMar>
              <w:top w:w="0" w:type="dxa"/>
              <w:left w:w="0" w:type="dxa"/>
              <w:bottom w:w="45" w:type="dxa"/>
              <w:right w:w="0" w:type="dxa"/>
            </w:tcMar>
            <w:vAlign w:val="bottom"/>
            <w:hideMark/>
          </w:tcPr>
          <w:p w14:paraId="67A48F44"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2F190722"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6E337E9D"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488D3004" w14:textId="77777777" w:rsidR="00000000" w:rsidRDefault="007E65A2">
            <w:pPr>
              <w:jc w:val="right"/>
              <w:rPr>
                <w:rFonts w:eastAsia="Times New Roman"/>
                <w:sz w:val="20"/>
                <w:szCs w:val="20"/>
              </w:rPr>
            </w:pPr>
            <w:r>
              <w:rPr>
                <w:rFonts w:eastAsia="Times New Roman"/>
                <w:sz w:val="20"/>
                <w:szCs w:val="20"/>
              </w:rPr>
              <w:t>4,629</w:t>
            </w:r>
          </w:p>
        </w:tc>
        <w:tc>
          <w:tcPr>
            <w:tcW w:w="50" w:type="pct"/>
            <w:shd w:val="clear" w:color="auto" w:fill="FFFFFF"/>
            <w:tcMar>
              <w:top w:w="0" w:type="dxa"/>
              <w:left w:w="0" w:type="dxa"/>
              <w:bottom w:w="45" w:type="dxa"/>
              <w:right w:w="0" w:type="dxa"/>
            </w:tcMar>
            <w:vAlign w:val="bottom"/>
            <w:hideMark/>
          </w:tcPr>
          <w:p w14:paraId="6B77E157" w14:textId="77777777" w:rsidR="00000000" w:rsidRDefault="007E65A2">
            <w:pPr>
              <w:pStyle w:val="a3"/>
              <w:spacing w:before="0" w:beforeAutospacing="0" w:after="0" w:afterAutospacing="0"/>
              <w:jc w:val="both"/>
              <w:rPr>
                <w:sz w:val="20"/>
                <w:szCs w:val="20"/>
              </w:rPr>
            </w:pPr>
            <w:r>
              <w:rPr>
                <w:sz w:val="20"/>
                <w:szCs w:val="20"/>
              </w:rPr>
              <w:t> </w:t>
            </w:r>
          </w:p>
        </w:tc>
      </w:tr>
    </w:tbl>
    <w:p w14:paraId="1292A09B" w14:textId="77777777" w:rsidR="00000000" w:rsidRDefault="007E65A2">
      <w:pPr>
        <w:pStyle w:val="a3"/>
        <w:spacing w:before="0" w:beforeAutospacing="0" w:after="0" w:afterAutospacing="0"/>
        <w:jc w:val="both"/>
        <w:divId w:val="911279972"/>
        <w:rPr>
          <w:sz w:val="20"/>
          <w:szCs w:val="20"/>
        </w:rPr>
      </w:pPr>
      <w:r>
        <w:rPr>
          <w:sz w:val="20"/>
          <w:szCs w:val="20"/>
        </w:rPr>
        <w:t> </w:t>
      </w:r>
    </w:p>
    <w:p w14:paraId="1E281EDF" w14:textId="77777777" w:rsidR="00000000" w:rsidRDefault="007E65A2">
      <w:pPr>
        <w:pStyle w:val="a3"/>
        <w:spacing w:before="0" w:beforeAutospacing="0" w:after="0" w:afterAutospacing="0"/>
        <w:jc w:val="both"/>
        <w:divId w:val="911279972"/>
        <w:rPr>
          <w:sz w:val="20"/>
          <w:szCs w:val="20"/>
        </w:rPr>
      </w:pPr>
      <w:r>
        <w:rPr>
          <w:b/>
          <w:bCs/>
          <w:sz w:val="20"/>
          <w:szCs w:val="20"/>
        </w:rPr>
        <w:t>Cash Flow from Operating Activities</w:t>
      </w:r>
    </w:p>
    <w:p w14:paraId="04350C36" w14:textId="77777777" w:rsidR="00000000" w:rsidRDefault="007E65A2">
      <w:pPr>
        <w:pStyle w:val="a3"/>
        <w:spacing w:before="0" w:beforeAutospacing="0" w:after="0" w:afterAutospacing="0"/>
        <w:jc w:val="both"/>
        <w:divId w:val="911279972"/>
        <w:rPr>
          <w:sz w:val="20"/>
          <w:szCs w:val="20"/>
        </w:rPr>
      </w:pPr>
      <w:r>
        <w:rPr>
          <w:sz w:val="20"/>
          <w:szCs w:val="20"/>
        </w:rPr>
        <w:t> </w:t>
      </w:r>
    </w:p>
    <w:p w14:paraId="022213C4"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the Company used $102,277 in cash in operating activities compared to cash used in operating activities of $135,550 during the year ended June 30, 2018. During the year ended June 30, 2019, we incurred a net loss of $1,</w:t>
      </w:r>
      <w:r>
        <w:rPr>
          <w:sz w:val="20"/>
          <w:szCs w:val="20"/>
        </w:rPr>
        <w:t>064,810 of which $841,209 arose from non-cash expenses and we generated cash flow of $121,324 from the net increase in current liabilities. By comparison, during the year ended June 30, 2018, we incurred a net loss of $1,994,256 of which $1,413,053 arose f</w:t>
      </w:r>
      <w:r>
        <w:rPr>
          <w:sz w:val="20"/>
          <w:szCs w:val="20"/>
        </w:rPr>
        <w:t>rom non-cash expenses and we generated cash flow of $445,653 from the net increase in current liabilities.</w:t>
      </w:r>
    </w:p>
    <w:p w14:paraId="705CF6C1"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54201C3" w14:textId="77777777">
        <w:trPr>
          <w:divId w:val="911279972"/>
          <w:tblCellSpacing w:w="0" w:type="dxa"/>
        </w:trPr>
        <w:tc>
          <w:tcPr>
            <w:tcW w:w="0" w:type="auto"/>
            <w:vAlign w:val="center"/>
            <w:hideMark/>
          </w:tcPr>
          <w:p w14:paraId="39733EEE" w14:textId="77777777" w:rsidR="00000000" w:rsidRDefault="007E65A2">
            <w:pPr>
              <w:rPr>
                <w:rFonts w:eastAsia="Times New Roman"/>
                <w:sz w:val="20"/>
                <w:szCs w:val="20"/>
              </w:rPr>
            </w:pPr>
            <w:r>
              <w:rPr>
                <w:rFonts w:eastAsia="Times New Roman"/>
                <w:sz w:val="20"/>
                <w:szCs w:val="20"/>
              </w:rPr>
              <w:t> </w:t>
            </w:r>
          </w:p>
        </w:tc>
      </w:tr>
      <w:tr w:rsidR="00000000" w14:paraId="5D6154CB" w14:textId="77777777">
        <w:trPr>
          <w:divId w:val="911279972"/>
          <w:tblCellSpacing w:w="0" w:type="dxa"/>
        </w:trPr>
        <w:tc>
          <w:tcPr>
            <w:tcW w:w="0" w:type="auto"/>
            <w:tcBorders>
              <w:bottom w:val="single" w:sz="6" w:space="0" w:color="000000"/>
            </w:tcBorders>
            <w:vAlign w:val="center"/>
            <w:hideMark/>
          </w:tcPr>
          <w:p w14:paraId="204A4C64" w14:textId="77777777" w:rsidR="00000000" w:rsidRDefault="007E65A2">
            <w:pPr>
              <w:jc w:val="center"/>
              <w:rPr>
                <w:rFonts w:eastAsia="Times New Roman"/>
                <w:sz w:val="20"/>
                <w:szCs w:val="20"/>
              </w:rPr>
            </w:pPr>
            <w:r>
              <w:rPr>
                <w:rFonts w:eastAsia="Times New Roman"/>
                <w:sz w:val="20"/>
                <w:szCs w:val="20"/>
              </w:rPr>
              <w:t>11</w:t>
            </w:r>
          </w:p>
        </w:tc>
      </w:tr>
      <w:tr w:rsidR="00000000" w14:paraId="41E3CA7F" w14:textId="77777777">
        <w:trPr>
          <w:divId w:val="911279972"/>
          <w:tblCellSpacing w:w="0" w:type="dxa"/>
        </w:trPr>
        <w:tc>
          <w:tcPr>
            <w:tcW w:w="0" w:type="auto"/>
            <w:vAlign w:val="center"/>
            <w:hideMark/>
          </w:tcPr>
          <w:p w14:paraId="79FEDFFC" w14:textId="77777777" w:rsidR="00000000" w:rsidRDefault="007E65A2">
            <w:pPr>
              <w:rPr>
                <w:rFonts w:eastAsia="Times New Roman"/>
                <w:sz w:val="20"/>
                <w:szCs w:val="20"/>
              </w:rPr>
            </w:pPr>
            <w:r>
              <w:rPr>
                <w:rFonts w:eastAsia="Times New Roman"/>
                <w:sz w:val="20"/>
                <w:szCs w:val="20"/>
              </w:rPr>
              <w:t> </w:t>
            </w:r>
          </w:p>
        </w:tc>
      </w:tr>
      <w:tr w:rsidR="00000000" w14:paraId="4E6AE807" w14:textId="77777777">
        <w:trPr>
          <w:divId w:val="911279972"/>
          <w:tblCellSpacing w:w="0" w:type="dxa"/>
        </w:trPr>
        <w:tc>
          <w:tcPr>
            <w:tcW w:w="0" w:type="auto"/>
            <w:vAlign w:val="center"/>
            <w:hideMark/>
          </w:tcPr>
          <w:p w14:paraId="5ADC3F07"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76543160" w14:textId="77777777" w:rsidR="00000000" w:rsidRDefault="007E65A2">
      <w:pPr>
        <w:pStyle w:val="a3"/>
        <w:spacing w:before="0" w:beforeAutospacing="0" w:after="0" w:afterAutospacing="0"/>
        <w:jc w:val="both"/>
        <w:divId w:val="911279972"/>
        <w:rPr>
          <w:sz w:val="20"/>
          <w:szCs w:val="20"/>
        </w:rPr>
      </w:pPr>
      <w:r>
        <w:rPr>
          <w:sz w:val="20"/>
          <w:szCs w:val="20"/>
        </w:rPr>
        <w:t> </w:t>
      </w:r>
    </w:p>
    <w:p w14:paraId="16F7321A" w14:textId="77777777" w:rsidR="00000000" w:rsidRDefault="007E65A2">
      <w:pPr>
        <w:pStyle w:val="a3"/>
        <w:spacing w:before="0" w:beforeAutospacing="0" w:after="0" w:afterAutospacing="0"/>
        <w:jc w:val="both"/>
        <w:divId w:val="911279972"/>
        <w:rPr>
          <w:sz w:val="20"/>
          <w:szCs w:val="20"/>
        </w:rPr>
      </w:pPr>
      <w:r>
        <w:rPr>
          <w:b/>
          <w:bCs/>
          <w:sz w:val="20"/>
          <w:szCs w:val="20"/>
        </w:rPr>
        <w:t xml:space="preserve">Cash Flow from Investing Activities </w:t>
      </w:r>
    </w:p>
    <w:p w14:paraId="2449DD99" w14:textId="77777777" w:rsidR="00000000" w:rsidRDefault="007E65A2">
      <w:pPr>
        <w:pStyle w:val="a3"/>
        <w:spacing w:before="0" w:beforeAutospacing="0" w:after="0" w:afterAutospacing="0"/>
        <w:jc w:val="both"/>
        <w:divId w:val="911279972"/>
        <w:rPr>
          <w:sz w:val="20"/>
          <w:szCs w:val="20"/>
        </w:rPr>
      </w:pPr>
      <w:r>
        <w:rPr>
          <w:sz w:val="20"/>
          <w:szCs w:val="20"/>
        </w:rPr>
        <w:t> </w:t>
      </w:r>
    </w:p>
    <w:p w14:paraId="40C6FB5E"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and 2018, our company used $0 and $25,000 for investment in equity method investee, respectively</w:t>
      </w:r>
    </w:p>
    <w:p w14:paraId="2CA61540" w14:textId="77777777" w:rsidR="00000000" w:rsidRDefault="007E65A2">
      <w:pPr>
        <w:pStyle w:val="a3"/>
        <w:spacing w:before="0" w:beforeAutospacing="0" w:after="0" w:afterAutospacing="0"/>
        <w:jc w:val="both"/>
        <w:divId w:val="911279972"/>
        <w:rPr>
          <w:sz w:val="20"/>
          <w:szCs w:val="20"/>
        </w:rPr>
      </w:pPr>
      <w:r>
        <w:rPr>
          <w:sz w:val="20"/>
          <w:szCs w:val="20"/>
        </w:rPr>
        <w:t> </w:t>
      </w:r>
    </w:p>
    <w:p w14:paraId="7A89F264" w14:textId="77777777" w:rsidR="00000000" w:rsidRDefault="007E65A2">
      <w:pPr>
        <w:pStyle w:val="a3"/>
        <w:spacing w:before="0" w:beforeAutospacing="0" w:after="0" w:afterAutospacing="0"/>
        <w:jc w:val="both"/>
        <w:divId w:val="911279972"/>
        <w:rPr>
          <w:sz w:val="20"/>
          <w:szCs w:val="20"/>
        </w:rPr>
      </w:pPr>
      <w:r>
        <w:rPr>
          <w:b/>
          <w:bCs/>
          <w:sz w:val="20"/>
          <w:szCs w:val="20"/>
        </w:rPr>
        <w:t>Cash Flow from Financing Activities</w:t>
      </w:r>
    </w:p>
    <w:p w14:paraId="1924E4BC" w14:textId="77777777" w:rsidR="00000000" w:rsidRDefault="007E65A2">
      <w:pPr>
        <w:pStyle w:val="a3"/>
        <w:spacing w:before="0" w:beforeAutospacing="0" w:after="0" w:afterAutospacing="0"/>
        <w:jc w:val="both"/>
        <w:divId w:val="911279972"/>
        <w:rPr>
          <w:sz w:val="20"/>
          <w:szCs w:val="20"/>
        </w:rPr>
      </w:pPr>
      <w:r>
        <w:rPr>
          <w:sz w:val="20"/>
          <w:szCs w:val="20"/>
        </w:rPr>
        <w:t> </w:t>
      </w:r>
    </w:p>
    <w:p w14:paraId="3767C442" w14:textId="77777777" w:rsidR="00000000" w:rsidRDefault="007E65A2">
      <w:pPr>
        <w:pStyle w:val="a3"/>
        <w:spacing w:before="0" w:beforeAutospacing="0" w:after="0" w:afterAutospacing="0"/>
        <w:jc w:val="both"/>
        <w:divId w:val="911279972"/>
        <w:rPr>
          <w:sz w:val="20"/>
          <w:szCs w:val="20"/>
        </w:rPr>
      </w:pPr>
      <w:r>
        <w:rPr>
          <w:sz w:val="20"/>
          <w:szCs w:val="20"/>
        </w:rPr>
        <w:t>Net cash provided by financing activities for the year ended June 30, 2019 was $100</w:t>
      </w:r>
      <w:r>
        <w:rPr>
          <w:sz w:val="20"/>
          <w:szCs w:val="20"/>
        </w:rPr>
        <w:t>,137, compared to net cash provided by financing activities of $165,179 for the year ended June 30, 2017. During the year ended June 30, 2019, we received $100,000 by way of loan under a convertible note payable, $437 loan from a related party and repaid $</w:t>
      </w:r>
      <w:r>
        <w:rPr>
          <w:sz w:val="20"/>
          <w:szCs w:val="20"/>
        </w:rPr>
        <w:t xml:space="preserve">300 to a related party. During the year ended June 30, 2018, we received $142,167 by way of loan under a convertible note payable, $8,333 by way of loan under a convertible note payable – related party, $200 from the issuance of our common shares, $21,098 </w:t>
      </w:r>
      <w:r>
        <w:rPr>
          <w:sz w:val="20"/>
          <w:szCs w:val="20"/>
        </w:rPr>
        <w:t>loan from a related party and repaid $6,619 to a related party.</w:t>
      </w:r>
    </w:p>
    <w:p w14:paraId="22E0E827" w14:textId="77777777" w:rsidR="00000000" w:rsidRDefault="007E65A2">
      <w:pPr>
        <w:pStyle w:val="a3"/>
        <w:spacing w:before="0" w:beforeAutospacing="0" w:after="0" w:afterAutospacing="0"/>
        <w:jc w:val="both"/>
        <w:divId w:val="911279972"/>
        <w:rPr>
          <w:sz w:val="20"/>
          <w:szCs w:val="20"/>
        </w:rPr>
      </w:pPr>
      <w:r>
        <w:rPr>
          <w:sz w:val="20"/>
          <w:szCs w:val="20"/>
        </w:rPr>
        <w:t> </w:t>
      </w:r>
    </w:p>
    <w:p w14:paraId="2936E148" w14:textId="77777777" w:rsidR="00000000" w:rsidRDefault="007E65A2">
      <w:pPr>
        <w:pStyle w:val="a3"/>
        <w:spacing w:before="0" w:beforeAutospacing="0" w:after="0" w:afterAutospacing="0"/>
        <w:jc w:val="both"/>
        <w:divId w:val="911279972"/>
        <w:rPr>
          <w:sz w:val="20"/>
          <w:szCs w:val="20"/>
        </w:rPr>
      </w:pPr>
      <w:r>
        <w:rPr>
          <w:b/>
          <w:bCs/>
          <w:sz w:val="20"/>
          <w:szCs w:val="20"/>
        </w:rPr>
        <w:t>Off-Balance Sheet Arrangements</w:t>
      </w:r>
    </w:p>
    <w:p w14:paraId="396D5B14" w14:textId="77777777" w:rsidR="00000000" w:rsidRDefault="007E65A2">
      <w:pPr>
        <w:pStyle w:val="a3"/>
        <w:spacing w:before="0" w:beforeAutospacing="0" w:after="0" w:afterAutospacing="0"/>
        <w:jc w:val="both"/>
        <w:divId w:val="911279972"/>
        <w:rPr>
          <w:sz w:val="20"/>
          <w:szCs w:val="20"/>
        </w:rPr>
      </w:pPr>
      <w:r>
        <w:rPr>
          <w:sz w:val="20"/>
          <w:szCs w:val="20"/>
        </w:rPr>
        <w:t> </w:t>
      </w:r>
    </w:p>
    <w:p w14:paraId="334BD287" w14:textId="77777777" w:rsidR="00000000" w:rsidRDefault="007E65A2">
      <w:pPr>
        <w:pStyle w:val="a3"/>
        <w:spacing w:before="0" w:beforeAutospacing="0" w:after="0" w:afterAutospacing="0"/>
        <w:jc w:val="both"/>
        <w:divId w:val="911279972"/>
        <w:rPr>
          <w:sz w:val="20"/>
          <w:szCs w:val="20"/>
        </w:rPr>
      </w:pPr>
      <w:r>
        <w:rPr>
          <w:sz w:val="20"/>
          <w:szCs w:val="20"/>
        </w:rPr>
        <w:t>As of June 30, 2019, our company had no off-balance sheet arrangements.</w:t>
      </w:r>
    </w:p>
    <w:p w14:paraId="7ED84AB9" w14:textId="77777777" w:rsidR="00000000" w:rsidRDefault="007E65A2">
      <w:pPr>
        <w:pStyle w:val="a3"/>
        <w:spacing w:before="0" w:beforeAutospacing="0" w:after="0" w:afterAutospacing="0"/>
        <w:jc w:val="both"/>
        <w:divId w:val="911279972"/>
        <w:rPr>
          <w:sz w:val="20"/>
          <w:szCs w:val="20"/>
        </w:rPr>
      </w:pPr>
      <w:r>
        <w:rPr>
          <w:sz w:val="20"/>
          <w:szCs w:val="20"/>
        </w:rPr>
        <w:t> </w:t>
      </w:r>
    </w:p>
    <w:p w14:paraId="4AB79890" w14:textId="77777777" w:rsidR="00000000" w:rsidRDefault="007E65A2">
      <w:pPr>
        <w:pStyle w:val="a3"/>
        <w:spacing w:before="0" w:beforeAutospacing="0" w:after="0" w:afterAutospacing="0"/>
        <w:jc w:val="both"/>
        <w:divId w:val="911279972"/>
        <w:rPr>
          <w:sz w:val="20"/>
          <w:szCs w:val="20"/>
        </w:rPr>
      </w:pPr>
      <w:r>
        <w:rPr>
          <w:b/>
          <w:bCs/>
          <w:sz w:val="20"/>
          <w:szCs w:val="20"/>
        </w:rPr>
        <w:t>Application of Critical Accounting Policies</w:t>
      </w:r>
    </w:p>
    <w:p w14:paraId="0064A1CF" w14:textId="77777777" w:rsidR="00000000" w:rsidRDefault="007E65A2">
      <w:pPr>
        <w:pStyle w:val="a3"/>
        <w:spacing w:before="0" w:beforeAutospacing="0" w:after="0" w:afterAutospacing="0"/>
        <w:jc w:val="both"/>
        <w:divId w:val="911279972"/>
        <w:rPr>
          <w:sz w:val="20"/>
          <w:szCs w:val="20"/>
        </w:rPr>
      </w:pPr>
      <w:r>
        <w:rPr>
          <w:sz w:val="20"/>
          <w:szCs w:val="20"/>
        </w:rPr>
        <w:t> </w:t>
      </w:r>
    </w:p>
    <w:p w14:paraId="2FA03F58" w14:textId="77777777" w:rsidR="00000000" w:rsidRDefault="007E65A2">
      <w:pPr>
        <w:pStyle w:val="a3"/>
        <w:spacing w:before="0" w:beforeAutospacing="0" w:after="0" w:afterAutospacing="0"/>
        <w:jc w:val="both"/>
        <w:divId w:val="911279972"/>
        <w:rPr>
          <w:sz w:val="20"/>
          <w:szCs w:val="20"/>
        </w:rPr>
      </w:pPr>
      <w:r>
        <w:rPr>
          <w:rStyle w:val="a6"/>
          <w:sz w:val="20"/>
          <w:szCs w:val="20"/>
        </w:rPr>
        <w:t>We believe that the following account</w:t>
      </w:r>
      <w:r>
        <w:rPr>
          <w:rStyle w:val="a6"/>
          <w:sz w:val="20"/>
          <w:szCs w:val="20"/>
        </w:rPr>
        <w:t>ing policies are the most critical to aid you in fully understanding and evaluating this “Management’s Discussion and Analysis of Financial Condition and Results of Operation.”</w:t>
      </w:r>
    </w:p>
    <w:p w14:paraId="31AACED7" w14:textId="77777777" w:rsidR="00000000" w:rsidRDefault="007E65A2">
      <w:pPr>
        <w:pStyle w:val="a3"/>
        <w:spacing w:before="0" w:beforeAutospacing="0" w:after="0" w:afterAutospacing="0"/>
        <w:jc w:val="both"/>
        <w:divId w:val="911279972"/>
        <w:rPr>
          <w:sz w:val="20"/>
          <w:szCs w:val="20"/>
        </w:rPr>
      </w:pPr>
      <w:r>
        <w:rPr>
          <w:sz w:val="20"/>
          <w:szCs w:val="20"/>
        </w:rPr>
        <w:t> </w:t>
      </w:r>
    </w:p>
    <w:p w14:paraId="00CDD4FE" w14:textId="77777777" w:rsidR="00000000" w:rsidRDefault="007E65A2">
      <w:pPr>
        <w:pStyle w:val="a3"/>
        <w:spacing w:before="0" w:beforeAutospacing="0" w:after="0" w:afterAutospacing="0"/>
        <w:jc w:val="both"/>
        <w:divId w:val="911279972"/>
        <w:rPr>
          <w:sz w:val="20"/>
          <w:szCs w:val="20"/>
        </w:rPr>
      </w:pPr>
      <w:r>
        <w:rPr>
          <w:b/>
          <w:bCs/>
          <w:sz w:val="20"/>
          <w:szCs w:val="20"/>
        </w:rPr>
        <w:t>Use of Estimates</w:t>
      </w:r>
    </w:p>
    <w:p w14:paraId="7370C14D" w14:textId="77777777" w:rsidR="00000000" w:rsidRDefault="007E65A2">
      <w:pPr>
        <w:pStyle w:val="a3"/>
        <w:spacing w:before="0" w:beforeAutospacing="0" w:after="0" w:afterAutospacing="0"/>
        <w:jc w:val="both"/>
        <w:divId w:val="911279972"/>
        <w:rPr>
          <w:sz w:val="20"/>
          <w:szCs w:val="20"/>
        </w:rPr>
      </w:pPr>
      <w:r>
        <w:rPr>
          <w:sz w:val="20"/>
          <w:szCs w:val="20"/>
        </w:rPr>
        <w:t> </w:t>
      </w:r>
    </w:p>
    <w:p w14:paraId="47B4AD8B" w14:textId="77777777" w:rsidR="00000000" w:rsidRDefault="007E65A2">
      <w:pPr>
        <w:pStyle w:val="a3"/>
        <w:spacing w:before="0" w:beforeAutospacing="0" w:after="0" w:afterAutospacing="0"/>
        <w:jc w:val="both"/>
        <w:divId w:val="911279972"/>
        <w:rPr>
          <w:sz w:val="20"/>
          <w:szCs w:val="20"/>
        </w:rPr>
      </w:pPr>
      <w:r>
        <w:rPr>
          <w:sz w:val="20"/>
          <w:szCs w:val="20"/>
        </w:rPr>
        <w:t xml:space="preserve">The preparation of financial statements in conformity with generally accepted accounting principles requires that management makes estimates and assumptions that affect the reported amounts of assets and liabilities and disclosure of contingent assets and </w:t>
      </w:r>
      <w:r>
        <w:rPr>
          <w:sz w:val="20"/>
          <w:szCs w:val="20"/>
        </w:rPr>
        <w:t>liabilities at the date of the financial statements and the reported amounts of revenues and expenses during the period. Actual results could differ from those estimates.</w:t>
      </w:r>
    </w:p>
    <w:p w14:paraId="79729B90" w14:textId="77777777" w:rsidR="00000000" w:rsidRDefault="007E65A2">
      <w:pPr>
        <w:pStyle w:val="a3"/>
        <w:spacing w:before="0" w:beforeAutospacing="0" w:after="0" w:afterAutospacing="0"/>
        <w:jc w:val="both"/>
        <w:divId w:val="911279972"/>
        <w:rPr>
          <w:sz w:val="20"/>
          <w:szCs w:val="20"/>
        </w:rPr>
      </w:pPr>
      <w:r>
        <w:rPr>
          <w:sz w:val="20"/>
          <w:szCs w:val="20"/>
        </w:rPr>
        <w:t> </w:t>
      </w:r>
    </w:p>
    <w:p w14:paraId="3CC6DCFF" w14:textId="77777777" w:rsidR="00000000" w:rsidRDefault="007E65A2">
      <w:pPr>
        <w:pStyle w:val="a3"/>
        <w:spacing w:before="0" w:beforeAutospacing="0" w:after="0" w:afterAutospacing="0"/>
        <w:jc w:val="both"/>
        <w:divId w:val="911279972"/>
        <w:rPr>
          <w:sz w:val="20"/>
          <w:szCs w:val="20"/>
        </w:rPr>
      </w:pPr>
      <w:r>
        <w:rPr>
          <w:b/>
          <w:bCs/>
          <w:i/>
          <w:iCs/>
          <w:sz w:val="20"/>
          <w:szCs w:val="20"/>
        </w:rPr>
        <w:t>Convertible Notes</w:t>
      </w:r>
    </w:p>
    <w:p w14:paraId="3418FBE1" w14:textId="77777777" w:rsidR="00000000" w:rsidRDefault="007E65A2">
      <w:pPr>
        <w:pStyle w:val="a3"/>
        <w:spacing w:before="0" w:beforeAutospacing="0" w:after="0" w:afterAutospacing="0"/>
        <w:jc w:val="both"/>
        <w:divId w:val="911279972"/>
        <w:rPr>
          <w:sz w:val="20"/>
          <w:szCs w:val="20"/>
        </w:rPr>
      </w:pPr>
      <w:r>
        <w:rPr>
          <w:sz w:val="20"/>
          <w:szCs w:val="20"/>
        </w:rPr>
        <w:t> </w:t>
      </w:r>
    </w:p>
    <w:p w14:paraId="3D83A707" w14:textId="77777777" w:rsidR="00000000" w:rsidRDefault="007E65A2">
      <w:pPr>
        <w:pStyle w:val="a3"/>
        <w:spacing w:before="0" w:beforeAutospacing="0" w:after="0" w:afterAutospacing="0"/>
        <w:jc w:val="both"/>
        <w:divId w:val="911279972"/>
        <w:rPr>
          <w:sz w:val="20"/>
          <w:szCs w:val="20"/>
        </w:rPr>
      </w:pPr>
      <w:r>
        <w:rPr>
          <w:rStyle w:val="a6"/>
          <w:sz w:val="20"/>
          <w:szCs w:val="20"/>
        </w:rPr>
        <w:t xml:space="preserve">Convertible notes are regarded as compound instruments, consisting of a liability component and an equity component. The component parts of compound instruments are classified separately as financial liabilities and equity in accordance with the substance </w:t>
      </w:r>
      <w:r>
        <w:rPr>
          <w:rStyle w:val="a6"/>
          <w:sz w:val="20"/>
          <w:szCs w:val="20"/>
        </w:rPr>
        <w:t>of the contractual arrangement. At the date of issue, the fair value of the liability component is estimated using the prevailing market interest rate for a similar non-convertible instrument. This amount is recorded as a liability on an amortized cost bas</w:t>
      </w:r>
      <w:r>
        <w:rPr>
          <w:rStyle w:val="a6"/>
          <w:sz w:val="20"/>
          <w:szCs w:val="20"/>
        </w:rPr>
        <w:t>is until extinguished upon conversion or at the instrument’s maturity date. The equity component is determined by deducting the amount of the liability component from the fair value of the compound instrument as a whole. This is recognized as additional pa</w:t>
      </w:r>
      <w:r>
        <w:rPr>
          <w:rStyle w:val="a6"/>
          <w:sz w:val="20"/>
          <w:szCs w:val="20"/>
        </w:rPr>
        <w:t>id-in capital and included in equity, net of income tax effects, and is not subsequently remeasured. After initial measurement, they are carried at amortized cost using the effective interest method.</w:t>
      </w:r>
    </w:p>
    <w:p w14:paraId="7EAB8B89"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D88C959" w14:textId="77777777">
        <w:trPr>
          <w:divId w:val="911279972"/>
          <w:tblCellSpacing w:w="0" w:type="dxa"/>
        </w:trPr>
        <w:tc>
          <w:tcPr>
            <w:tcW w:w="0" w:type="auto"/>
            <w:vAlign w:val="center"/>
            <w:hideMark/>
          </w:tcPr>
          <w:p w14:paraId="1614F85D" w14:textId="77777777" w:rsidR="00000000" w:rsidRDefault="007E65A2">
            <w:pPr>
              <w:rPr>
                <w:rFonts w:eastAsia="Times New Roman"/>
                <w:sz w:val="20"/>
                <w:szCs w:val="20"/>
              </w:rPr>
            </w:pPr>
            <w:r>
              <w:rPr>
                <w:rFonts w:eastAsia="Times New Roman"/>
                <w:sz w:val="20"/>
                <w:szCs w:val="20"/>
              </w:rPr>
              <w:t> </w:t>
            </w:r>
          </w:p>
        </w:tc>
      </w:tr>
      <w:tr w:rsidR="00000000" w14:paraId="1A22CEED" w14:textId="77777777">
        <w:trPr>
          <w:divId w:val="911279972"/>
          <w:tblCellSpacing w:w="0" w:type="dxa"/>
        </w:trPr>
        <w:tc>
          <w:tcPr>
            <w:tcW w:w="0" w:type="auto"/>
            <w:tcBorders>
              <w:bottom w:val="single" w:sz="6" w:space="0" w:color="000000"/>
            </w:tcBorders>
            <w:vAlign w:val="center"/>
            <w:hideMark/>
          </w:tcPr>
          <w:p w14:paraId="43A132B3" w14:textId="77777777" w:rsidR="00000000" w:rsidRDefault="007E65A2">
            <w:pPr>
              <w:jc w:val="center"/>
              <w:rPr>
                <w:rFonts w:eastAsia="Times New Roman"/>
                <w:sz w:val="20"/>
                <w:szCs w:val="20"/>
              </w:rPr>
            </w:pPr>
            <w:r>
              <w:rPr>
                <w:rFonts w:eastAsia="Times New Roman"/>
                <w:sz w:val="20"/>
                <w:szCs w:val="20"/>
              </w:rPr>
              <w:t>12</w:t>
            </w:r>
          </w:p>
        </w:tc>
      </w:tr>
      <w:tr w:rsidR="00000000" w14:paraId="104B4EC5" w14:textId="77777777">
        <w:trPr>
          <w:divId w:val="911279972"/>
          <w:tblCellSpacing w:w="0" w:type="dxa"/>
        </w:trPr>
        <w:tc>
          <w:tcPr>
            <w:tcW w:w="0" w:type="auto"/>
            <w:vAlign w:val="center"/>
            <w:hideMark/>
          </w:tcPr>
          <w:p w14:paraId="44692207" w14:textId="77777777" w:rsidR="00000000" w:rsidRDefault="007E65A2">
            <w:pPr>
              <w:rPr>
                <w:rFonts w:eastAsia="Times New Roman"/>
                <w:sz w:val="20"/>
                <w:szCs w:val="20"/>
              </w:rPr>
            </w:pPr>
            <w:r>
              <w:rPr>
                <w:rFonts w:eastAsia="Times New Roman"/>
                <w:sz w:val="20"/>
                <w:szCs w:val="20"/>
              </w:rPr>
              <w:t> </w:t>
            </w:r>
          </w:p>
        </w:tc>
      </w:tr>
      <w:tr w:rsidR="00000000" w14:paraId="575FDED3" w14:textId="77777777">
        <w:trPr>
          <w:divId w:val="911279972"/>
          <w:tblCellSpacing w:w="0" w:type="dxa"/>
        </w:trPr>
        <w:tc>
          <w:tcPr>
            <w:tcW w:w="0" w:type="auto"/>
            <w:vAlign w:val="center"/>
            <w:hideMark/>
          </w:tcPr>
          <w:p w14:paraId="3419A872"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13F43473" w14:textId="77777777" w:rsidR="00000000" w:rsidRDefault="007E65A2">
      <w:pPr>
        <w:pStyle w:val="a3"/>
        <w:spacing w:before="0" w:beforeAutospacing="0" w:after="0" w:afterAutospacing="0"/>
        <w:jc w:val="both"/>
        <w:divId w:val="911279972"/>
        <w:rPr>
          <w:sz w:val="20"/>
          <w:szCs w:val="20"/>
        </w:rPr>
      </w:pPr>
      <w:r>
        <w:rPr>
          <w:sz w:val="20"/>
          <w:szCs w:val="20"/>
        </w:rPr>
        <w:t> </w:t>
      </w:r>
    </w:p>
    <w:p w14:paraId="1A8CD38E" w14:textId="77777777" w:rsidR="00000000" w:rsidRDefault="007E65A2">
      <w:pPr>
        <w:pStyle w:val="a3"/>
        <w:spacing w:before="0" w:beforeAutospacing="0" w:after="0" w:afterAutospacing="0"/>
        <w:jc w:val="both"/>
        <w:divId w:val="911279972"/>
        <w:rPr>
          <w:sz w:val="20"/>
          <w:szCs w:val="20"/>
        </w:rPr>
      </w:pPr>
      <w:r>
        <w:rPr>
          <w:rStyle w:val="a6"/>
          <w:sz w:val="20"/>
          <w:szCs w:val="20"/>
        </w:rPr>
        <w:t>Derivative Financial Instruments</w:t>
      </w:r>
    </w:p>
    <w:p w14:paraId="279CB5C5" w14:textId="77777777" w:rsidR="00000000" w:rsidRDefault="007E65A2">
      <w:pPr>
        <w:pStyle w:val="a3"/>
        <w:spacing w:before="0" w:beforeAutospacing="0" w:after="0" w:afterAutospacing="0"/>
        <w:jc w:val="both"/>
        <w:divId w:val="911279972"/>
        <w:rPr>
          <w:sz w:val="20"/>
          <w:szCs w:val="20"/>
        </w:rPr>
      </w:pPr>
      <w:r>
        <w:rPr>
          <w:sz w:val="20"/>
          <w:szCs w:val="20"/>
        </w:rPr>
        <w:t> </w:t>
      </w:r>
    </w:p>
    <w:p w14:paraId="41F60F79" w14:textId="77777777" w:rsidR="00000000" w:rsidRDefault="007E65A2">
      <w:pPr>
        <w:pStyle w:val="a3"/>
        <w:spacing w:before="0" w:beforeAutospacing="0" w:after="0" w:afterAutospacing="0"/>
        <w:jc w:val="both"/>
        <w:divId w:val="911279972"/>
        <w:rPr>
          <w:sz w:val="20"/>
          <w:szCs w:val="20"/>
        </w:rPr>
      </w:pPr>
      <w:r>
        <w:rPr>
          <w:sz w:val="20"/>
          <w:szCs w:val="20"/>
        </w:rPr>
        <w:t>The Company does not use derivative instruments to hedge exposures to cash flow, market or foreign currency risks. We evaluate all of our financial instruments to determine if such instruments are derivatives or contai</w:t>
      </w:r>
      <w:r>
        <w:rPr>
          <w:sz w:val="20"/>
          <w:szCs w:val="20"/>
        </w:rPr>
        <w:t>n features that qualify as embedded derivatives. For derivative financial instruments that are accounted for as liabilities, the derivative instrument is initially recorded at its fair value and is then re-valued at each reporting date, with changes in the</w:t>
      </w:r>
      <w:r>
        <w:rPr>
          <w:sz w:val="20"/>
          <w:szCs w:val="20"/>
        </w:rPr>
        <w:t xml:space="preserve"> fair value reported in the statements of operations. For stock-based derivative financial instruments, the Company used a Black Scholes valuation model to value the derivative instruments at inception and on subsequent valuation dates. The classification </w:t>
      </w:r>
      <w:r>
        <w:rPr>
          <w:sz w:val="20"/>
          <w:szCs w:val="20"/>
        </w:rPr>
        <w:t>of derivative instruments, including whether such instruments should be recorded as liabilities or as equity, is evaluated at the end of each reporting period. Derivative liabilities are classified in the balance sheet as current or non-current based on wh</w:t>
      </w:r>
      <w:r>
        <w:rPr>
          <w:sz w:val="20"/>
          <w:szCs w:val="20"/>
        </w:rPr>
        <w:t>ether or not net-cash settlement or conversion of the instrument could be required within 12 months of the balance sheet date.</w:t>
      </w:r>
    </w:p>
    <w:p w14:paraId="17BC64AF" w14:textId="77777777" w:rsidR="00000000" w:rsidRDefault="007E65A2">
      <w:pPr>
        <w:pStyle w:val="a3"/>
        <w:spacing w:before="0" w:beforeAutospacing="0" w:after="0" w:afterAutospacing="0"/>
        <w:jc w:val="both"/>
        <w:divId w:val="911279972"/>
        <w:rPr>
          <w:sz w:val="20"/>
          <w:szCs w:val="20"/>
        </w:rPr>
      </w:pPr>
      <w:r>
        <w:rPr>
          <w:sz w:val="20"/>
          <w:szCs w:val="20"/>
        </w:rPr>
        <w:t>  </w:t>
      </w:r>
    </w:p>
    <w:p w14:paraId="316F4B3E" w14:textId="77777777" w:rsidR="00000000" w:rsidRDefault="007E65A2">
      <w:pPr>
        <w:pStyle w:val="a3"/>
        <w:spacing w:before="0" w:beforeAutospacing="0" w:after="0" w:afterAutospacing="0"/>
        <w:jc w:val="both"/>
        <w:divId w:val="911279972"/>
        <w:rPr>
          <w:sz w:val="20"/>
          <w:szCs w:val="20"/>
        </w:rPr>
      </w:pPr>
      <w:r>
        <w:rPr>
          <w:rStyle w:val="a6"/>
          <w:sz w:val="20"/>
          <w:szCs w:val="20"/>
        </w:rPr>
        <w:t>Income Taxes</w:t>
      </w:r>
    </w:p>
    <w:p w14:paraId="15A64FCF" w14:textId="77777777" w:rsidR="00000000" w:rsidRDefault="007E65A2">
      <w:pPr>
        <w:pStyle w:val="a3"/>
        <w:spacing w:before="0" w:beforeAutospacing="0" w:after="0" w:afterAutospacing="0"/>
        <w:jc w:val="both"/>
        <w:divId w:val="911279972"/>
        <w:rPr>
          <w:sz w:val="20"/>
          <w:szCs w:val="20"/>
        </w:rPr>
      </w:pPr>
      <w:r>
        <w:rPr>
          <w:sz w:val="20"/>
          <w:szCs w:val="20"/>
        </w:rPr>
        <w:t> </w:t>
      </w:r>
    </w:p>
    <w:p w14:paraId="28507A36" w14:textId="77777777" w:rsidR="00000000" w:rsidRDefault="007E65A2">
      <w:pPr>
        <w:pStyle w:val="a3"/>
        <w:spacing w:before="0" w:beforeAutospacing="0" w:after="0" w:afterAutospacing="0"/>
        <w:jc w:val="both"/>
        <w:divId w:val="911279972"/>
        <w:rPr>
          <w:sz w:val="20"/>
          <w:szCs w:val="20"/>
        </w:rPr>
      </w:pPr>
      <w:r>
        <w:rPr>
          <w:sz w:val="20"/>
          <w:szCs w:val="20"/>
        </w:rPr>
        <w:t>The Company accounts for income taxes in accordance with FASB ASC 740 “Income Taxes”. Under FASB ASC 740, deferred income taxes are recognized for the tax consequences in future years of differences between the tax bases of assets and liabilities and their</w:t>
      </w:r>
      <w:r>
        <w:rPr>
          <w:sz w:val="20"/>
          <w:szCs w:val="20"/>
        </w:rPr>
        <w:t xml:space="preserve"> financial statement reported amounts at each period end, based on enacted tax laws and statutory tax rates applicable to the periods in which the differences are expected to affect taxable income. Valuation allowances are established, when necessary, to r</w:t>
      </w:r>
      <w:r>
        <w:rPr>
          <w:sz w:val="20"/>
          <w:szCs w:val="20"/>
        </w:rPr>
        <w:t>educe deferred tax assets to the amounts expected to be realized. The provision for income taxes represents the tax expense for the period, if any, and the change during the period in deferred tax assets and liabilities. FASB ASC 740 also provides criteria</w:t>
      </w:r>
      <w:r>
        <w:rPr>
          <w:sz w:val="20"/>
          <w:szCs w:val="20"/>
        </w:rPr>
        <w:t xml:space="preserve"> for the recognition, measurement, presentation and disclosure of uncertain tax positions. Under FASB ASC 740, the impact of an uncertain tax position on the income tax return may only be recognized at the largest amount that is more-likely-than-not to be </w:t>
      </w:r>
      <w:r>
        <w:rPr>
          <w:sz w:val="20"/>
          <w:szCs w:val="20"/>
        </w:rPr>
        <w:t>sustained upon audit by the relevant taxing authority. At June 30, 2019 and 2018, a full deferred tax asset valuation allowance has been provided and no deferred tax asset has been recorded.</w:t>
      </w:r>
    </w:p>
    <w:p w14:paraId="326D446E" w14:textId="77777777" w:rsidR="00000000" w:rsidRDefault="007E65A2">
      <w:pPr>
        <w:pStyle w:val="a3"/>
        <w:spacing w:before="0" w:beforeAutospacing="0" w:after="0" w:afterAutospacing="0"/>
        <w:jc w:val="both"/>
        <w:divId w:val="911279972"/>
        <w:rPr>
          <w:sz w:val="20"/>
          <w:szCs w:val="20"/>
        </w:rPr>
      </w:pPr>
      <w:r>
        <w:rPr>
          <w:sz w:val="20"/>
          <w:szCs w:val="20"/>
        </w:rPr>
        <w:t> </w:t>
      </w:r>
    </w:p>
    <w:p w14:paraId="24E70F7F" w14:textId="77777777" w:rsidR="00000000" w:rsidRDefault="007E65A2">
      <w:pPr>
        <w:pStyle w:val="a3"/>
        <w:spacing w:before="0" w:beforeAutospacing="0" w:after="0" w:afterAutospacing="0"/>
        <w:jc w:val="both"/>
        <w:divId w:val="911279972"/>
        <w:rPr>
          <w:sz w:val="20"/>
          <w:szCs w:val="20"/>
        </w:rPr>
      </w:pPr>
      <w:r>
        <w:rPr>
          <w:sz w:val="20"/>
          <w:szCs w:val="20"/>
        </w:rPr>
        <w:t>Also, refer to Note 2 – Summary of Significant Accounting Polic</w:t>
      </w:r>
      <w:r>
        <w:rPr>
          <w:sz w:val="20"/>
          <w:szCs w:val="20"/>
        </w:rPr>
        <w:t>ies and Note 7 - Derivative Liabilities in the consolidated financial statements that are included in this Report.</w:t>
      </w:r>
    </w:p>
    <w:p w14:paraId="4F4A4551" w14:textId="77777777" w:rsidR="00000000" w:rsidRDefault="007E65A2">
      <w:pPr>
        <w:pStyle w:val="a3"/>
        <w:spacing w:before="0" w:beforeAutospacing="0" w:after="0" w:afterAutospacing="0"/>
        <w:jc w:val="both"/>
        <w:divId w:val="911279972"/>
        <w:rPr>
          <w:sz w:val="20"/>
          <w:szCs w:val="20"/>
        </w:rPr>
      </w:pPr>
      <w:r>
        <w:rPr>
          <w:sz w:val="20"/>
          <w:szCs w:val="20"/>
        </w:rPr>
        <w:t> </w:t>
      </w:r>
    </w:p>
    <w:p w14:paraId="6F520785" w14:textId="77777777" w:rsidR="00000000" w:rsidRDefault="007E65A2">
      <w:pPr>
        <w:pStyle w:val="a3"/>
        <w:spacing w:before="0" w:beforeAutospacing="0" w:after="0" w:afterAutospacing="0"/>
        <w:jc w:val="both"/>
        <w:divId w:val="911279972"/>
        <w:rPr>
          <w:sz w:val="20"/>
          <w:szCs w:val="20"/>
        </w:rPr>
      </w:pPr>
      <w:bookmarkStart w:id="12" w:name="Item7A"/>
      <w:r>
        <w:rPr>
          <w:b/>
          <w:bCs/>
          <w:sz w:val="20"/>
          <w:szCs w:val="20"/>
        </w:rPr>
        <w:t>ITEM 7A. QUANTITATIVE AND QUALITATIVE DISCLOSURES ABOUT MARKET RISK</w:t>
      </w:r>
      <w:bookmarkEnd w:id="12"/>
    </w:p>
    <w:p w14:paraId="38F76404" w14:textId="77777777" w:rsidR="00000000" w:rsidRDefault="007E65A2">
      <w:pPr>
        <w:pStyle w:val="a3"/>
        <w:spacing w:before="0" w:beforeAutospacing="0" w:after="0" w:afterAutospacing="0"/>
        <w:jc w:val="both"/>
        <w:divId w:val="911279972"/>
        <w:rPr>
          <w:sz w:val="20"/>
          <w:szCs w:val="20"/>
        </w:rPr>
      </w:pPr>
      <w:r>
        <w:rPr>
          <w:sz w:val="20"/>
          <w:szCs w:val="20"/>
        </w:rPr>
        <w:t> </w:t>
      </w:r>
    </w:p>
    <w:p w14:paraId="05C4BA1C" w14:textId="77777777" w:rsidR="00000000" w:rsidRDefault="007E65A2">
      <w:pPr>
        <w:pStyle w:val="a3"/>
        <w:spacing w:before="0" w:beforeAutospacing="0" w:after="0" w:afterAutospacing="0"/>
        <w:jc w:val="both"/>
        <w:divId w:val="911279972"/>
        <w:rPr>
          <w:sz w:val="20"/>
          <w:szCs w:val="20"/>
        </w:rPr>
      </w:pPr>
      <w:r>
        <w:rPr>
          <w:sz w:val="20"/>
          <w:szCs w:val="20"/>
        </w:rPr>
        <w:t>Not Applicable.</w:t>
      </w:r>
    </w:p>
    <w:p w14:paraId="672470AD"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1119461" w14:textId="77777777">
        <w:trPr>
          <w:divId w:val="911279972"/>
          <w:tblCellSpacing w:w="0" w:type="dxa"/>
        </w:trPr>
        <w:tc>
          <w:tcPr>
            <w:tcW w:w="0" w:type="auto"/>
            <w:vAlign w:val="center"/>
            <w:hideMark/>
          </w:tcPr>
          <w:p w14:paraId="7C039900" w14:textId="77777777" w:rsidR="00000000" w:rsidRDefault="007E65A2">
            <w:pPr>
              <w:rPr>
                <w:rFonts w:eastAsia="Times New Roman"/>
                <w:sz w:val="20"/>
                <w:szCs w:val="20"/>
              </w:rPr>
            </w:pPr>
            <w:r>
              <w:rPr>
                <w:rFonts w:eastAsia="Times New Roman"/>
                <w:sz w:val="20"/>
                <w:szCs w:val="20"/>
              </w:rPr>
              <w:t> </w:t>
            </w:r>
          </w:p>
        </w:tc>
      </w:tr>
      <w:tr w:rsidR="00000000" w14:paraId="708F89E7" w14:textId="77777777">
        <w:trPr>
          <w:divId w:val="911279972"/>
          <w:tblCellSpacing w:w="0" w:type="dxa"/>
        </w:trPr>
        <w:tc>
          <w:tcPr>
            <w:tcW w:w="0" w:type="auto"/>
            <w:tcBorders>
              <w:bottom w:val="single" w:sz="6" w:space="0" w:color="000000"/>
            </w:tcBorders>
            <w:vAlign w:val="center"/>
            <w:hideMark/>
          </w:tcPr>
          <w:p w14:paraId="0A761EFD" w14:textId="77777777" w:rsidR="00000000" w:rsidRDefault="007E65A2">
            <w:pPr>
              <w:jc w:val="center"/>
              <w:rPr>
                <w:rFonts w:eastAsia="Times New Roman"/>
                <w:sz w:val="20"/>
                <w:szCs w:val="20"/>
              </w:rPr>
            </w:pPr>
            <w:r>
              <w:rPr>
                <w:rFonts w:eastAsia="Times New Roman"/>
                <w:sz w:val="20"/>
                <w:szCs w:val="20"/>
              </w:rPr>
              <w:t>13</w:t>
            </w:r>
          </w:p>
        </w:tc>
      </w:tr>
      <w:tr w:rsidR="00000000" w14:paraId="1A4DC92B" w14:textId="77777777">
        <w:trPr>
          <w:divId w:val="911279972"/>
          <w:tblCellSpacing w:w="0" w:type="dxa"/>
        </w:trPr>
        <w:tc>
          <w:tcPr>
            <w:tcW w:w="0" w:type="auto"/>
            <w:vAlign w:val="center"/>
            <w:hideMark/>
          </w:tcPr>
          <w:p w14:paraId="4DAA5363" w14:textId="77777777" w:rsidR="00000000" w:rsidRDefault="007E65A2">
            <w:pPr>
              <w:rPr>
                <w:rFonts w:eastAsia="Times New Roman"/>
                <w:sz w:val="20"/>
                <w:szCs w:val="20"/>
              </w:rPr>
            </w:pPr>
            <w:r>
              <w:rPr>
                <w:rFonts w:eastAsia="Times New Roman"/>
                <w:sz w:val="20"/>
                <w:szCs w:val="20"/>
              </w:rPr>
              <w:t> </w:t>
            </w:r>
          </w:p>
        </w:tc>
      </w:tr>
      <w:tr w:rsidR="00000000" w14:paraId="582B0284" w14:textId="77777777">
        <w:trPr>
          <w:divId w:val="911279972"/>
          <w:tblCellSpacing w:w="0" w:type="dxa"/>
        </w:trPr>
        <w:tc>
          <w:tcPr>
            <w:tcW w:w="0" w:type="auto"/>
            <w:vAlign w:val="center"/>
            <w:hideMark/>
          </w:tcPr>
          <w:p w14:paraId="352B460C" w14:textId="77777777" w:rsidR="00000000" w:rsidRDefault="007E65A2">
            <w:pPr>
              <w:rPr>
                <w:rFonts w:eastAsia="Times New Roman"/>
                <w:sz w:val="20"/>
                <w:szCs w:val="20"/>
              </w:rPr>
            </w:pPr>
            <w:hyperlink w:anchor="Toc" w:history="1">
              <w:r>
                <w:rPr>
                  <w:rStyle w:val="a4"/>
                  <w:rFonts w:eastAsia="Times New Roman"/>
                  <w:i/>
                  <w:iCs/>
                  <w:sz w:val="20"/>
                  <w:szCs w:val="20"/>
                </w:rPr>
                <w:t>Table of Conten</w:t>
              </w:r>
              <w:r>
                <w:rPr>
                  <w:rStyle w:val="a4"/>
                  <w:rFonts w:eastAsia="Times New Roman"/>
                  <w:i/>
                  <w:iCs/>
                  <w:sz w:val="20"/>
                  <w:szCs w:val="20"/>
                </w:rPr>
                <w:t>ts</w:t>
              </w:r>
            </w:hyperlink>
          </w:p>
        </w:tc>
      </w:tr>
    </w:tbl>
    <w:p w14:paraId="050C58B9" w14:textId="77777777" w:rsidR="00000000" w:rsidRDefault="007E65A2">
      <w:pPr>
        <w:pStyle w:val="a3"/>
        <w:spacing w:before="0" w:beforeAutospacing="0" w:after="0" w:afterAutospacing="0"/>
        <w:jc w:val="both"/>
        <w:divId w:val="911279972"/>
        <w:rPr>
          <w:sz w:val="20"/>
          <w:szCs w:val="20"/>
        </w:rPr>
      </w:pPr>
      <w:r>
        <w:rPr>
          <w:sz w:val="20"/>
          <w:szCs w:val="20"/>
        </w:rPr>
        <w:t> </w:t>
      </w:r>
    </w:p>
    <w:p w14:paraId="45B471B8" w14:textId="77777777" w:rsidR="00000000" w:rsidRDefault="007E65A2">
      <w:pPr>
        <w:pStyle w:val="a3"/>
        <w:spacing w:before="0" w:beforeAutospacing="0" w:after="0" w:afterAutospacing="0"/>
        <w:jc w:val="both"/>
        <w:divId w:val="911279972"/>
        <w:rPr>
          <w:sz w:val="20"/>
          <w:szCs w:val="20"/>
        </w:rPr>
      </w:pPr>
      <w:bookmarkStart w:id="13" w:name="Item8"/>
      <w:r>
        <w:rPr>
          <w:b/>
          <w:bCs/>
          <w:sz w:val="20"/>
          <w:szCs w:val="20"/>
        </w:rPr>
        <w:t>ITEM 8. FINANCIAL STATEMENTS AND SUPPLEMENTARY DATA</w:t>
      </w:r>
      <w:bookmarkEnd w:id="13"/>
    </w:p>
    <w:p w14:paraId="367B88BF" w14:textId="77777777" w:rsidR="00000000" w:rsidRDefault="007E65A2">
      <w:pPr>
        <w:pStyle w:val="a3"/>
        <w:spacing w:before="0" w:beforeAutospacing="0" w:after="0" w:afterAutospacing="0"/>
        <w:jc w:val="both"/>
        <w:divId w:val="911279972"/>
        <w:rPr>
          <w:sz w:val="20"/>
          <w:szCs w:val="20"/>
        </w:rPr>
      </w:pPr>
      <w:r>
        <w:rPr>
          <w:sz w:val="20"/>
          <w:szCs w:val="20"/>
        </w:rPr>
        <w:t> </w:t>
      </w:r>
    </w:p>
    <w:p w14:paraId="3C39C641" w14:textId="77777777" w:rsidR="00000000" w:rsidRDefault="007E65A2">
      <w:pPr>
        <w:pStyle w:val="a3"/>
        <w:spacing w:before="0" w:beforeAutospacing="0" w:after="0" w:afterAutospacing="0"/>
        <w:jc w:val="center"/>
        <w:divId w:val="911279972"/>
        <w:rPr>
          <w:sz w:val="20"/>
          <w:szCs w:val="20"/>
        </w:rPr>
      </w:pPr>
      <w:r>
        <w:rPr>
          <w:b/>
          <w:bCs/>
          <w:sz w:val="20"/>
          <w:szCs w:val="20"/>
        </w:rPr>
        <w:t> </w:t>
      </w:r>
      <w:bookmarkStart w:id="14" w:name="TOC2"/>
      <w:r>
        <w:rPr>
          <w:b/>
          <w:bCs/>
          <w:sz w:val="20"/>
          <w:szCs w:val="20"/>
        </w:rPr>
        <w:t>APPYEA, INC.</w:t>
      </w:r>
      <w:bookmarkEnd w:id="14"/>
      <w:r>
        <w:rPr>
          <w:sz w:val="20"/>
          <w:szCs w:val="20"/>
        </w:rPr>
        <w:t> </w:t>
      </w:r>
    </w:p>
    <w:p w14:paraId="0F776E4E" w14:textId="77777777" w:rsidR="00000000" w:rsidRDefault="007E65A2">
      <w:pPr>
        <w:pStyle w:val="a3"/>
        <w:spacing w:before="0" w:beforeAutospacing="0" w:after="0" w:afterAutospacing="0"/>
        <w:jc w:val="center"/>
        <w:divId w:val="911279972"/>
        <w:rPr>
          <w:sz w:val="20"/>
          <w:szCs w:val="20"/>
        </w:rPr>
      </w:pPr>
      <w:r>
        <w:rPr>
          <w:sz w:val="20"/>
          <w:szCs w:val="20"/>
        </w:rPr>
        <w:t> </w:t>
      </w:r>
    </w:p>
    <w:p w14:paraId="73CF4CC5" w14:textId="77777777" w:rsidR="00000000" w:rsidRDefault="007E65A2">
      <w:pPr>
        <w:pStyle w:val="a3"/>
        <w:spacing w:before="0" w:beforeAutospacing="0" w:after="0" w:afterAutospacing="0"/>
        <w:jc w:val="center"/>
        <w:divId w:val="911279972"/>
        <w:rPr>
          <w:sz w:val="20"/>
          <w:szCs w:val="20"/>
        </w:rPr>
      </w:pPr>
      <w:r>
        <w:rPr>
          <w:b/>
          <w:bCs/>
          <w:sz w:val="20"/>
          <w:szCs w:val="20"/>
        </w:rPr>
        <w:t>AUDITED FINANCIAL STATEMENTS</w:t>
      </w:r>
    </w:p>
    <w:p w14:paraId="72C128BC" w14:textId="77777777" w:rsidR="00000000" w:rsidRDefault="007E65A2">
      <w:pPr>
        <w:pStyle w:val="a3"/>
        <w:spacing w:before="0" w:beforeAutospacing="0" w:after="0" w:afterAutospacing="0"/>
        <w:jc w:val="center"/>
        <w:divId w:val="911279972"/>
        <w:rPr>
          <w:sz w:val="20"/>
          <w:szCs w:val="20"/>
        </w:rPr>
      </w:pPr>
      <w:r>
        <w:rPr>
          <w:sz w:val="20"/>
          <w:szCs w:val="20"/>
        </w:rPr>
        <w:t> </w:t>
      </w:r>
    </w:p>
    <w:p w14:paraId="7744A835" w14:textId="77777777" w:rsidR="00000000" w:rsidRDefault="007E65A2">
      <w:pPr>
        <w:pStyle w:val="a3"/>
        <w:spacing w:before="0" w:beforeAutospacing="0" w:after="0" w:afterAutospacing="0"/>
        <w:jc w:val="center"/>
        <w:divId w:val="911279972"/>
        <w:rPr>
          <w:sz w:val="20"/>
          <w:szCs w:val="20"/>
        </w:rPr>
      </w:pPr>
      <w:r>
        <w:rPr>
          <w:b/>
          <w:bCs/>
          <w:sz w:val="20"/>
          <w:szCs w:val="20"/>
        </w:rPr>
        <w:t>FOR THE YEARS ENDED JUNE 30, 2019 AND 2018</w:t>
      </w:r>
    </w:p>
    <w:p w14:paraId="1FF5F975"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392"/>
        <w:gridCol w:w="83"/>
        <w:gridCol w:w="748"/>
        <w:gridCol w:w="83"/>
      </w:tblGrid>
      <w:tr w:rsidR="00000000" w14:paraId="606F898F" w14:textId="77777777">
        <w:trPr>
          <w:divId w:val="911279972"/>
          <w:trHeight w:val="180"/>
          <w:tblCellSpacing w:w="0" w:type="dxa"/>
        </w:trPr>
        <w:tc>
          <w:tcPr>
            <w:tcW w:w="0" w:type="auto"/>
            <w:shd w:val="clear" w:color="auto" w:fill="CCEEFF"/>
            <w:hideMark/>
          </w:tcPr>
          <w:p w14:paraId="3A6FCF40" w14:textId="77777777" w:rsidR="00000000" w:rsidRDefault="007E65A2">
            <w:pPr>
              <w:pStyle w:val="a3"/>
              <w:spacing w:before="0" w:beforeAutospacing="0" w:after="0" w:afterAutospacing="0"/>
              <w:jc w:val="both"/>
              <w:rPr>
                <w:sz w:val="20"/>
                <w:szCs w:val="20"/>
              </w:rPr>
            </w:pPr>
            <w:hyperlink w:anchor="REPORT_1" w:history="1">
              <w:r>
                <w:rPr>
                  <w:rStyle w:val="a4"/>
                  <w:sz w:val="20"/>
                  <w:szCs w:val="20"/>
                </w:rPr>
                <w:t>REPORT OF INDEPENDENT REGISTERED PUBLIC ACCOUNTING FIRM</w:t>
              </w:r>
            </w:hyperlink>
          </w:p>
        </w:tc>
        <w:tc>
          <w:tcPr>
            <w:tcW w:w="50" w:type="pct"/>
            <w:shd w:val="clear" w:color="auto" w:fill="CCEEFF"/>
            <w:vAlign w:val="center"/>
            <w:hideMark/>
          </w:tcPr>
          <w:p w14:paraId="6E6EAA9B"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center"/>
            <w:hideMark/>
          </w:tcPr>
          <w:p w14:paraId="2693ECC7" w14:textId="77777777" w:rsidR="00000000" w:rsidRDefault="007E65A2">
            <w:pPr>
              <w:pStyle w:val="a3"/>
              <w:spacing w:before="0" w:beforeAutospacing="0" w:after="0" w:afterAutospacing="0"/>
              <w:jc w:val="right"/>
              <w:rPr>
                <w:sz w:val="20"/>
                <w:szCs w:val="20"/>
              </w:rPr>
            </w:pPr>
            <w:r>
              <w:rPr>
                <w:sz w:val="20"/>
                <w:szCs w:val="20"/>
              </w:rPr>
              <w:t>F-2</w:t>
            </w:r>
          </w:p>
        </w:tc>
        <w:tc>
          <w:tcPr>
            <w:tcW w:w="50" w:type="pct"/>
            <w:shd w:val="clear" w:color="auto" w:fill="CCEEFF"/>
            <w:vAlign w:val="center"/>
            <w:hideMark/>
          </w:tcPr>
          <w:p w14:paraId="13EF5A80" w14:textId="77777777" w:rsidR="00000000" w:rsidRDefault="007E65A2">
            <w:pPr>
              <w:rPr>
                <w:sz w:val="20"/>
                <w:szCs w:val="20"/>
              </w:rPr>
            </w:pPr>
          </w:p>
        </w:tc>
      </w:tr>
      <w:tr w:rsidR="00000000" w14:paraId="53B93774" w14:textId="77777777">
        <w:trPr>
          <w:divId w:val="911279972"/>
          <w:trHeight w:val="180"/>
          <w:tblCellSpacing w:w="0" w:type="dxa"/>
        </w:trPr>
        <w:tc>
          <w:tcPr>
            <w:tcW w:w="0" w:type="auto"/>
            <w:shd w:val="clear" w:color="auto" w:fill="FFFFFF"/>
            <w:hideMark/>
          </w:tcPr>
          <w:p w14:paraId="31FD2178" w14:textId="77777777" w:rsidR="00000000" w:rsidRDefault="007E65A2">
            <w:pPr>
              <w:jc w:val="both"/>
              <w:rPr>
                <w:rFonts w:eastAsia="Times New Roman"/>
                <w:sz w:val="20"/>
                <w:szCs w:val="20"/>
              </w:rPr>
            </w:pPr>
          </w:p>
        </w:tc>
        <w:tc>
          <w:tcPr>
            <w:tcW w:w="0" w:type="auto"/>
            <w:shd w:val="clear" w:color="auto" w:fill="FFFFFF"/>
            <w:vAlign w:val="center"/>
            <w:hideMark/>
          </w:tcPr>
          <w:p w14:paraId="56F9CF5C" w14:textId="77777777" w:rsidR="00000000" w:rsidRDefault="007E65A2">
            <w:pPr>
              <w:jc w:val="both"/>
              <w:rPr>
                <w:rFonts w:eastAsia="Times New Roman"/>
                <w:sz w:val="20"/>
                <w:szCs w:val="20"/>
              </w:rPr>
            </w:pPr>
          </w:p>
        </w:tc>
        <w:tc>
          <w:tcPr>
            <w:tcW w:w="0" w:type="auto"/>
            <w:shd w:val="clear" w:color="auto" w:fill="FFFFFF"/>
            <w:vAlign w:val="center"/>
            <w:hideMark/>
          </w:tcPr>
          <w:p w14:paraId="4894E34C"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14:paraId="12E0C383" w14:textId="77777777" w:rsidR="00000000" w:rsidRDefault="007E65A2">
            <w:pPr>
              <w:rPr>
                <w:sz w:val="20"/>
                <w:szCs w:val="20"/>
              </w:rPr>
            </w:pPr>
          </w:p>
        </w:tc>
      </w:tr>
      <w:tr w:rsidR="00000000" w14:paraId="1D6BF686" w14:textId="77777777">
        <w:trPr>
          <w:divId w:val="911279972"/>
          <w:trHeight w:val="180"/>
          <w:tblCellSpacing w:w="0" w:type="dxa"/>
        </w:trPr>
        <w:tc>
          <w:tcPr>
            <w:tcW w:w="0" w:type="auto"/>
            <w:shd w:val="clear" w:color="auto" w:fill="CCEEFF"/>
            <w:hideMark/>
          </w:tcPr>
          <w:p w14:paraId="03914632" w14:textId="77777777" w:rsidR="00000000" w:rsidRDefault="007E65A2">
            <w:pPr>
              <w:pStyle w:val="a3"/>
              <w:spacing w:before="0" w:beforeAutospacing="0" w:after="0" w:afterAutospacing="0"/>
              <w:jc w:val="both"/>
              <w:rPr>
                <w:sz w:val="20"/>
                <w:szCs w:val="20"/>
              </w:rPr>
            </w:pPr>
            <w:hyperlink w:anchor="CONSOLIDATED_BALANCE_SHEETS" w:history="1">
              <w:r>
                <w:rPr>
                  <w:rStyle w:val="a4"/>
                  <w:sz w:val="20"/>
                  <w:szCs w:val="20"/>
                </w:rPr>
                <w:t>CONSOLIDATED BALANCE SHEETS</w:t>
              </w:r>
            </w:hyperlink>
          </w:p>
        </w:tc>
        <w:tc>
          <w:tcPr>
            <w:tcW w:w="0" w:type="auto"/>
            <w:shd w:val="clear" w:color="auto" w:fill="CCEEFF"/>
            <w:vAlign w:val="center"/>
            <w:hideMark/>
          </w:tcPr>
          <w:p w14:paraId="773E929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368AFEC1" w14:textId="77777777" w:rsidR="00000000" w:rsidRDefault="007E65A2">
            <w:pPr>
              <w:pStyle w:val="a3"/>
              <w:spacing w:before="0" w:beforeAutospacing="0" w:after="0" w:afterAutospacing="0"/>
              <w:jc w:val="right"/>
              <w:rPr>
                <w:sz w:val="20"/>
                <w:szCs w:val="20"/>
              </w:rPr>
            </w:pPr>
            <w:r>
              <w:rPr>
                <w:sz w:val="20"/>
                <w:szCs w:val="20"/>
              </w:rPr>
              <w:t>F-3</w:t>
            </w:r>
          </w:p>
        </w:tc>
        <w:tc>
          <w:tcPr>
            <w:tcW w:w="0" w:type="auto"/>
            <w:shd w:val="clear" w:color="auto" w:fill="CCEEFF"/>
            <w:vAlign w:val="center"/>
            <w:hideMark/>
          </w:tcPr>
          <w:p w14:paraId="0D5BFFAB" w14:textId="77777777" w:rsidR="00000000" w:rsidRDefault="007E65A2">
            <w:pPr>
              <w:rPr>
                <w:sz w:val="20"/>
                <w:szCs w:val="20"/>
              </w:rPr>
            </w:pPr>
          </w:p>
        </w:tc>
      </w:tr>
      <w:tr w:rsidR="00000000" w14:paraId="0FFF59BF" w14:textId="77777777">
        <w:trPr>
          <w:divId w:val="911279972"/>
          <w:trHeight w:val="180"/>
          <w:tblCellSpacing w:w="0" w:type="dxa"/>
        </w:trPr>
        <w:tc>
          <w:tcPr>
            <w:tcW w:w="0" w:type="auto"/>
            <w:shd w:val="clear" w:color="auto" w:fill="FFFFFF"/>
            <w:hideMark/>
          </w:tcPr>
          <w:p w14:paraId="51DD3D62" w14:textId="77777777" w:rsidR="00000000" w:rsidRDefault="007E65A2">
            <w:pPr>
              <w:jc w:val="both"/>
              <w:rPr>
                <w:rFonts w:eastAsia="Times New Roman"/>
                <w:sz w:val="20"/>
                <w:szCs w:val="20"/>
              </w:rPr>
            </w:pPr>
          </w:p>
        </w:tc>
        <w:tc>
          <w:tcPr>
            <w:tcW w:w="0" w:type="auto"/>
            <w:shd w:val="clear" w:color="auto" w:fill="FFFFFF"/>
            <w:vAlign w:val="center"/>
            <w:hideMark/>
          </w:tcPr>
          <w:p w14:paraId="2F88B61D" w14:textId="77777777" w:rsidR="00000000" w:rsidRDefault="007E65A2">
            <w:pPr>
              <w:jc w:val="both"/>
              <w:rPr>
                <w:rFonts w:eastAsia="Times New Roman"/>
                <w:sz w:val="20"/>
                <w:szCs w:val="20"/>
              </w:rPr>
            </w:pPr>
          </w:p>
        </w:tc>
        <w:tc>
          <w:tcPr>
            <w:tcW w:w="0" w:type="auto"/>
            <w:shd w:val="clear" w:color="auto" w:fill="FFFFFF"/>
            <w:vAlign w:val="center"/>
            <w:hideMark/>
          </w:tcPr>
          <w:p w14:paraId="2ABF4463"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14:paraId="06AF593E" w14:textId="77777777" w:rsidR="00000000" w:rsidRDefault="007E65A2">
            <w:pPr>
              <w:rPr>
                <w:sz w:val="20"/>
                <w:szCs w:val="20"/>
              </w:rPr>
            </w:pPr>
          </w:p>
        </w:tc>
      </w:tr>
      <w:tr w:rsidR="00000000" w14:paraId="0BA35196" w14:textId="77777777">
        <w:trPr>
          <w:divId w:val="911279972"/>
          <w:trHeight w:val="180"/>
          <w:tblCellSpacing w:w="0" w:type="dxa"/>
        </w:trPr>
        <w:tc>
          <w:tcPr>
            <w:tcW w:w="0" w:type="auto"/>
            <w:shd w:val="clear" w:color="auto" w:fill="CCEEFF"/>
            <w:hideMark/>
          </w:tcPr>
          <w:p w14:paraId="5222AD08" w14:textId="77777777" w:rsidR="00000000" w:rsidRDefault="007E65A2">
            <w:pPr>
              <w:pStyle w:val="a3"/>
              <w:spacing w:before="0" w:beforeAutospacing="0" w:after="0" w:afterAutospacing="0"/>
              <w:jc w:val="both"/>
              <w:rPr>
                <w:sz w:val="20"/>
                <w:szCs w:val="20"/>
              </w:rPr>
            </w:pPr>
            <w:hyperlink w:anchor="CONSOLIDATED_STATEMENTS_OF_OPERATIONS" w:history="1">
              <w:r>
                <w:rPr>
                  <w:rStyle w:val="a4"/>
                  <w:sz w:val="20"/>
                  <w:szCs w:val="20"/>
                </w:rPr>
                <w:t>CONSOLIDATED STATEMENTS OF OPERATIONS</w:t>
              </w:r>
            </w:hyperlink>
          </w:p>
        </w:tc>
        <w:tc>
          <w:tcPr>
            <w:tcW w:w="0" w:type="auto"/>
            <w:shd w:val="clear" w:color="auto" w:fill="CCEEFF"/>
            <w:vAlign w:val="center"/>
            <w:hideMark/>
          </w:tcPr>
          <w:p w14:paraId="1754F20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30D60CDA" w14:textId="77777777" w:rsidR="00000000" w:rsidRDefault="007E65A2">
            <w:pPr>
              <w:pStyle w:val="a3"/>
              <w:spacing w:before="0" w:beforeAutospacing="0" w:after="0" w:afterAutospacing="0"/>
              <w:jc w:val="right"/>
              <w:rPr>
                <w:sz w:val="20"/>
                <w:szCs w:val="20"/>
              </w:rPr>
            </w:pPr>
            <w:r>
              <w:rPr>
                <w:sz w:val="20"/>
                <w:szCs w:val="20"/>
              </w:rPr>
              <w:t>F-4</w:t>
            </w:r>
          </w:p>
        </w:tc>
        <w:tc>
          <w:tcPr>
            <w:tcW w:w="0" w:type="auto"/>
            <w:shd w:val="clear" w:color="auto" w:fill="CCEEFF"/>
            <w:vAlign w:val="center"/>
            <w:hideMark/>
          </w:tcPr>
          <w:p w14:paraId="1EB7C8E9" w14:textId="77777777" w:rsidR="00000000" w:rsidRDefault="007E65A2">
            <w:pPr>
              <w:rPr>
                <w:sz w:val="20"/>
                <w:szCs w:val="20"/>
              </w:rPr>
            </w:pPr>
          </w:p>
        </w:tc>
      </w:tr>
      <w:tr w:rsidR="00000000" w14:paraId="5832A063" w14:textId="77777777">
        <w:trPr>
          <w:divId w:val="911279972"/>
          <w:trHeight w:val="180"/>
          <w:tblCellSpacing w:w="0" w:type="dxa"/>
        </w:trPr>
        <w:tc>
          <w:tcPr>
            <w:tcW w:w="0" w:type="auto"/>
            <w:shd w:val="clear" w:color="auto" w:fill="FFFFFF"/>
            <w:hideMark/>
          </w:tcPr>
          <w:p w14:paraId="137DB126" w14:textId="77777777" w:rsidR="00000000" w:rsidRDefault="007E65A2">
            <w:pPr>
              <w:jc w:val="both"/>
              <w:rPr>
                <w:rFonts w:eastAsia="Times New Roman"/>
                <w:sz w:val="20"/>
                <w:szCs w:val="20"/>
              </w:rPr>
            </w:pPr>
          </w:p>
        </w:tc>
        <w:tc>
          <w:tcPr>
            <w:tcW w:w="0" w:type="auto"/>
            <w:shd w:val="clear" w:color="auto" w:fill="FFFFFF"/>
            <w:vAlign w:val="center"/>
            <w:hideMark/>
          </w:tcPr>
          <w:p w14:paraId="5801C77C" w14:textId="77777777" w:rsidR="00000000" w:rsidRDefault="007E65A2">
            <w:pPr>
              <w:jc w:val="both"/>
              <w:rPr>
                <w:rFonts w:eastAsia="Times New Roman"/>
                <w:sz w:val="20"/>
                <w:szCs w:val="20"/>
              </w:rPr>
            </w:pPr>
          </w:p>
        </w:tc>
        <w:tc>
          <w:tcPr>
            <w:tcW w:w="0" w:type="auto"/>
            <w:shd w:val="clear" w:color="auto" w:fill="FFFFFF"/>
            <w:vAlign w:val="center"/>
            <w:hideMark/>
          </w:tcPr>
          <w:p w14:paraId="574EC13A"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14:paraId="0357BE77" w14:textId="77777777" w:rsidR="00000000" w:rsidRDefault="007E65A2">
            <w:pPr>
              <w:rPr>
                <w:sz w:val="20"/>
                <w:szCs w:val="20"/>
              </w:rPr>
            </w:pPr>
          </w:p>
        </w:tc>
      </w:tr>
      <w:tr w:rsidR="00000000" w14:paraId="5742AC7D" w14:textId="77777777">
        <w:trPr>
          <w:divId w:val="911279972"/>
          <w:trHeight w:val="180"/>
          <w:tblCellSpacing w:w="0" w:type="dxa"/>
        </w:trPr>
        <w:tc>
          <w:tcPr>
            <w:tcW w:w="0" w:type="auto"/>
            <w:shd w:val="clear" w:color="auto" w:fill="CCEEFF"/>
            <w:hideMark/>
          </w:tcPr>
          <w:p w14:paraId="293FE8E8" w14:textId="77777777" w:rsidR="00000000" w:rsidRDefault="007E65A2">
            <w:pPr>
              <w:pStyle w:val="a3"/>
              <w:spacing w:before="0" w:beforeAutospacing="0" w:after="0" w:afterAutospacing="0"/>
              <w:jc w:val="both"/>
              <w:rPr>
                <w:sz w:val="20"/>
                <w:szCs w:val="20"/>
              </w:rPr>
            </w:pPr>
            <w:hyperlink w:anchor="CONSOLIDATED_STATEMENTS_OF_CHANGES_IN_S" w:history="1">
              <w:r>
                <w:rPr>
                  <w:rStyle w:val="a4"/>
                  <w:sz w:val="20"/>
                  <w:szCs w:val="20"/>
                </w:rPr>
                <w:t>CONSOLIDATED STATEMENTS OF CHANGES IN STOCKHOLDERS’ DEFICIT</w:t>
              </w:r>
            </w:hyperlink>
          </w:p>
        </w:tc>
        <w:tc>
          <w:tcPr>
            <w:tcW w:w="0" w:type="auto"/>
            <w:shd w:val="clear" w:color="auto" w:fill="CCEEFF"/>
            <w:vAlign w:val="center"/>
            <w:hideMark/>
          </w:tcPr>
          <w:p w14:paraId="13D6D83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34305CFD" w14:textId="77777777" w:rsidR="00000000" w:rsidRDefault="007E65A2">
            <w:pPr>
              <w:pStyle w:val="a3"/>
              <w:spacing w:before="0" w:beforeAutospacing="0" w:after="0" w:afterAutospacing="0"/>
              <w:jc w:val="right"/>
              <w:rPr>
                <w:sz w:val="20"/>
                <w:szCs w:val="20"/>
              </w:rPr>
            </w:pPr>
            <w:r>
              <w:rPr>
                <w:sz w:val="20"/>
                <w:szCs w:val="20"/>
              </w:rPr>
              <w:t>F-5</w:t>
            </w:r>
          </w:p>
        </w:tc>
        <w:tc>
          <w:tcPr>
            <w:tcW w:w="0" w:type="auto"/>
            <w:shd w:val="clear" w:color="auto" w:fill="CCEEFF"/>
            <w:vAlign w:val="center"/>
            <w:hideMark/>
          </w:tcPr>
          <w:p w14:paraId="3E6C2E8D" w14:textId="77777777" w:rsidR="00000000" w:rsidRDefault="007E65A2">
            <w:pPr>
              <w:rPr>
                <w:sz w:val="20"/>
                <w:szCs w:val="20"/>
              </w:rPr>
            </w:pPr>
          </w:p>
        </w:tc>
      </w:tr>
      <w:tr w:rsidR="00000000" w14:paraId="48A3AF86" w14:textId="77777777">
        <w:trPr>
          <w:divId w:val="911279972"/>
          <w:trHeight w:val="180"/>
          <w:tblCellSpacing w:w="0" w:type="dxa"/>
        </w:trPr>
        <w:tc>
          <w:tcPr>
            <w:tcW w:w="0" w:type="auto"/>
            <w:shd w:val="clear" w:color="auto" w:fill="FFFFFF"/>
            <w:hideMark/>
          </w:tcPr>
          <w:p w14:paraId="33E02C60" w14:textId="77777777" w:rsidR="00000000" w:rsidRDefault="007E65A2">
            <w:pPr>
              <w:jc w:val="both"/>
              <w:rPr>
                <w:rFonts w:eastAsia="Times New Roman"/>
                <w:sz w:val="20"/>
                <w:szCs w:val="20"/>
              </w:rPr>
            </w:pPr>
          </w:p>
        </w:tc>
        <w:tc>
          <w:tcPr>
            <w:tcW w:w="0" w:type="auto"/>
            <w:shd w:val="clear" w:color="auto" w:fill="FFFFFF"/>
            <w:vAlign w:val="center"/>
            <w:hideMark/>
          </w:tcPr>
          <w:p w14:paraId="3A13271B" w14:textId="77777777" w:rsidR="00000000" w:rsidRDefault="007E65A2">
            <w:pPr>
              <w:jc w:val="both"/>
              <w:rPr>
                <w:rFonts w:eastAsia="Times New Roman"/>
                <w:sz w:val="20"/>
                <w:szCs w:val="20"/>
              </w:rPr>
            </w:pPr>
          </w:p>
        </w:tc>
        <w:tc>
          <w:tcPr>
            <w:tcW w:w="0" w:type="auto"/>
            <w:shd w:val="clear" w:color="auto" w:fill="FFFFFF"/>
            <w:vAlign w:val="center"/>
            <w:hideMark/>
          </w:tcPr>
          <w:p w14:paraId="0BD0148C"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14:paraId="48B0FB40" w14:textId="77777777" w:rsidR="00000000" w:rsidRDefault="007E65A2">
            <w:pPr>
              <w:rPr>
                <w:sz w:val="20"/>
                <w:szCs w:val="20"/>
              </w:rPr>
            </w:pPr>
          </w:p>
        </w:tc>
      </w:tr>
      <w:tr w:rsidR="00000000" w14:paraId="2F53E507" w14:textId="77777777">
        <w:trPr>
          <w:divId w:val="911279972"/>
          <w:trHeight w:val="180"/>
          <w:tblCellSpacing w:w="0" w:type="dxa"/>
        </w:trPr>
        <w:tc>
          <w:tcPr>
            <w:tcW w:w="0" w:type="auto"/>
            <w:shd w:val="clear" w:color="auto" w:fill="CCEEFF"/>
            <w:hideMark/>
          </w:tcPr>
          <w:p w14:paraId="4A918963" w14:textId="77777777" w:rsidR="00000000" w:rsidRDefault="007E65A2">
            <w:pPr>
              <w:pStyle w:val="a3"/>
              <w:spacing w:before="0" w:beforeAutospacing="0" w:after="0" w:afterAutospacing="0"/>
              <w:jc w:val="both"/>
              <w:rPr>
                <w:sz w:val="20"/>
                <w:szCs w:val="20"/>
              </w:rPr>
            </w:pPr>
            <w:hyperlink w:anchor="CONSOLIDATED_STATEMENTS_OF_CASH_FLOWS" w:history="1">
              <w:r>
                <w:rPr>
                  <w:rStyle w:val="a4"/>
                  <w:sz w:val="20"/>
                  <w:szCs w:val="20"/>
                </w:rPr>
                <w:t>CONSOLIDATED STATEMENTS OF CASH FLOWS</w:t>
              </w:r>
            </w:hyperlink>
          </w:p>
        </w:tc>
        <w:tc>
          <w:tcPr>
            <w:tcW w:w="0" w:type="auto"/>
            <w:shd w:val="clear" w:color="auto" w:fill="CCEEFF"/>
            <w:vAlign w:val="center"/>
            <w:hideMark/>
          </w:tcPr>
          <w:p w14:paraId="4C506F6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44CEDDD2" w14:textId="77777777" w:rsidR="00000000" w:rsidRDefault="007E65A2">
            <w:pPr>
              <w:pStyle w:val="a3"/>
              <w:spacing w:before="0" w:beforeAutospacing="0" w:after="0" w:afterAutospacing="0"/>
              <w:jc w:val="right"/>
              <w:rPr>
                <w:sz w:val="20"/>
                <w:szCs w:val="20"/>
              </w:rPr>
            </w:pPr>
            <w:r>
              <w:rPr>
                <w:sz w:val="20"/>
                <w:szCs w:val="20"/>
              </w:rPr>
              <w:t>F-6</w:t>
            </w:r>
          </w:p>
        </w:tc>
        <w:tc>
          <w:tcPr>
            <w:tcW w:w="0" w:type="auto"/>
            <w:shd w:val="clear" w:color="auto" w:fill="CCEEFF"/>
            <w:vAlign w:val="center"/>
            <w:hideMark/>
          </w:tcPr>
          <w:p w14:paraId="4F20907D" w14:textId="77777777" w:rsidR="00000000" w:rsidRDefault="007E65A2">
            <w:pPr>
              <w:rPr>
                <w:sz w:val="20"/>
                <w:szCs w:val="20"/>
              </w:rPr>
            </w:pPr>
          </w:p>
        </w:tc>
      </w:tr>
      <w:tr w:rsidR="00000000" w14:paraId="02B24869" w14:textId="77777777">
        <w:trPr>
          <w:divId w:val="911279972"/>
          <w:trHeight w:val="180"/>
          <w:tblCellSpacing w:w="0" w:type="dxa"/>
        </w:trPr>
        <w:tc>
          <w:tcPr>
            <w:tcW w:w="0" w:type="auto"/>
            <w:shd w:val="clear" w:color="auto" w:fill="FFFFFF"/>
            <w:hideMark/>
          </w:tcPr>
          <w:p w14:paraId="4085FA4F" w14:textId="77777777" w:rsidR="00000000" w:rsidRDefault="007E65A2">
            <w:pPr>
              <w:jc w:val="both"/>
              <w:rPr>
                <w:rFonts w:eastAsia="Times New Roman"/>
                <w:sz w:val="20"/>
                <w:szCs w:val="20"/>
              </w:rPr>
            </w:pPr>
          </w:p>
        </w:tc>
        <w:tc>
          <w:tcPr>
            <w:tcW w:w="0" w:type="auto"/>
            <w:shd w:val="clear" w:color="auto" w:fill="FFFFFF"/>
            <w:vAlign w:val="center"/>
            <w:hideMark/>
          </w:tcPr>
          <w:p w14:paraId="6EE08E73" w14:textId="77777777" w:rsidR="00000000" w:rsidRDefault="007E65A2">
            <w:pPr>
              <w:jc w:val="both"/>
              <w:rPr>
                <w:rFonts w:eastAsia="Times New Roman"/>
                <w:sz w:val="20"/>
                <w:szCs w:val="20"/>
              </w:rPr>
            </w:pPr>
          </w:p>
        </w:tc>
        <w:tc>
          <w:tcPr>
            <w:tcW w:w="0" w:type="auto"/>
            <w:shd w:val="clear" w:color="auto" w:fill="FFFFFF"/>
            <w:vAlign w:val="center"/>
            <w:hideMark/>
          </w:tcPr>
          <w:p w14:paraId="37C5C53E"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center"/>
            <w:hideMark/>
          </w:tcPr>
          <w:p w14:paraId="392CB1EB" w14:textId="77777777" w:rsidR="00000000" w:rsidRDefault="007E65A2">
            <w:pPr>
              <w:rPr>
                <w:sz w:val="20"/>
                <w:szCs w:val="20"/>
              </w:rPr>
            </w:pPr>
          </w:p>
        </w:tc>
      </w:tr>
      <w:tr w:rsidR="00000000" w14:paraId="7CCB5266" w14:textId="77777777">
        <w:trPr>
          <w:divId w:val="911279972"/>
          <w:trHeight w:val="180"/>
          <w:tblCellSpacing w:w="0" w:type="dxa"/>
        </w:trPr>
        <w:tc>
          <w:tcPr>
            <w:tcW w:w="0" w:type="auto"/>
            <w:shd w:val="clear" w:color="auto" w:fill="CCEEFF"/>
            <w:hideMark/>
          </w:tcPr>
          <w:p w14:paraId="0C9094ED" w14:textId="77777777" w:rsidR="00000000" w:rsidRDefault="007E65A2">
            <w:pPr>
              <w:pStyle w:val="a3"/>
              <w:spacing w:before="0" w:beforeAutospacing="0" w:after="0" w:afterAutospacing="0"/>
              <w:jc w:val="both"/>
              <w:rPr>
                <w:sz w:val="20"/>
                <w:szCs w:val="20"/>
              </w:rPr>
            </w:pPr>
            <w:hyperlink w:anchor="NOTES_TO_CONSOLIDATED_FINANCIAL_STATEME" w:history="1">
              <w:r>
                <w:rPr>
                  <w:rStyle w:val="a4"/>
                  <w:sz w:val="20"/>
                  <w:szCs w:val="20"/>
                </w:rPr>
                <w:t>NOTES TO AUDITED CONSOLIDATED FINANCIAL STATEMENTS</w:t>
              </w:r>
            </w:hyperlink>
          </w:p>
        </w:tc>
        <w:tc>
          <w:tcPr>
            <w:tcW w:w="0" w:type="auto"/>
            <w:shd w:val="clear" w:color="auto" w:fill="CCEEFF"/>
            <w:vAlign w:val="center"/>
            <w:hideMark/>
          </w:tcPr>
          <w:p w14:paraId="21AE051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2C062EA5" w14:textId="77777777" w:rsidR="00000000" w:rsidRDefault="007E65A2">
            <w:pPr>
              <w:pStyle w:val="a3"/>
              <w:spacing w:before="0" w:beforeAutospacing="0" w:after="0" w:afterAutospacing="0"/>
              <w:jc w:val="right"/>
              <w:rPr>
                <w:sz w:val="20"/>
                <w:szCs w:val="20"/>
              </w:rPr>
            </w:pPr>
            <w:r>
              <w:rPr>
                <w:sz w:val="20"/>
                <w:szCs w:val="20"/>
              </w:rPr>
              <w:t>F-7</w:t>
            </w:r>
          </w:p>
        </w:tc>
        <w:tc>
          <w:tcPr>
            <w:tcW w:w="0" w:type="auto"/>
            <w:shd w:val="clear" w:color="auto" w:fill="CCEEFF"/>
            <w:vAlign w:val="center"/>
            <w:hideMark/>
          </w:tcPr>
          <w:p w14:paraId="04383EBC" w14:textId="77777777" w:rsidR="00000000" w:rsidRDefault="007E65A2">
            <w:pPr>
              <w:rPr>
                <w:sz w:val="20"/>
                <w:szCs w:val="20"/>
              </w:rPr>
            </w:pPr>
          </w:p>
        </w:tc>
      </w:tr>
    </w:tbl>
    <w:p w14:paraId="1F252009"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34D5BFD" w14:textId="77777777">
        <w:trPr>
          <w:divId w:val="911279972"/>
          <w:tblCellSpacing w:w="0" w:type="dxa"/>
        </w:trPr>
        <w:tc>
          <w:tcPr>
            <w:tcW w:w="0" w:type="auto"/>
            <w:vAlign w:val="center"/>
            <w:hideMark/>
          </w:tcPr>
          <w:p w14:paraId="6E4AB6A2" w14:textId="77777777" w:rsidR="00000000" w:rsidRDefault="007E65A2">
            <w:pPr>
              <w:rPr>
                <w:rFonts w:eastAsia="Times New Roman"/>
                <w:sz w:val="20"/>
                <w:szCs w:val="20"/>
              </w:rPr>
            </w:pPr>
            <w:r>
              <w:rPr>
                <w:rFonts w:eastAsia="Times New Roman"/>
                <w:sz w:val="20"/>
                <w:szCs w:val="20"/>
              </w:rPr>
              <w:t> </w:t>
            </w:r>
          </w:p>
        </w:tc>
      </w:tr>
      <w:tr w:rsidR="00000000" w14:paraId="5D63EDD6" w14:textId="77777777">
        <w:trPr>
          <w:divId w:val="911279972"/>
          <w:tblCellSpacing w:w="0" w:type="dxa"/>
        </w:trPr>
        <w:tc>
          <w:tcPr>
            <w:tcW w:w="0" w:type="auto"/>
            <w:tcBorders>
              <w:bottom w:val="single" w:sz="6" w:space="0" w:color="000000"/>
            </w:tcBorders>
            <w:vAlign w:val="center"/>
            <w:hideMark/>
          </w:tcPr>
          <w:p w14:paraId="09CECB8F" w14:textId="77777777" w:rsidR="00000000" w:rsidRDefault="007E65A2">
            <w:pPr>
              <w:jc w:val="center"/>
              <w:rPr>
                <w:rFonts w:eastAsia="Times New Roman"/>
                <w:sz w:val="20"/>
                <w:szCs w:val="20"/>
              </w:rPr>
            </w:pPr>
            <w:r>
              <w:rPr>
                <w:rFonts w:eastAsia="Times New Roman"/>
                <w:sz w:val="20"/>
                <w:szCs w:val="20"/>
              </w:rPr>
              <w:t>F-1</w:t>
            </w:r>
          </w:p>
        </w:tc>
      </w:tr>
      <w:tr w:rsidR="00000000" w14:paraId="137F45E3" w14:textId="77777777">
        <w:trPr>
          <w:divId w:val="911279972"/>
          <w:tblCellSpacing w:w="0" w:type="dxa"/>
        </w:trPr>
        <w:tc>
          <w:tcPr>
            <w:tcW w:w="0" w:type="auto"/>
            <w:vAlign w:val="center"/>
            <w:hideMark/>
          </w:tcPr>
          <w:p w14:paraId="5DA8101E" w14:textId="77777777" w:rsidR="00000000" w:rsidRDefault="007E65A2">
            <w:pPr>
              <w:rPr>
                <w:rFonts w:eastAsia="Times New Roman"/>
                <w:sz w:val="20"/>
                <w:szCs w:val="20"/>
              </w:rPr>
            </w:pPr>
            <w:r>
              <w:rPr>
                <w:rFonts w:eastAsia="Times New Roman"/>
                <w:sz w:val="20"/>
                <w:szCs w:val="20"/>
              </w:rPr>
              <w:t> </w:t>
            </w:r>
          </w:p>
        </w:tc>
      </w:tr>
      <w:tr w:rsidR="00000000" w14:paraId="2CC0F9BD" w14:textId="77777777">
        <w:trPr>
          <w:divId w:val="911279972"/>
          <w:tblCellSpacing w:w="0" w:type="dxa"/>
        </w:trPr>
        <w:tc>
          <w:tcPr>
            <w:tcW w:w="0" w:type="auto"/>
            <w:vAlign w:val="center"/>
            <w:hideMark/>
          </w:tcPr>
          <w:p w14:paraId="14A8DA07" w14:textId="77777777" w:rsidR="00000000" w:rsidRDefault="007E65A2">
            <w:pPr>
              <w:rPr>
                <w:rFonts w:eastAsia="Times New Roman"/>
                <w:sz w:val="20"/>
                <w:szCs w:val="20"/>
              </w:rPr>
            </w:pPr>
            <w:r>
              <w:rPr>
                <w:rFonts w:eastAsia="Times New Roman"/>
                <w:sz w:val="20"/>
                <w:szCs w:val="20"/>
              </w:rPr>
              <w:t> </w:t>
            </w:r>
          </w:p>
        </w:tc>
      </w:tr>
    </w:tbl>
    <w:p w14:paraId="02398E2C" w14:textId="77777777" w:rsidR="00000000" w:rsidRDefault="007E65A2">
      <w:pPr>
        <w:pStyle w:val="a3"/>
        <w:spacing w:before="0" w:beforeAutospacing="0" w:after="0" w:afterAutospacing="0"/>
        <w:jc w:val="both"/>
        <w:divId w:val="911279972"/>
        <w:rPr>
          <w:sz w:val="20"/>
          <w:szCs w:val="20"/>
        </w:rPr>
      </w:pPr>
      <w:r>
        <w:rPr>
          <w:sz w:val="20"/>
          <w:szCs w:val="20"/>
        </w:rPr>
        <w:t> </w:t>
      </w:r>
    </w:p>
    <w:p w14:paraId="750FDE89" w14:textId="77777777" w:rsidR="00000000" w:rsidRDefault="007E65A2">
      <w:pPr>
        <w:pStyle w:val="a3"/>
        <w:spacing w:before="0" w:beforeAutospacing="0" w:after="0" w:afterAutospacing="0"/>
        <w:jc w:val="center"/>
        <w:divId w:val="911279972"/>
        <w:rPr>
          <w:sz w:val="20"/>
          <w:szCs w:val="20"/>
        </w:rPr>
      </w:pPr>
      <w:bookmarkStart w:id="15" w:name="REPORT_1"/>
      <w:r>
        <w:rPr>
          <w:b/>
          <w:bCs/>
          <w:sz w:val="20"/>
          <w:szCs w:val="20"/>
        </w:rPr>
        <w:t>REPORT OF INDEPENDENT REGISTERED PUBLIC ACCOUNTING FIRM</w:t>
      </w:r>
      <w:bookmarkEnd w:id="15"/>
    </w:p>
    <w:p w14:paraId="7CD92295" w14:textId="77777777" w:rsidR="00000000" w:rsidRDefault="007E65A2">
      <w:pPr>
        <w:pStyle w:val="a3"/>
        <w:spacing w:before="0" w:beforeAutospacing="0" w:after="0" w:afterAutospacing="0"/>
        <w:jc w:val="both"/>
        <w:divId w:val="911279972"/>
        <w:rPr>
          <w:sz w:val="20"/>
          <w:szCs w:val="20"/>
        </w:rPr>
      </w:pPr>
      <w:r>
        <w:rPr>
          <w:sz w:val="20"/>
          <w:szCs w:val="20"/>
        </w:rPr>
        <w:t> </w:t>
      </w:r>
    </w:p>
    <w:p w14:paraId="3110A5CA" w14:textId="77777777" w:rsidR="00000000" w:rsidRDefault="007E65A2">
      <w:pPr>
        <w:pStyle w:val="a3"/>
        <w:spacing w:before="0" w:beforeAutospacing="0" w:after="0" w:afterAutospacing="0"/>
        <w:jc w:val="both"/>
        <w:divId w:val="911279972"/>
        <w:rPr>
          <w:sz w:val="20"/>
          <w:szCs w:val="20"/>
        </w:rPr>
      </w:pPr>
      <w:r>
        <w:rPr>
          <w:sz w:val="20"/>
          <w:szCs w:val="20"/>
        </w:rPr>
        <w:t>To the Shareholders and Board of Directors of</w:t>
      </w:r>
    </w:p>
    <w:p w14:paraId="66B5135E" w14:textId="77777777" w:rsidR="00000000" w:rsidRDefault="007E65A2">
      <w:pPr>
        <w:pStyle w:val="a3"/>
        <w:spacing w:before="0" w:beforeAutospacing="0" w:after="0" w:afterAutospacing="0"/>
        <w:jc w:val="both"/>
        <w:divId w:val="911279972"/>
        <w:rPr>
          <w:sz w:val="20"/>
          <w:szCs w:val="20"/>
        </w:rPr>
      </w:pPr>
      <w:r>
        <w:rPr>
          <w:sz w:val="20"/>
          <w:szCs w:val="20"/>
        </w:rPr>
        <w:t>AppYea, Inc.</w:t>
      </w:r>
    </w:p>
    <w:p w14:paraId="4BB4E6F2" w14:textId="77777777" w:rsidR="00000000" w:rsidRDefault="007E65A2">
      <w:pPr>
        <w:pStyle w:val="a3"/>
        <w:spacing w:before="0" w:beforeAutospacing="0" w:after="0" w:afterAutospacing="0"/>
        <w:jc w:val="both"/>
        <w:divId w:val="911279972"/>
        <w:rPr>
          <w:sz w:val="20"/>
          <w:szCs w:val="20"/>
        </w:rPr>
      </w:pPr>
      <w:r>
        <w:rPr>
          <w:sz w:val="20"/>
          <w:szCs w:val="20"/>
        </w:rPr>
        <w:t> </w:t>
      </w:r>
    </w:p>
    <w:p w14:paraId="760CBE08" w14:textId="77777777" w:rsidR="00000000" w:rsidRDefault="007E65A2">
      <w:pPr>
        <w:pStyle w:val="a3"/>
        <w:spacing w:before="0" w:beforeAutospacing="0" w:after="0" w:afterAutospacing="0"/>
        <w:jc w:val="both"/>
        <w:divId w:val="911279972"/>
        <w:rPr>
          <w:sz w:val="20"/>
          <w:szCs w:val="20"/>
        </w:rPr>
      </w:pPr>
      <w:r>
        <w:rPr>
          <w:b/>
          <w:bCs/>
          <w:i/>
          <w:iCs/>
          <w:sz w:val="20"/>
          <w:szCs w:val="20"/>
        </w:rPr>
        <w:t>Opinion on the Financial Statements</w:t>
      </w:r>
    </w:p>
    <w:p w14:paraId="61E33D3A" w14:textId="77777777" w:rsidR="00000000" w:rsidRDefault="007E65A2">
      <w:pPr>
        <w:pStyle w:val="a3"/>
        <w:spacing w:before="0" w:beforeAutospacing="0" w:after="0" w:afterAutospacing="0"/>
        <w:jc w:val="both"/>
        <w:divId w:val="911279972"/>
        <w:rPr>
          <w:sz w:val="20"/>
          <w:szCs w:val="20"/>
        </w:rPr>
      </w:pPr>
      <w:r>
        <w:rPr>
          <w:sz w:val="20"/>
          <w:szCs w:val="20"/>
        </w:rPr>
        <w:t> </w:t>
      </w:r>
    </w:p>
    <w:p w14:paraId="65B0D1E1" w14:textId="77777777" w:rsidR="00000000" w:rsidRDefault="007E65A2">
      <w:pPr>
        <w:pStyle w:val="a3"/>
        <w:spacing w:before="0" w:beforeAutospacing="0" w:after="0" w:afterAutospacing="0"/>
        <w:jc w:val="both"/>
        <w:divId w:val="911279972"/>
        <w:rPr>
          <w:sz w:val="20"/>
          <w:szCs w:val="20"/>
        </w:rPr>
      </w:pPr>
      <w:r>
        <w:rPr>
          <w:sz w:val="20"/>
          <w:szCs w:val="20"/>
        </w:rPr>
        <w:t>We have audited the accompanying consolidated balance sheets of AppYea, Inc. and its subsidiaries (collectively, the “Company”) as of June 30, 2019 and 2018 and the related consolidated statements of operations, stockholders’ deficit, and cash flows for th</w:t>
      </w:r>
      <w:r>
        <w:rPr>
          <w:sz w:val="20"/>
          <w:szCs w:val="20"/>
        </w:rPr>
        <w:t>e years then ended, and the related notes (collectively referred to as the “financial statements”). In our opinion, the financial statements present fairly, in all material respects, the financial position of the Company as of June 30, 2019 and 2018, and t</w:t>
      </w:r>
      <w:r>
        <w:rPr>
          <w:sz w:val="20"/>
          <w:szCs w:val="20"/>
        </w:rPr>
        <w:t>he results of their operations and their cash flows for the years then ended, in conformity with accounting principles generally accepted in the United States of America.</w:t>
      </w:r>
    </w:p>
    <w:p w14:paraId="4B708F96" w14:textId="77777777" w:rsidR="00000000" w:rsidRDefault="007E65A2">
      <w:pPr>
        <w:pStyle w:val="a3"/>
        <w:spacing w:before="0" w:beforeAutospacing="0" w:after="0" w:afterAutospacing="0"/>
        <w:jc w:val="both"/>
        <w:divId w:val="911279972"/>
        <w:rPr>
          <w:sz w:val="20"/>
          <w:szCs w:val="20"/>
        </w:rPr>
      </w:pPr>
      <w:r>
        <w:rPr>
          <w:sz w:val="20"/>
          <w:szCs w:val="20"/>
        </w:rPr>
        <w:t> </w:t>
      </w:r>
    </w:p>
    <w:p w14:paraId="38414815" w14:textId="77777777" w:rsidR="00000000" w:rsidRDefault="007E65A2">
      <w:pPr>
        <w:pStyle w:val="a3"/>
        <w:spacing w:before="0" w:beforeAutospacing="0" w:after="0" w:afterAutospacing="0"/>
        <w:jc w:val="both"/>
        <w:divId w:val="911279972"/>
        <w:rPr>
          <w:sz w:val="20"/>
          <w:szCs w:val="20"/>
        </w:rPr>
      </w:pPr>
      <w:r>
        <w:rPr>
          <w:b/>
          <w:bCs/>
          <w:i/>
          <w:iCs/>
          <w:sz w:val="20"/>
          <w:szCs w:val="20"/>
        </w:rPr>
        <w:t>Going Concern Matter</w:t>
      </w:r>
    </w:p>
    <w:p w14:paraId="3B771842" w14:textId="77777777" w:rsidR="00000000" w:rsidRDefault="007E65A2">
      <w:pPr>
        <w:pStyle w:val="a3"/>
        <w:spacing w:before="0" w:beforeAutospacing="0" w:after="0" w:afterAutospacing="0"/>
        <w:jc w:val="both"/>
        <w:divId w:val="911279972"/>
        <w:rPr>
          <w:sz w:val="20"/>
          <w:szCs w:val="20"/>
        </w:rPr>
      </w:pPr>
      <w:r>
        <w:rPr>
          <w:sz w:val="20"/>
          <w:szCs w:val="20"/>
        </w:rPr>
        <w:t> </w:t>
      </w:r>
    </w:p>
    <w:p w14:paraId="62EA7284" w14:textId="77777777" w:rsidR="00000000" w:rsidRDefault="007E65A2">
      <w:pPr>
        <w:pStyle w:val="a3"/>
        <w:spacing w:before="0" w:beforeAutospacing="0" w:after="0" w:afterAutospacing="0"/>
        <w:jc w:val="both"/>
        <w:divId w:val="911279972"/>
        <w:rPr>
          <w:sz w:val="20"/>
          <w:szCs w:val="20"/>
        </w:rPr>
      </w:pPr>
      <w:r>
        <w:rPr>
          <w:sz w:val="20"/>
          <w:szCs w:val="20"/>
        </w:rPr>
        <w:t>The accompanying financial statements have been prepared ass</w:t>
      </w:r>
      <w:r>
        <w:rPr>
          <w:sz w:val="20"/>
          <w:szCs w:val="20"/>
        </w:rPr>
        <w:t>uming that the Company will continue as a going concern. As discussed in Note 3 to the financial statements, the Company has suffered recurring losses from operations and has a net capital deficiency that raises substantial doubt about its ability to conti</w:t>
      </w:r>
      <w:r>
        <w:rPr>
          <w:sz w:val="20"/>
          <w:szCs w:val="20"/>
        </w:rPr>
        <w:t>nue as a going concern. Management's plans in regard to these matters are also described in Note 3. The financial statements do not include any adjustments that might result from the outcome of this uncertainty.</w:t>
      </w:r>
    </w:p>
    <w:p w14:paraId="57382A49" w14:textId="77777777" w:rsidR="00000000" w:rsidRDefault="007E65A2">
      <w:pPr>
        <w:pStyle w:val="a3"/>
        <w:spacing w:before="0" w:beforeAutospacing="0" w:after="0" w:afterAutospacing="0"/>
        <w:jc w:val="both"/>
        <w:divId w:val="911279972"/>
        <w:rPr>
          <w:sz w:val="20"/>
          <w:szCs w:val="20"/>
        </w:rPr>
      </w:pPr>
      <w:r>
        <w:rPr>
          <w:sz w:val="20"/>
          <w:szCs w:val="20"/>
        </w:rPr>
        <w:t> </w:t>
      </w:r>
    </w:p>
    <w:p w14:paraId="20BB27C9" w14:textId="77777777" w:rsidR="00000000" w:rsidRDefault="007E65A2">
      <w:pPr>
        <w:pStyle w:val="a3"/>
        <w:spacing w:before="0" w:beforeAutospacing="0" w:after="0" w:afterAutospacing="0"/>
        <w:jc w:val="both"/>
        <w:divId w:val="911279972"/>
        <w:rPr>
          <w:sz w:val="20"/>
          <w:szCs w:val="20"/>
        </w:rPr>
      </w:pPr>
      <w:r>
        <w:rPr>
          <w:b/>
          <w:bCs/>
          <w:i/>
          <w:iCs/>
          <w:sz w:val="20"/>
          <w:szCs w:val="20"/>
        </w:rPr>
        <w:t>Basis for Opinion</w:t>
      </w:r>
    </w:p>
    <w:p w14:paraId="46F207C3" w14:textId="77777777" w:rsidR="00000000" w:rsidRDefault="007E65A2">
      <w:pPr>
        <w:pStyle w:val="a3"/>
        <w:spacing w:before="0" w:beforeAutospacing="0" w:after="0" w:afterAutospacing="0"/>
        <w:jc w:val="both"/>
        <w:divId w:val="911279972"/>
        <w:rPr>
          <w:sz w:val="20"/>
          <w:szCs w:val="20"/>
        </w:rPr>
      </w:pPr>
      <w:r>
        <w:rPr>
          <w:sz w:val="20"/>
          <w:szCs w:val="20"/>
        </w:rPr>
        <w:t> </w:t>
      </w:r>
    </w:p>
    <w:p w14:paraId="4E209117" w14:textId="77777777" w:rsidR="00000000" w:rsidRDefault="007E65A2">
      <w:pPr>
        <w:pStyle w:val="a3"/>
        <w:spacing w:before="0" w:beforeAutospacing="0" w:after="0" w:afterAutospacing="0"/>
        <w:jc w:val="both"/>
        <w:divId w:val="911279972"/>
        <w:rPr>
          <w:sz w:val="20"/>
          <w:szCs w:val="20"/>
        </w:rPr>
      </w:pPr>
      <w:r>
        <w:rPr>
          <w:sz w:val="20"/>
          <w:szCs w:val="20"/>
        </w:rPr>
        <w:t>These financial statem</w:t>
      </w:r>
      <w:r>
        <w:rPr>
          <w:sz w:val="20"/>
          <w:szCs w:val="20"/>
        </w:rPr>
        <w:t>ents are the responsibility of the Company’s management. Our responsibility is to express an opinion on the Company’s financial statements based on our audits. We are a public accounting firm registered with the Public Company Accounting Oversight Board (U</w:t>
      </w:r>
      <w:r>
        <w:rPr>
          <w:sz w:val="20"/>
          <w:szCs w:val="20"/>
        </w:rPr>
        <w:t xml:space="preserve">nited States) ("PCAOB") and are required to be independent with respect to the Company in accordance with the U.S. federal securities laws and the applicable rules and regulations of the Securities and Exchange Commission and the PCAOB. </w:t>
      </w:r>
    </w:p>
    <w:p w14:paraId="526B039C" w14:textId="77777777" w:rsidR="00000000" w:rsidRDefault="007E65A2">
      <w:pPr>
        <w:pStyle w:val="a3"/>
        <w:spacing w:before="0" w:beforeAutospacing="0" w:after="0" w:afterAutospacing="0"/>
        <w:jc w:val="both"/>
        <w:divId w:val="911279972"/>
        <w:rPr>
          <w:sz w:val="20"/>
          <w:szCs w:val="20"/>
        </w:rPr>
      </w:pPr>
      <w:r>
        <w:rPr>
          <w:sz w:val="20"/>
          <w:szCs w:val="20"/>
        </w:rPr>
        <w:t> </w:t>
      </w:r>
    </w:p>
    <w:p w14:paraId="6E7652DB" w14:textId="77777777" w:rsidR="00000000" w:rsidRDefault="007E65A2">
      <w:pPr>
        <w:pStyle w:val="a3"/>
        <w:spacing w:before="0" w:beforeAutospacing="0" w:after="0" w:afterAutospacing="0"/>
        <w:jc w:val="both"/>
        <w:divId w:val="911279972"/>
        <w:rPr>
          <w:sz w:val="20"/>
          <w:szCs w:val="20"/>
        </w:rPr>
      </w:pPr>
      <w:r>
        <w:rPr>
          <w:sz w:val="20"/>
          <w:szCs w:val="20"/>
        </w:rPr>
        <w:t>We conducted our</w:t>
      </w:r>
      <w:r>
        <w:rPr>
          <w:sz w:val="20"/>
          <w:szCs w:val="20"/>
        </w:rPr>
        <w:t xml:space="preserve"> audits in accordance with the standards of the PCAOB. Those standards require that we plan and perform the audit to obtain reasonable assurance about whether the financial statements are free of material misstatement, whether due to error or fraud. The Co</w:t>
      </w:r>
      <w:r>
        <w:rPr>
          <w:sz w:val="20"/>
          <w:szCs w:val="20"/>
        </w:rPr>
        <w:t xml:space="preserve">mpany is not required to have, nor were we engaged to perform, an audit of its internal control over financial reporting. As part of our audits we are required to obtain an understanding of internal control over financial reporting but not for the purpose </w:t>
      </w:r>
      <w:r>
        <w:rPr>
          <w:sz w:val="20"/>
          <w:szCs w:val="20"/>
        </w:rPr>
        <w:t>of expressing an opinion on the effectiveness of the Company's internal control over financial reporting. Accordingly, we express no such opinion.</w:t>
      </w:r>
    </w:p>
    <w:p w14:paraId="4C559DEF" w14:textId="77777777" w:rsidR="00000000" w:rsidRDefault="007E65A2">
      <w:pPr>
        <w:pStyle w:val="a3"/>
        <w:spacing w:before="0" w:beforeAutospacing="0" w:after="0" w:afterAutospacing="0"/>
        <w:jc w:val="both"/>
        <w:divId w:val="911279972"/>
        <w:rPr>
          <w:sz w:val="20"/>
          <w:szCs w:val="20"/>
        </w:rPr>
      </w:pPr>
      <w:r>
        <w:rPr>
          <w:sz w:val="20"/>
          <w:szCs w:val="20"/>
        </w:rPr>
        <w:t> </w:t>
      </w:r>
    </w:p>
    <w:p w14:paraId="0B98B5C4" w14:textId="77777777" w:rsidR="00000000" w:rsidRDefault="007E65A2">
      <w:pPr>
        <w:pStyle w:val="a3"/>
        <w:spacing w:before="0" w:beforeAutospacing="0" w:after="0" w:afterAutospacing="0"/>
        <w:jc w:val="both"/>
        <w:divId w:val="911279972"/>
        <w:rPr>
          <w:sz w:val="20"/>
          <w:szCs w:val="20"/>
        </w:rPr>
      </w:pPr>
      <w:r>
        <w:rPr>
          <w:sz w:val="20"/>
          <w:szCs w:val="20"/>
        </w:rPr>
        <w:t>Our audits included performing procedures to assess the risks of material misstatement of the financial sta</w:t>
      </w:r>
      <w:r>
        <w:rPr>
          <w:sz w:val="20"/>
          <w:szCs w:val="20"/>
        </w:rPr>
        <w:t>tements, whether due to error or fraud, and performing procedures that respond to those risks. Such procedures included examining, on a test basis, evidence regarding the amounts and disclosures in the financial statements. Our audits also included evaluat</w:t>
      </w:r>
      <w:r>
        <w:rPr>
          <w:sz w:val="20"/>
          <w:szCs w:val="20"/>
        </w:rPr>
        <w:t>ing the accounting principles used and significant estimates made by management, as well as evaluating the overall presentation of the financial statements. We believe that our audits provide a reasonable basis for our opinion.</w:t>
      </w:r>
    </w:p>
    <w:p w14:paraId="7C81CECE" w14:textId="77777777" w:rsidR="00000000" w:rsidRDefault="007E65A2">
      <w:pPr>
        <w:pStyle w:val="a3"/>
        <w:spacing w:before="0" w:beforeAutospacing="0" w:after="0" w:afterAutospacing="0"/>
        <w:jc w:val="both"/>
        <w:divId w:val="911279972"/>
        <w:rPr>
          <w:sz w:val="20"/>
          <w:szCs w:val="20"/>
        </w:rPr>
      </w:pPr>
      <w:r>
        <w:rPr>
          <w:sz w:val="20"/>
          <w:szCs w:val="20"/>
        </w:rPr>
        <w:t> </w:t>
      </w:r>
    </w:p>
    <w:p w14:paraId="1AE7B44B" w14:textId="77777777" w:rsidR="00000000" w:rsidRDefault="007E65A2">
      <w:pPr>
        <w:pStyle w:val="a3"/>
        <w:spacing w:before="0" w:beforeAutospacing="0" w:after="0" w:afterAutospacing="0"/>
        <w:jc w:val="both"/>
        <w:divId w:val="911279972"/>
        <w:rPr>
          <w:sz w:val="20"/>
          <w:szCs w:val="20"/>
        </w:rPr>
      </w:pPr>
      <w:r>
        <w:rPr>
          <w:i/>
          <w:iCs/>
          <w:sz w:val="20"/>
          <w:szCs w:val="20"/>
        </w:rPr>
        <w:t>/s/ MaloneBailey, LLP</w:t>
      </w:r>
    </w:p>
    <w:p w14:paraId="45FC53AC" w14:textId="77777777" w:rsidR="00000000" w:rsidRDefault="007E65A2">
      <w:pPr>
        <w:pStyle w:val="a3"/>
        <w:spacing w:before="0" w:beforeAutospacing="0" w:after="0" w:afterAutospacing="0"/>
        <w:jc w:val="both"/>
        <w:divId w:val="911279972"/>
        <w:rPr>
          <w:sz w:val="20"/>
          <w:szCs w:val="20"/>
        </w:rPr>
      </w:pPr>
      <w:r>
        <w:rPr>
          <w:sz w:val="20"/>
          <w:szCs w:val="20"/>
        </w:rPr>
        <w:t>www.</w:t>
      </w:r>
      <w:r>
        <w:rPr>
          <w:sz w:val="20"/>
          <w:szCs w:val="20"/>
        </w:rPr>
        <w:t>malonebailey.com</w:t>
      </w:r>
    </w:p>
    <w:p w14:paraId="7C22D0B0" w14:textId="77777777" w:rsidR="00000000" w:rsidRDefault="007E65A2">
      <w:pPr>
        <w:pStyle w:val="a3"/>
        <w:spacing w:before="0" w:beforeAutospacing="0" w:after="0" w:afterAutospacing="0"/>
        <w:jc w:val="both"/>
        <w:divId w:val="911279972"/>
        <w:rPr>
          <w:sz w:val="20"/>
          <w:szCs w:val="20"/>
        </w:rPr>
      </w:pPr>
      <w:r>
        <w:rPr>
          <w:sz w:val="20"/>
          <w:szCs w:val="20"/>
        </w:rPr>
        <w:t>We have served as the Company's auditor since 2015.</w:t>
      </w:r>
    </w:p>
    <w:p w14:paraId="5EACDCA8" w14:textId="77777777" w:rsidR="00000000" w:rsidRDefault="007E65A2">
      <w:pPr>
        <w:pStyle w:val="a3"/>
        <w:spacing w:before="0" w:beforeAutospacing="0" w:after="0" w:afterAutospacing="0"/>
        <w:jc w:val="both"/>
        <w:divId w:val="911279972"/>
        <w:rPr>
          <w:sz w:val="20"/>
          <w:szCs w:val="20"/>
        </w:rPr>
      </w:pPr>
      <w:r>
        <w:rPr>
          <w:sz w:val="20"/>
          <w:szCs w:val="20"/>
        </w:rPr>
        <w:t>Houston, Texas</w:t>
      </w:r>
    </w:p>
    <w:p w14:paraId="289A0874" w14:textId="77777777" w:rsidR="00000000" w:rsidRDefault="007E65A2">
      <w:pPr>
        <w:pStyle w:val="a3"/>
        <w:spacing w:before="0" w:beforeAutospacing="0" w:after="0" w:afterAutospacing="0"/>
        <w:jc w:val="both"/>
        <w:divId w:val="911279972"/>
        <w:rPr>
          <w:sz w:val="20"/>
          <w:szCs w:val="20"/>
        </w:rPr>
      </w:pPr>
      <w:r>
        <w:rPr>
          <w:sz w:val="20"/>
          <w:szCs w:val="20"/>
        </w:rPr>
        <w:t>October 18, 2019</w:t>
      </w:r>
    </w:p>
    <w:p w14:paraId="38430170"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E946C5A" w14:textId="77777777">
        <w:trPr>
          <w:divId w:val="911279972"/>
          <w:tblCellSpacing w:w="0" w:type="dxa"/>
        </w:trPr>
        <w:tc>
          <w:tcPr>
            <w:tcW w:w="0" w:type="auto"/>
            <w:vAlign w:val="center"/>
            <w:hideMark/>
          </w:tcPr>
          <w:p w14:paraId="7D9B0179" w14:textId="77777777" w:rsidR="00000000" w:rsidRDefault="007E65A2">
            <w:pPr>
              <w:rPr>
                <w:rFonts w:eastAsia="Times New Roman"/>
                <w:sz w:val="20"/>
                <w:szCs w:val="20"/>
              </w:rPr>
            </w:pPr>
            <w:r>
              <w:rPr>
                <w:rFonts w:eastAsia="Times New Roman"/>
                <w:b/>
                <w:bCs/>
                <w:sz w:val="20"/>
                <w:szCs w:val="20"/>
              </w:rPr>
              <w:t> </w:t>
            </w:r>
          </w:p>
        </w:tc>
      </w:tr>
      <w:tr w:rsidR="00000000" w14:paraId="27DAD683" w14:textId="77777777">
        <w:trPr>
          <w:divId w:val="911279972"/>
          <w:tblCellSpacing w:w="0" w:type="dxa"/>
        </w:trPr>
        <w:tc>
          <w:tcPr>
            <w:tcW w:w="0" w:type="auto"/>
            <w:tcBorders>
              <w:bottom w:val="single" w:sz="6" w:space="0" w:color="000000"/>
            </w:tcBorders>
            <w:vAlign w:val="center"/>
            <w:hideMark/>
          </w:tcPr>
          <w:p w14:paraId="5F0D9A07" w14:textId="77777777" w:rsidR="00000000" w:rsidRDefault="007E65A2">
            <w:pPr>
              <w:jc w:val="center"/>
              <w:rPr>
                <w:rFonts w:eastAsia="Times New Roman"/>
                <w:sz w:val="20"/>
                <w:szCs w:val="20"/>
              </w:rPr>
            </w:pPr>
            <w:r>
              <w:rPr>
                <w:rFonts w:eastAsia="Times New Roman"/>
                <w:b/>
                <w:bCs/>
                <w:sz w:val="20"/>
                <w:szCs w:val="20"/>
              </w:rPr>
              <w:t>F-2</w:t>
            </w:r>
          </w:p>
        </w:tc>
      </w:tr>
      <w:tr w:rsidR="00000000" w14:paraId="48A6748D" w14:textId="77777777">
        <w:trPr>
          <w:divId w:val="911279972"/>
          <w:tblCellSpacing w:w="0" w:type="dxa"/>
        </w:trPr>
        <w:tc>
          <w:tcPr>
            <w:tcW w:w="0" w:type="auto"/>
            <w:vAlign w:val="center"/>
            <w:hideMark/>
          </w:tcPr>
          <w:p w14:paraId="11641C82" w14:textId="77777777" w:rsidR="00000000" w:rsidRDefault="007E65A2">
            <w:pPr>
              <w:rPr>
                <w:rFonts w:eastAsia="Times New Roman"/>
                <w:sz w:val="20"/>
                <w:szCs w:val="20"/>
              </w:rPr>
            </w:pPr>
            <w:r>
              <w:rPr>
                <w:rFonts w:eastAsia="Times New Roman"/>
                <w:b/>
                <w:bCs/>
                <w:sz w:val="20"/>
                <w:szCs w:val="20"/>
              </w:rPr>
              <w:t> </w:t>
            </w:r>
          </w:p>
        </w:tc>
      </w:tr>
      <w:tr w:rsidR="00000000" w14:paraId="7E995C7A" w14:textId="77777777">
        <w:trPr>
          <w:divId w:val="911279972"/>
          <w:tblCellSpacing w:w="0" w:type="dxa"/>
        </w:trPr>
        <w:tc>
          <w:tcPr>
            <w:tcW w:w="0" w:type="auto"/>
            <w:vAlign w:val="center"/>
            <w:hideMark/>
          </w:tcPr>
          <w:p w14:paraId="34D23072" w14:textId="77777777" w:rsidR="00000000" w:rsidRDefault="007E65A2">
            <w:pPr>
              <w:rPr>
                <w:rFonts w:eastAsia="Times New Roman"/>
                <w:sz w:val="20"/>
                <w:szCs w:val="20"/>
              </w:rPr>
            </w:pPr>
            <w:hyperlink w:anchor="TOC2" w:history="1">
              <w:r>
                <w:rPr>
                  <w:rStyle w:val="a4"/>
                  <w:rFonts w:eastAsia="Times New Roman"/>
                  <w:b/>
                  <w:bCs/>
                  <w:i/>
                  <w:iCs/>
                  <w:sz w:val="20"/>
                  <w:szCs w:val="20"/>
                </w:rPr>
                <w:t>Table of Contents</w:t>
              </w:r>
            </w:hyperlink>
          </w:p>
        </w:tc>
      </w:tr>
    </w:tbl>
    <w:p w14:paraId="5C7DB712" w14:textId="77777777" w:rsidR="00000000" w:rsidRDefault="007E65A2">
      <w:pPr>
        <w:pStyle w:val="a3"/>
        <w:jc w:val="both"/>
        <w:divId w:val="911279972"/>
        <w:rPr>
          <w:sz w:val="20"/>
          <w:szCs w:val="20"/>
        </w:rPr>
      </w:pPr>
      <w:r>
        <w:rPr>
          <w:b/>
          <w:bCs/>
          <w:sz w:val="20"/>
          <w:szCs w:val="20"/>
        </w:rPr>
        <w:t> APPYEA, INC.</w:t>
      </w:r>
    </w:p>
    <w:p w14:paraId="5DE50607" w14:textId="77777777" w:rsidR="00000000" w:rsidRDefault="007E65A2">
      <w:pPr>
        <w:pStyle w:val="a3"/>
        <w:spacing w:before="0" w:beforeAutospacing="0" w:after="0" w:afterAutospacing="0"/>
        <w:jc w:val="center"/>
        <w:divId w:val="911279972"/>
        <w:rPr>
          <w:sz w:val="20"/>
          <w:szCs w:val="20"/>
        </w:rPr>
      </w:pPr>
      <w:bookmarkStart w:id="16" w:name="CONSOLIDATED_BALANCE_SHEETS"/>
      <w:r>
        <w:rPr>
          <w:b/>
          <w:bCs/>
          <w:sz w:val="20"/>
          <w:szCs w:val="20"/>
        </w:rPr>
        <w:t>CONSOLIDATED BALANCE SHEETS</w:t>
      </w:r>
      <w:bookmarkEnd w:id="16"/>
    </w:p>
    <w:p w14:paraId="3625283D"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11"/>
        <w:gridCol w:w="64"/>
        <w:gridCol w:w="100"/>
        <w:gridCol w:w="867"/>
        <w:gridCol w:w="67"/>
        <w:gridCol w:w="63"/>
        <w:gridCol w:w="100"/>
        <w:gridCol w:w="867"/>
        <w:gridCol w:w="67"/>
      </w:tblGrid>
      <w:tr w:rsidR="00000000" w14:paraId="776BFDD9" w14:textId="77777777">
        <w:trPr>
          <w:divId w:val="911279972"/>
          <w:tblCellSpacing w:w="0" w:type="dxa"/>
        </w:trPr>
        <w:tc>
          <w:tcPr>
            <w:tcW w:w="0" w:type="auto"/>
            <w:vAlign w:val="bottom"/>
            <w:hideMark/>
          </w:tcPr>
          <w:p w14:paraId="4A858300"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EFF84D7"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2B983740"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098C5191"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721EDCE"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1BACF8A4"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55CB6845" w14:textId="77777777" w:rsidR="00000000" w:rsidRDefault="007E65A2">
            <w:pPr>
              <w:pStyle w:val="a3"/>
              <w:spacing w:before="0" w:beforeAutospacing="0" w:after="0" w:afterAutospacing="0"/>
              <w:jc w:val="both"/>
              <w:rPr>
                <w:sz w:val="20"/>
                <w:szCs w:val="20"/>
              </w:rPr>
            </w:pPr>
            <w:r>
              <w:rPr>
                <w:sz w:val="20"/>
                <w:szCs w:val="20"/>
              </w:rPr>
              <w:t> </w:t>
            </w:r>
          </w:p>
        </w:tc>
      </w:tr>
      <w:tr w:rsidR="00000000" w14:paraId="18D5DB99" w14:textId="77777777">
        <w:trPr>
          <w:divId w:val="911279972"/>
          <w:tblCellSpacing w:w="0" w:type="dxa"/>
        </w:trPr>
        <w:tc>
          <w:tcPr>
            <w:tcW w:w="0" w:type="auto"/>
            <w:vAlign w:val="bottom"/>
            <w:hideMark/>
          </w:tcPr>
          <w:p w14:paraId="04F6656C"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B9D8FCF"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66A30583"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717629C"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72EC359"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580934E0"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43E65D7" w14:textId="77777777" w:rsidR="00000000" w:rsidRDefault="007E65A2">
            <w:pPr>
              <w:pStyle w:val="a3"/>
              <w:spacing w:before="0" w:beforeAutospacing="0" w:after="0" w:afterAutospacing="0"/>
              <w:jc w:val="both"/>
              <w:rPr>
                <w:sz w:val="20"/>
                <w:szCs w:val="20"/>
              </w:rPr>
            </w:pPr>
            <w:r>
              <w:rPr>
                <w:sz w:val="20"/>
                <w:szCs w:val="20"/>
              </w:rPr>
              <w:t> </w:t>
            </w:r>
          </w:p>
        </w:tc>
      </w:tr>
      <w:tr w:rsidR="00000000" w14:paraId="0BA35CEA" w14:textId="77777777">
        <w:trPr>
          <w:divId w:val="911279972"/>
          <w:tblCellSpacing w:w="0" w:type="dxa"/>
        </w:trPr>
        <w:tc>
          <w:tcPr>
            <w:tcW w:w="0" w:type="auto"/>
            <w:gridSpan w:val="9"/>
            <w:hideMark/>
          </w:tcPr>
          <w:p w14:paraId="5F564509" w14:textId="77777777" w:rsidR="00000000" w:rsidRDefault="007E65A2">
            <w:pPr>
              <w:pStyle w:val="a3"/>
              <w:spacing w:before="0" w:beforeAutospacing="0" w:after="0" w:afterAutospacing="0"/>
              <w:jc w:val="center"/>
              <w:rPr>
                <w:sz w:val="20"/>
                <w:szCs w:val="20"/>
              </w:rPr>
            </w:pPr>
            <w:r>
              <w:rPr>
                <w:b/>
                <w:bCs/>
                <w:sz w:val="20"/>
                <w:szCs w:val="20"/>
              </w:rPr>
              <w:t>ASSETS</w:t>
            </w:r>
          </w:p>
        </w:tc>
      </w:tr>
      <w:tr w:rsidR="00000000" w14:paraId="19AA307D" w14:textId="77777777">
        <w:trPr>
          <w:divId w:val="911279972"/>
          <w:tblCellSpacing w:w="0" w:type="dxa"/>
        </w:trPr>
        <w:tc>
          <w:tcPr>
            <w:tcW w:w="0" w:type="auto"/>
            <w:hideMark/>
          </w:tcPr>
          <w:p w14:paraId="15302D0A" w14:textId="77777777" w:rsidR="00000000" w:rsidRDefault="007E65A2">
            <w:pPr>
              <w:pStyle w:val="a3"/>
              <w:spacing w:before="0" w:beforeAutospacing="0" w:after="0" w:afterAutospacing="0"/>
              <w:jc w:val="both"/>
              <w:rPr>
                <w:sz w:val="20"/>
                <w:szCs w:val="20"/>
              </w:rPr>
            </w:pPr>
            <w:r>
              <w:rPr>
                <w:sz w:val="20"/>
                <w:szCs w:val="20"/>
              </w:rPr>
              <w:t>Current Assets:</w:t>
            </w:r>
          </w:p>
        </w:tc>
        <w:tc>
          <w:tcPr>
            <w:tcW w:w="50" w:type="pct"/>
            <w:vAlign w:val="bottom"/>
            <w:hideMark/>
          </w:tcPr>
          <w:p w14:paraId="743C9CAA"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54532343" w14:textId="77777777" w:rsidR="00000000" w:rsidRDefault="007E65A2">
            <w:pPr>
              <w:pStyle w:val="a3"/>
              <w:spacing w:before="0" w:beforeAutospacing="0" w:after="0" w:afterAutospacing="0"/>
              <w:jc w:val="right"/>
              <w:rPr>
                <w:sz w:val="20"/>
                <w:szCs w:val="20"/>
              </w:rPr>
            </w:pPr>
            <w:r>
              <w:rPr>
                <w:sz w:val="20"/>
                <w:szCs w:val="20"/>
              </w:rPr>
              <w:t> </w:t>
            </w:r>
          </w:p>
        </w:tc>
        <w:tc>
          <w:tcPr>
            <w:tcW w:w="50" w:type="pct"/>
            <w:vAlign w:val="bottom"/>
            <w:hideMark/>
          </w:tcPr>
          <w:p w14:paraId="147CA4C6" w14:textId="77777777" w:rsidR="00000000" w:rsidRDefault="007E65A2">
            <w:pPr>
              <w:pStyle w:val="a3"/>
              <w:spacing w:before="0" w:beforeAutospacing="0" w:after="0" w:afterAutospacing="0"/>
              <w:jc w:val="both"/>
              <w:rPr>
                <w:sz w:val="20"/>
                <w:szCs w:val="20"/>
              </w:rPr>
            </w:pPr>
            <w:r>
              <w:rPr>
                <w:sz w:val="20"/>
                <w:szCs w:val="20"/>
              </w:rPr>
              <w:t> </w:t>
            </w:r>
          </w:p>
        </w:tc>
        <w:tc>
          <w:tcPr>
            <w:tcW w:w="50" w:type="pct"/>
            <w:vAlign w:val="bottom"/>
            <w:hideMark/>
          </w:tcPr>
          <w:p w14:paraId="0CC9F4D5"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3AC24BFF" w14:textId="77777777" w:rsidR="00000000" w:rsidRDefault="007E65A2">
            <w:pPr>
              <w:pStyle w:val="a3"/>
              <w:spacing w:before="0" w:beforeAutospacing="0" w:after="0" w:afterAutospacing="0"/>
              <w:jc w:val="right"/>
              <w:rPr>
                <w:sz w:val="20"/>
                <w:szCs w:val="20"/>
              </w:rPr>
            </w:pPr>
            <w:r>
              <w:rPr>
                <w:sz w:val="20"/>
                <w:szCs w:val="20"/>
              </w:rPr>
              <w:t> </w:t>
            </w:r>
          </w:p>
        </w:tc>
        <w:tc>
          <w:tcPr>
            <w:tcW w:w="50" w:type="pct"/>
            <w:vAlign w:val="bottom"/>
            <w:hideMark/>
          </w:tcPr>
          <w:p w14:paraId="4AEA4D74" w14:textId="77777777" w:rsidR="00000000" w:rsidRDefault="007E65A2">
            <w:pPr>
              <w:pStyle w:val="a3"/>
              <w:spacing w:before="0" w:beforeAutospacing="0" w:after="0" w:afterAutospacing="0"/>
              <w:jc w:val="both"/>
              <w:rPr>
                <w:sz w:val="20"/>
                <w:szCs w:val="20"/>
              </w:rPr>
            </w:pPr>
            <w:r>
              <w:rPr>
                <w:sz w:val="20"/>
                <w:szCs w:val="20"/>
              </w:rPr>
              <w:t> </w:t>
            </w:r>
          </w:p>
        </w:tc>
      </w:tr>
      <w:tr w:rsidR="00000000" w14:paraId="6E22C453" w14:textId="77777777">
        <w:trPr>
          <w:divId w:val="911279972"/>
          <w:tblCellSpacing w:w="0" w:type="dxa"/>
        </w:trPr>
        <w:tc>
          <w:tcPr>
            <w:tcW w:w="0" w:type="auto"/>
            <w:shd w:val="clear" w:color="auto" w:fill="CCEEFF"/>
            <w:hideMark/>
          </w:tcPr>
          <w:p w14:paraId="3112DA9E" w14:textId="77777777" w:rsidR="00000000" w:rsidRDefault="007E65A2">
            <w:pPr>
              <w:pStyle w:val="a3"/>
              <w:spacing w:before="0" w:beforeAutospacing="0" w:after="0" w:afterAutospacing="0"/>
              <w:ind w:left="225"/>
              <w:jc w:val="both"/>
              <w:rPr>
                <w:sz w:val="20"/>
                <w:szCs w:val="20"/>
              </w:rPr>
            </w:pPr>
            <w:r>
              <w:rPr>
                <w:sz w:val="20"/>
                <w:szCs w:val="20"/>
              </w:rPr>
              <w:t>Cash and cash equivalents</w:t>
            </w:r>
          </w:p>
        </w:tc>
        <w:tc>
          <w:tcPr>
            <w:tcW w:w="50" w:type="pct"/>
            <w:shd w:val="clear" w:color="auto" w:fill="CCEEFF"/>
            <w:vAlign w:val="bottom"/>
            <w:hideMark/>
          </w:tcPr>
          <w:p w14:paraId="3B59A38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8E29055"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6C8127A" w14:textId="77777777" w:rsidR="00000000" w:rsidRDefault="007E65A2">
            <w:pPr>
              <w:jc w:val="right"/>
              <w:rPr>
                <w:rFonts w:eastAsia="Times New Roman"/>
                <w:sz w:val="20"/>
                <w:szCs w:val="20"/>
              </w:rPr>
            </w:pPr>
            <w:r>
              <w:rPr>
                <w:rFonts w:eastAsia="Times New Roman"/>
                <w:sz w:val="20"/>
                <w:szCs w:val="20"/>
              </w:rPr>
              <w:t>45,056</w:t>
            </w:r>
          </w:p>
        </w:tc>
        <w:tc>
          <w:tcPr>
            <w:tcW w:w="50" w:type="pct"/>
            <w:shd w:val="clear" w:color="auto" w:fill="CCEEFF"/>
            <w:vAlign w:val="bottom"/>
            <w:hideMark/>
          </w:tcPr>
          <w:p w14:paraId="6479A71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0AFB5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259DD81"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C93529D" w14:textId="77777777" w:rsidR="00000000" w:rsidRDefault="007E65A2">
            <w:pPr>
              <w:jc w:val="right"/>
              <w:rPr>
                <w:rFonts w:eastAsia="Times New Roman"/>
                <w:sz w:val="20"/>
                <w:szCs w:val="20"/>
              </w:rPr>
            </w:pPr>
            <w:r>
              <w:rPr>
                <w:rFonts w:eastAsia="Times New Roman"/>
                <w:sz w:val="20"/>
                <w:szCs w:val="20"/>
              </w:rPr>
              <w:t>47,196</w:t>
            </w:r>
          </w:p>
        </w:tc>
        <w:tc>
          <w:tcPr>
            <w:tcW w:w="50" w:type="pct"/>
            <w:shd w:val="clear" w:color="auto" w:fill="CCEEFF"/>
            <w:vAlign w:val="bottom"/>
            <w:hideMark/>
          </w:tcPr>
          <w:p w14:paraId="4AD52615" w14:textId="77777777" w:rsidR="00000000" w:rsidRDefault="007E65A2">
            <w:pPr>
              <w:pStyle w:val="a3"/>
              <w:spacing w:before="0" w:beforeAutospacing="0" w:after="0" w:afterAutospacing="0"/>
              <w:jc w:val="both"/>
              <w:rPr>
                <w:sz w:val="20"/>
                <w:szCs w:val="20"/>
              </w:rPr>
            </w:pPr>
            <w:r>
              <w:rPr>
                <w:sz w:val="20"/>
                <w:szCs w:val="20"/>
              </w:rPr>
              <w:t> </w:t>
            </w:r>
          </w:p>
        </w:tc>
      </w:tr>
      <w:tr w:rsidR="00000000" w14:paraId="0115C179" w14:textId="77777777">
        <w:trPr>
          <w:divId w:val="911279972"/>
          <w:tblCellSpacing w:w="0" w:type="dxa"/>
        </w:trPr>
        <w:tc>
          <w:tcPr>
            <w:tcW w:w="0" w:type="auto"/>
            <w:shd w:val="clear" w:color="auto" w:fill="FFFFFF"/>
            <w:hideMark/>
          </w:tcPr>
          <w:p w14:paraId="46D2960B" w14:textId="77777777" w:rsidR="00000000" w:rsidRDefault="007E65A2">
            <w:pPr>
              <w:pStyle w:val="a3"/>
              <w:spacing w:before="0" w:beforeAutospacing="0" w:after="0" w:afterAutospacing="0"/>
              <w:ind w:left="225"/>
              <w:jc w:val="both"/>
              <w:rPr>
                <w:sz w:val="20"/>
                <w:szCs w:val="20"/>
              </w:rPr>
            </w:pPr>
            <w:r>
              <w:rPr>
                <w:sz w:val="20"/>
                <w:szCs w:val="20"/>
              </w:rPr>
              <w:t>Prepaid expenses</w:t>
            </w:r>
          </w:p>
        </w:tc>
        <w:tc>
          <w:tcPr>
            <w:tcW w:w="50" w:type="pct"/>
            <w:shd w:val="clear" w:color="auto" w:fill="FFFFFF"/>
            <w:vAlign w:val="bottom"/>
            <w:hideMark/>
          </w:tcPr>
          <w:p w14:paraId="17D3016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14EAC636"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0DC2B2A7" w14:textId="77777777" w:rsidR="00000000" w:rsidRDefault="007E65A2">
            <w:pPr>
              <w:jc w:val="right"/>
              <w:rPr>
                <w:rFonts w:eastAsia="Times New Roman"/>
                <w:sz w:val="20"/>
                <w:szCs w:val="20"/>
              </w:rPr>
            </w:pPr>
            <w:r>
              <w:rPr>
                <w:rFonts w:eastAsia="Times New Roman"/>
                <w:sz w:val="20"/>
                <w:szCs w:val="20"/>
              </w:rPr>
              <w:t>9,500</w:t>
            </w:r>
          </w:p>
        </w:tc>
        <w:tc>
          <w:tcPr>
            <w:tcW w:w="50" w:type="pct"/>
            <w:shd w:val="clear" w:color="auto" w:fill="FFFFFF"/>
            <w:tcMar>
              <w:top w:w="0" w:type="dxa"/>
              <w:left w:w="0" w:type="dxa"/>
              <w:bottom w:w="15" w:type="dxa"/>
              <w:right w:w="0" w:type="dxa"/>
            </w:tcMar>
            <w:vAlign w:val="bottom"/>
            <w:hideMark/>
          </w:tcPr>
          <w:p w14:paraId="014C6A8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B9F061E"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4EBAA7A2"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69BDC518"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303F225B" w14:textId="77777777" w:rsidR="00000000" w:rsidRDefault="007E65A2">
            <w:pPr>
              <w:pStyle w:val="a3"/>
              <w:spacing w:before="0" w:beforeAutospacing="0" w:after="0" w:afterAutospacing="0"/>
              <w:jc w:val="both"/>
              <w:rPr>
                <w:sz w:val="20"/>
                <w:szCs w:val="20"/>
              </w:rPr>
            </w:pPr>
            <w:r>
              <w:rPr>
                <w:sz w:val="20"/>
                <w:szCs w:val="20"/>
              </w:rPr>
              <w:t> </w:t>
            </w:r>
          </w:p>
        </w:tc>
      </w:tr>
      <w:tr w:rsidR="00000000" w14:paraId="183A6ACF" w14:textId="77777777">
        <w:trPr>
          <w:divId w:val="911279972"/>
          <w:tblCellSpacing w:w="0" w:type="dxa"/>
        </w:trPr>
        <w:tc>
          <w:tcPr>
            <w:tcW w:w="0" w:type="auto"/>
            <w:shd w:val="clear" w:color="auto" w:fill="CCEEFF"/>
            <w:hideMark/>
          </w:tcPr>
          <w:p w14:paraId="3AABEC37" w14:textId="77777777" w:rsidR="00000000" w:rsidRDefault="007E65A2">
            <w:pPr>
              <w:pStyle w:val="a3"/>
              <w:spacing w:before="0" w:beforeAutospacing="0" w:after="0" w:afterAutospacing="0"/>
              <w:jc w:val="both"/>
              <w:rPr>
                <w:sz w:val="20"/>
                <w:szCs w:val="20"/>
              </w:rPr>
            </w:pPr>
            <w:r>
              <w:rPr>
                <w:sz w:val="20"/>
                <w:szCs w:val="20"/>
              </w:rPr>
              <w:t>Total Current Assets</w:t>
            </w:r>
          </w:p>
        </w:tc>
        <w:tc>
          <w:tcPr>
            <w:tcW w:w="50" w:type="pct"/>
            <w:shd w:val="clear" w:color="auto" w:fill="CCEEFF"/>
            <w:vAlign w:val="bottom"/>
            <w:hideMark/>
          </w:tcPr>
          <w:p w14:paraId="7091C8B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CE8F9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6667B3A" w14:textId="77777777" w:rsidR="00000000" w:rsidRDefault="007E65A2">
            <w:pPr>
              <w:jc w:val="right"/>
              <w:rPr>
                <w:rFonts w:eastAsia="Times New Roman"/>
                <w:sz w:val="20"/>
                <w:szCs w:val="20"/>
              </w:rPr>
            </w:pPr>
            <w:r>
              <w:rPr>
                <w:rFonts w:eastAsia="Times New Roman"/>
                <w:sz w:val="20"/>
                <w:szCs w:val="20"/>
              </w:rPr>
              <w:t>54,556</w:t>
            </w:r>
          </w:p>
        </w:tc>
        <w:tc>
          <w:tcPr>
            <w:tcW w:w="50" w:type="pct"/>
            <w:shd w:val="clear" w:color="auto" w:fill="CCEEFF"/>
            <w:vAlign w:val="bottom"/>
            <w:hideMark/>
          </w:tcPr>
          <w:p w14:paraId="649239D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8C1917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4F59FE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E0514F3" w14:textId="77777777" w:rsidR="00000000" w:rsidRDefault="007E65A2">
            <w:pPr>
              <w:jc w:val="right"/>
              <w:rPr>
                <w:rFonts w:eastAsia="Times New Roman"/>
                <w:sz w:val="20"/>
                <w:szCs w:val="20"/>
              </w:rPr>
            </w:pPr>
            <w:r>
              <w:rPr>
                <w:rFonts w:eastAsia="Times New Roman"/>
                <w:sz w:val="20"/>
                <w:szCs w:val="20"/>
              </w:rPr>
              <w:t>47,196</w:t>
            </w:r>
          </w:p>
        </w:tc>
        <w:tc>
          <w:tcPr>
            <w:tcW w:w="50" w:type="pct"/>
            <w:shd w:val="clear" w:color="auto" w:fill="CCEEFF"/>
            <w:vAlign w:val="bottom"/>
            <w:hideMark/>
          </w:tcPr>
          <w:p w14:paraId="14017D8E" w14:textId="77777777" w:rsidR="00000000" w:rsidRDefault="007E65A2">
            <w:pPr>
              <w:pStyle w:val="a3"/>
              <w:spacing w:before="0" w:beforeAutospacing="0" w:after="0" w:afterAutospacing="0"/>
              <w:jc w:val="both"/>
              <w:rPr>
                <w:sz w:val="20"/>
                <w:szCs w:val="20"/>
              </w:rPr>
            </w:pPr>
            <w:r>
              <w:rPr>
                <w:sz w:val="20"/>
                <w:szCs w:val="20"/>
              </w:rPr>
              <w:t> </w:t>
            </w:r>
          </w:p>
        </w:tc>
      </w:tr>
      <w:tr w:rsidR="00000000" w14:paraId="37ABA3BC" w14:textId="77777777">
        <w:trPr>
          <w:divId w:val="911279972"/>
          <w:tblCellSpacing w:w="0" w:type="dxa"/>
        </w:trPr>
        <w:tc>
          <w:tcPr>
            <w:tcW w:w="0" w:type="auto"/>
            <w:shd w:val="clear" w:color="auto" w:fill="FFFFFF"/>
            <w:vAlign w:val="center"/>
            <w:hideMark/>
          </w:tcPr>
          <w:p w14:paraId="14203FD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43E279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F81E22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4CE26F8"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3B9DD6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C6F5BB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71E1DC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969FC7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2065305" w14:textId="77777777" w:rsidR="00000000" w:rsidRDefault="007E65A2">
            <w:pPr>
              <w:pStyle w:val="a3"/>
              <w:spacing w:before="0" w:beforeAutospacing="0" w:after="0" w:afterAutospacing="0"/>
              <w:jc w:val="both"/>
              <w:rPr>
                <w:sz w:val="20"/>
                <w:szCs w:val="20"/>
              </w:rPr>
            </w:pPr>
            <w:r>
              <w:rPr>
                <w:sz w:val="20"/>
                <w:szCs w:val="20"/>
              </w:rPr>
              <w:t> </w:t>
            </w:r>
          </w:p>
        </w:tc>
      </w:tr>
      <w:tr w:rsidR="00000000" w14:paraId="1D9AA365" w14:textId="77777777">
        <w:trPr>
          <w:divId w:val="911279972"/>
          <w:tblCellSpacing w:w="0" w:type="dxa"/>
        </w:trPr>
        <w:tc>
          <w:tcPr>
            <w:tcW w:w="0" w:type="auto"/>
            <w:shd w:val="clear" w:color="auto" w:fill="CCEEFF"/>
            <w:hideMark/>
          </w:tcPr>
          <w:p w14:paraId="4EB5309F" w14:textId="77777777" w:rsidR="00000000" w:rsidRDefault="007E65A2">
            <w:pPr>
              <w:pStyle w:val="a3"/>
              <w:spacing w:before="0" w:beforeAutospacing="0" w:after="0" w:afterAutospacing="0"/>
              <w:jc w:val="both"/>
              <w:rPr>
                <w:sz w:val="20"/>
                <w:szCs w:val="20"/>
              </w:rPr>
            </w:pPr>
            <w:r>
              <w:rPr>
                <w:sz w:val="20"/>
                <w:szCs w:val="20"/>
              </w:rPr>
              <w:t>Fixed assets, net of accumulated depreciation of $257,870 and $250,570</w:t>
            </w:r>
          </w:p>
        </w:tc>
        <w:tc>
          <w:tcPr>
            <w:tcW w:w="50" w:type="pct"/>
            <w:shd w:val="clear" w:color="auto" w:fill="CCEEFF"/>
            <w:vAlign w:val="bottom"/>
            <w:hideMark/>
          </w:tcPr>
          <w:p w14:paraId="18172EFD"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4C72509D"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588B736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8D7CEA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A1F9D09"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9D816F1"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71F50FFD" w14:textId="77777777" w:rsidR="00000000" w:rsidRDefault="007E65A2">
            <w:pPr>
              <w:jc w:val="right"/>
              <w:rPr>
                <w:rFonts w:eastAsia="Times New Roman"/>
                <w:sz w:val="20"/>
                <w:szCs w:val="20"/>
              </w:rPr>
            </w:pPr>
            <w:r>
              <w:rPr>
                <w:rFonts w:eastAsia="Times New Roman"/>
                <w:sz w:val="20"/>
                <w:szCs w:val="20"/>
              </w:rPr>
              <w:t>7,300</w:t>
            </w:r>
          </w:p>
        </w:tc>
        <w:tc>
          <w:tcPr>
            <w:tcW w:w="50" w:type="pct"/>
            <w:shd w:val="clear" w:color="auto" w:fill="CCEEFF"/>
            <w:tcMar>
              <w:top w:w="0" w:type="dxa"/>
              <w:left w:w="0" w:type="dxa"/>
              <w:bottom w:w="15" w:type="dxa"/>
              <w:right w:w="0" w:type="dxa"/>
            </w:tcMar>
            <w:vAlign w:val="bottom"/>
            <w:hideMark/>
          </w:tcPr>
          <w:p w14:paraId="6173413D" w14:textId="77777777" w:rsidR="00000000" w:rsidRDefault="007E65A2">
            <w:pPr>
              <w:pStyle w:val="a3"/>
              <w:spacing w:before="0" w:beforeAutospacing="0" w:after="0" w:afterAutospacing="0"/>
              <w:jc w:val="both"/>
              <w:rPr>
                <w:sz w:val="20"/>
                <w:szCs w:val="20"/>
              </w:rPr>
            </w:pPr>
            <w:r>
              <w:rPr>
                <w:sz w:val="20"/>
                <w:szCs w:val="20"/>
              </w:rPr>
              <w:t> </w:t>
            </w:r>
          </w:p>
        </w:tc>
      </w:tr>
      <w:tr w:rsidR="00000000" w14:paraId="70A4CE86" w14:textId="77777777">
        <w:trPr>
          <w:divId w:val="911279972"/>
          <w:tblCellSpacing w:w="0" w:type="dxa"/>
        </w:trPr>
        <w:tc>
          <w:tcPr>
            <w:tcW w:w="0" w:type="auto"/>
            <w:shd w:val="clear" w:color="auto" w:fill="FFFFFF"/>
            <w:hideMark/>
          </w:tcPr>
          <w:p w14:paraId="507B1230" w14:textId="77777777" w:rsidR="00000000" w:rsidRDefault="007E65A2">
            <w:pPr>
              <w:pStyle w:val="a3"/>
              <w:spacing w:before="0" w:beforeAutospacing="0" w:after="0" w:afterAutospacing="0"/>
              <w:jc w:val="both"/>
              <w:rPr>
                <w:sz w:val="20"/>
                <w:szCs w:val="20"/>
              </w:rPr>
            </w:pPr>
            <w:r>
              <w:rPr>
                <w:b/>
                <w:bCs/>
                <w:sz w:val="20"/>
                <w:szCs w:val="20"/>
              </w:rPr>
              <w:t>TOTAL ASSETS</w:t>
            </w:r>
          </w:p>
        </w:tc>
        <w:tc>
          <w:tcPr>
            <w:tcW w:w="50" w:type="pct"/>
            <w:shd w:val="clear" w:color="auto" w:fill="FFFFFF"/>
            <w:vAlign w:val="bottom"/>
            <w:hideMark/>
          </w:tcPr>
          <w:p w14:paraId="1C7593A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65AD594F"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46481306" w14:textId="77777777" w:rsidR="00000000" w:rsidRDefault="007E65A2">
            <w:pPr>
              <w:jc w:val="right"/>
              <w:rPr>
                <w:rFonts w:eastAsia="Times New Roman"/>
                <w:sz w:val="20"/>
                <w:szCs w:val="20"/>
              </w:rPr>
            </w:pPr>
            <w:r>
              <w:rPr>
                <w:rFonts w:eastAsia="Times New Roman"/>
                <w:sz w:val="20"/>
                <w:szCs w:val="20"/>
              </w:rPr>
              <w:t>54,556</w:t>
            </w:r>
          </w:p>
        </w:tc>
        <w:tc>
          <w:tcPr>
            <w:tcW w:w="50" w:type="pct"/>
            <w:shd w:val="clear" w:color="auto" w:fill="FFFFFF"/>
            <w:tcMar>
              <w:top w:w="0" w:type="dxa"/>
              <w:left w:w="0" w:type="dxa"/>
              <w:bottom w:w="45" w:type="dxa"/>
              <w:right w:w="0" w:type="dxa"/>
            </w:tcMar>
            <w:vAlign w:val="bottom"/>
            <w:hideMark/>
          </w:tcPr>
          <w:p w14:paraId="560EB98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DF03C8C"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544F8BCB"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0AB2C8C9" w14:textId="77777777" w:rsidR="00000000" w:rsidRDefault="007E65A2">
            <w:pPr>
              <w:jc w:val="right"/>
              <w:rPr>
                <w:rFonts w:eastAsia="Times New Roman"/>
                <w:sz w:val="20"/>
                <w:szCs w:val="20"/>
              </w:rPr>
            </w:pPr>
            <w:r>
              <w:rPr>
                <w:rFonts w:eastAsia="Times New Roman"/>
                <w:sz w:val="20"/>
                <w:szCs w:val="20"/>
              </w:rPr>
              <w:t>54,496</w:t>
            </w:r>
          </w:p>
        </w:tc>
        <w:tc>
          <w:tcPr>
            <w:tcW w:w="50" w:type="pct"/>
            <w:shd w:val="clear" w:color="auto" w:fill="FFFFFF"/>
            <w:tcMar>
              <w:top w:w="0" w:type="dxa"/>
              <w:left w:w="0" w:type="dxa"/>
              <w:bottom w:w="45" w:type="dxa"/>
              <w:right w:w="0" w:type="dxa"/>
            </w:tcMar>
            <w:vAlign w:val="bottom"/>
            <w:hideMark/>
          </w:tcPr>
          <w:p w14:paraId="07CD78ED" w14:textId="77777777" w:rsidR="00000000" w:rsidRDefault="007E65A2">
            <w:pPr>
              <w:pStyle w:val="a3"/>
              <w:spacing w:before="0" w:beforeAutospacing="0" w:after="0" w:afterAutospacing="0"/>
              <w:jc w:val="both"/>
              <w:rPr>
                <w:sz w:val="20"/>
                <w:szCs w:val="20"/>
              </w:rPr>
            </w:pPr>
            <w:r>
              <w:rPr>
                <w:sz w:val="20"/>
                <w:szCs w:val="20"/>
              </w:rPr>
              <w:t> </w:t>
            </w:r>
          </w:p>
        </w:tc>
      </w:tr>
      <w:tr w:rsidR="00000000" w14:paraId="7BCDC5F7" w14:textId="77777777">
        <w:trPr>
          <w:divId w:val="911279972"/>
          <w:tblCellSpacing w:w="0" w:type="dxa"/>
        </w:trPr>
        <w:tc>
          <w:tcPr>
            <w:tcW w:w="0" w:type="auto"/>
            <w:shd w:val="clear" w:color="auto" w:fill="FFFFFF"/>
            <w:vAlign w:val="center"/>
            <w:hideMark/>
          </w:tcPr>
          <w:p w14:paraId="7D93CDE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A4E43D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78CBEB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D7D036B"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FF8D54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81B8BA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3C8F3E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F42099C"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37788F3" w14:textId="77777777" w:rsidR="00000000" w:rsidRDefault="007E65A2">
            <w:pPr>
              <w:pStyle w:val="a3"/>
              <w:spacing w:before="0" w:beforeAutospacing="0" w:after="0" w:afterAutospacing="0"/>
              <w:jc w:val="both"/>
              <w:rPr>
                <w:sz w:val="20"/>
                <w:szCs w:val="20"/>
              </w:rPr>
            </w:pPr>
            <w:r>
              <w:rPr>
                <w:sz w:val="20"/>
                <w:szCs w:val="20"/>
              </w:rPr>
              <w:t> </w:t>
            </w:r>
          </w:p>
        </w:tc>
      </w:tr>
      <w:tr w:rsidR="00000000" w14:paraId="7FA98AC7" w14:textId="77777777">
        <w:trPr>
          <w:divId w:val="911279972"/>
          <w:tblCellSpacing w:w="0" w:type="dxa"/>
        </w:trPr>
        <w:tc>
          <w:tcPr>
            <w:tcW w:w="0" w:type="auto"/>
            <w:gridSpan w:val="9"/>
            <w:shd w:val="clear" w:color="auto" w:fill="FFFFFF"/>
            <w:hideMark/>
          </w:tcPr>
          <w:p w14:paraId="20307FF5" w14:textId="77777777" w:rsidR="00000000" w:rsidRDefault="007E65A2">
            <w:pPr>
              <w:pStyle w:val="a3"/>
              <w:spacing w:before="0" w:beforeAutospacing="0" w:after="0" w:afterAutospacing="0"/>
              <w:jc w:val="center"/>
              <w:rPr>
                <w:sz w:val="20"/>
                <w:szCs w:val="20"/>
              </w:rPr>
            </w:pPr>
            <w:r>
              <w:rPr>
                <w:b/>
                <w:bCs/>
                <w:sz w:val="20"/>
                <w:szCs w:val="20"/>
              </w:rPr>
              <w:t>LIABILITIES AND STOCKHOLDERS’ DEFICIT</w:t>
            </w:r>
          </w:p>
        </w:tc>
      </w:tr>
      <w:tr w:rsidR="00000000" w14:paraId="46035AA9" w14:textId="77777777">
        <w:trPr>
          <w:divId w:val="911279972"/>
          <w:tblCellSpacing w:w="0" w:type="dxa"/>
        </w:trPr>
        <w:tc>
          <w:tcPr>
            <w:tcW w:w="0" w:type="auto"/>
            <w:shd w:val="clear" w:color="auto" w:fill="FFFFFF"/>
            <w:hideMark/>
          </w:tcPr>
          <w:p w14:paraId="263DFE03" w14:textId="77777777" w:rsidR="00000000" w:rsidRDefault="007E65A2">
            <w:pPr>
              <w:pStyle w:val="a3"/>
              <w:spacing w:before="0" w:beforeAutospacing="0" w:after="0" w:afterAutospacing="0"/>
              <w:jc w:val="both"/>
              <w:rPr>
                <w:sz w:val="20"/>
                <w:szCs w:val="20"/>
              </w:rPr>
            </w:pPr>
            <w:r>
              <w:rPr>
                <w:sz w:val="20"/>
                <w:szCs w:val="20"/>
              </w:rPr>
              <w:t>Current Liabilities:</w:t>
            </w:r>
          </w:p>
        </w:tc>
        <w:tc>
          <w:tcPr>
            <w:tcW w:w="50" w:type="pct"/>
            <w:shd w:val="clear" w:color="auto" w:fill="FFFFFF"/>
            <w:vAlign w:val="bottom"/>
            <w:hideMark/>
          </w:tcPr>
          <w:p w14:paraId="33468D8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4B08F7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47BD79C"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E0B7BA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993727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899F21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4E8B65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EA90A77" w14:textId="77777777" w:rsidR="00000000" w:rsidRDefault="007E65A2">
            <w:pPr>
              <w:pStyle w:val="a3"/>
              <w:spacing w:before="0" w:beforeAutospacing="0" w:after="0" w:afterAutospacing="0"/>
              <w:jc w:val="both"/>
              <w:rPr>
                <w:sz w:val="20"/>
                <w:szCs w:val="20"/>
              </w:rPr>
            </w:pPr>
            <w:r>
              <w:rPr>
                <w:sz w:val="20"/>
                <w:szCs w:val="20"/>
              </w:rPr>
              <w:t> </w:t>
            </w:r>
          </w:p>
        </w:tc>
      </w:tr>
      <w:tr w:rsidR="00000000" w14:paraId="579C7235" w14:textId="77777777">
        <w:trPr>
          <w:divId w:val="911279972"/>
          <w:tblCellSpacing w:w="0" w:type="dxa"/>
        </w:trPr>
        <w:tc>
          <w:tcPr>
            <w:tcW w:w="0" w:type="auto"/>
            <w:shd w:val="clear" w:color="auto" w:fill="CCEEFF"/>
            <w:hideMark/>
          </w:tcPr>
          <w:p w14:paraId="09B9E0A9" w14:textId="77777777" w:rsidR="00000000" w:rsidRDefault="007E65A2">
            <w:pPr>
              <w:pStyle w:val="a3"/>
              <w:spacing w:before="0" w:beforeAutospacing="0" w:after="0" w:afterAutospacing="0"/>
              <w:ind w:left="225"/>
              <w:jc w:val="both"/>
              <w:rPr>
                <w:sz w:val="20"/>
                <w:szCs w:val="20"/>
              </w:rPr>
            </w:pPr>
            <w:r>
              <w:rPr>
                <w:sz w:val="20"/>
                <w:szCs w:val="20"/>
              </w:rPr>
              <w:t>Accounts payable and accrued liabilities</w:t>
            </w:r>
          </w:p>
        </w:tc>
        <w:tc>
          <w:tcPr>
            <w:tcW w:w="50" w:type="pct"/>
            <w:shd w:val="clear" w:color="auto" w:fill="CCEEFF"/>
            <w:vAlign w:val="bottom"/>
            <w:hideMark/>
          </w:tcPr>
          <w:p w14:paraId="3AEC700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B91FAE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A536BA0" w14:textId="77777777" w:rsidR="00000000" w:rsidRDefault="007E65A2">
            <w:pPr>
              <w:jc w:val="right"/>
              <w:rPr>
                <w:rFonts w:eastAsia="Times New Roman"/>
                <w:sz w:val="20"/>
                <w:szCs w:val="20"/>
              </w:rPr>
            </w:pPr>
            <w:r>
              <w:rPr>
                <w:rFonts w:eastAsia="Times New Roman"/>
                <w:sz w:val="20"/>
                <w:szCs w:val="20"/>
              </w:rPr>
              <w:t>44,393</w:t>
            </w:r>
          </w:p>
        </w:tc>
        <w:tc>
          <w:tcPr>
            <w:tcW w:w="50" w:type="pct"/>
            <w:shd w:val="clear" w:color="auto" w:fill="CCEEFF"/>
            <w:vAlign w:val="bottom"/>
            <w:hideMark/>
          </w:tcPr>
          <w:p w14:paraId="7D54AEB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4BEA6C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10D81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E3FB6BD" w14:textId="77777777" w:rsidR="00000000" w:rsidRDefault="007E65A2">
            <w:pPr>
              <w:jc w:val="right"/>
              <w:rPr>
                <w:rFonts w:eastAsia="Times New Roman"/>
                <w:sz w:val="20"/>
                <w:szCs w:val="20"/>
              </w:rPr>
            </w:pPr>
            <w:r>
              <w:rPr>
                <w:rFonts w:eastAsia="Times New Roman"/>
                <w:sz w:val="20"/>
                <w:szCs w:val="20"/>
              </w:rPr>
              <w:t>275,312</w:t>
            </w:r>
          </w:p>
        </w:tc>
        <w:tc>
          <w:tcPr>
            <w:tcW w:w="50" w:type="pct"/>
            <w:shd w:val="clear" w:color="auto" w:fill="CCEEFF"/>
            <w:vAlign w:val="bottom"/>
            <w:hideMark/>
          </w:tcPr>
          <w:p w14:paraId="7D524134" w14:textId="77777777" w:rsidR="00000000" w:rsidRDefault="007E65A2">
            <w:pPr>
              <w:pStyle w:val="a3"/>
              <w:spacing w:before="0" w:beforeAutospacing="0" w:after="0" w:afterAutospacing="0"/>
              <w:jc w:val="both"/>
              <w:rPr>
                <w:sz w:val="20"/>
                <w:szCs w:val="20"/>
              </w:rPr>
            </w:pPr>
            <w:r>
              <w:rPr>
                <w:sz w:val="20"/>
                <w:szCs w:val="20"/>
              </w:rPr>
              <w:t> </w:t>
            </w:r>
          </w:p>
        </w:tc>
      </w:tr>
      <w:tr w:rsidR="00000000" w14:paraId="1AEAB75A" w14:textId="77777777">
        <w:trPr>
          <w:divId w:val="911279972"/>
          <w:tblCellSpacing w:w="0" w:type="dxa"/>
        </w:trPr>
        <w:tc>
          <w:tcPr>
            <w:tcW w:w="0" w:type="auto"/>
            <w:shd w:val="clear" w:color="auto" w:fill="FFFFFF"/>
            <w:hideMark/>
          </w:tcPr>
          <w:p w14:paraId="27D64115" w14:textId="77777777" w:rsidR="00000000" w:rsidRDefault="007E65A2">
            <w:pPr>
              <w:pStyle w:val="a3"/>
              <w:spacing w:before="0" w:beforeAutospacing="0" w:after="0" w:afterAutospacing="0"/>
              <w:ind w:left="225"/>
              <w:jc w:val="both"/>
              <w:rPr>
                <w:sz w:val="20"/>
                <w:szCs w:val="20"/>
              </w:rPr>
            </w:pPr>
            <w:r>
              <w:rPr>
                <w:sz w:val="20"/>
                <w:szCs w:val="20"/>
              </w:rPr>
              <w:t>Accrued salary</w:t>
            </w:r>
          </w:p>
        </w:tc>
        <w:tc>
          <w:tcPr>
            <w:tcW w:w="50" w:type="pct"/>
            <w:shd w:val="clear" w:color="auto" w:fill="FFFFFF"/>
            <w:vAlign w:val="bottom"/>
            <w:hideMark/>
          </w:tcPr>
          <w:p w14:paraId="618B96B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321233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9512582" w14:textId="77777777" w:rsidR="00000000" w:rsidRDefault="007E65A2">
            <w:pPr>
              <w:jc w:val="right"/>
              <w:rPr>
                <w:rFonts w:eastAsia="Times New Roman"/>
                <w:sz w:val="20"/>
                <w:szCs w:val="20"/>
              </w:rPr>
            </w:pPr>
            <w:r>
              <w:rPr>
                <w:rFonts w:eastAsia="Times New Roman"/>
                <w:sz w:val="20"/>
                <w:szCs w:val="20"/>
              </w:rPr>
              <w:t>3,506</w:t>
            </w:r>
          </w:p>
        </w:tc>
        <w:tc>
          <w:tcPr>
            <w:tcW w:w="50" w:type="pct"/>
            <w:shd w:val="clear" w:color="auto" w:fill="FFFFFF"/>
            <w:vAlign w:val="bottom"/>
            <w:hideMark/>
          </w:tcPr>
          <w:p w14:paraId="6918EA5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BE28D4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D51D04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6B10426" w14:textId="77777777" w:rsidR="00000000" w:rsidRDefault="007E65A2">
            <w:pPr>
              <w:jc w:val="right"/>
              <w:rPr>
                <w:rFonts w:eastAsia="Times New Roman"/>
                <w:sz w:val="20"/>
                <w:szCs w:val="20"/>
              </w:rPr>
            </w:pPr>
            <w:r>
              <w:rPr>
                <w:rFonts w:eastAsia="Times New Roman"/>
                <w:sz w:val="20"/>
                <w:szCs w:val="20"/>
              </w:rPr>
              <w:t>224,000</w:t>
            </w:r>
          </w:p>
        </w:tc>
        <w:tc>
          <w:tcPr>
            <w:tcW w:w="50" w:type="pct"/>
            <w:shd w:val="clear" w:color="auto" w:fill="FFFFFF"/>
            <w:vAlign w:val="bottom"/>
            <w:hideMark/>
          </w:tcPr>
          <w:p w14:paraId="4FF8E80A" w14:textId="77777777" w:rsidR="00000000" w:rsidRDefault="007E65A2">
            <w:pPr>
              <w:pStyle w:val="a3"/>
              <w:spacing w:before="0" w:beforeAutospacing="0" w:after="0" w:afterAutospacing="0"/>
              <w:jc w:val="both"/>
              <w:rPr>
                <w:sz w:val="20"/>
                <w:szCs w:val="20"/>
              </w:rPr>
            </w:pPr>
            <w:r>
              <w:rPr>
                <w:sz w:val="20"/>
                <w:szCs w:val="20"/>
              </w:rPr>
              <w:t> </w:t>
            </w:r>
          </w:p>
        </w:tc>
      </w:tr>
      <w:tr w:rsidR="00000000" w14:paraId="338EE643" w14:textId="77777777">
        <w:trPr>
          <w:divId w:val="911279972"/>
          <w:tblCellSpacing w:w="0" w:type="dxa"/>
        </w:trPr>
        <w:tc>
          <w:tcPr>
            <w:tcW w:w="0" w:type="auto"/>
            <w:shd w:val="clear" w:color="auto" w:fill="CCEEFF"/>
            <w:hideMark/>
          </w:tcPr>
          <w:p w14:paraId="3988CADE" w14:textId="77777777" w:rsidR="00000000" w:rsidRDefault="007E65A2">
            <w:pPr>
              <w:pStyle w:val="a3"/>
              <w:spacing w:before="0" w:beforeAutospacing="0" w:after="0" w:afterAutospacing="0"/>
              <w:ind w:left="225"/>
              <w:jc w:val="both"/>
              <w:rPr>
                <w:sz w:val="20"/>
                <w:szCs w:val="20"/>
              </w:rPr>
            </w:pPr>
            <w:r>
              <w:rPr>
                <w:sz w:val="20"/>
                <w:szCs w:val="20"/>
              </w:rPr>
              <w:t>Convertible loans and accrued interest, net of unamortized discounts of $15,000 and $81,968, respectively</w:t>
            </w:r>
          </w:p>
        </w:tc>
        <w:tc>
          <w:tcPr>
            <w:tcW w:w="50" w:type="pct"/>
            <w:shd w:val="clear" w:color="auto" w:fill="CCEEFF"/>
            <w:vAlign w:val="bottom"/>
            <w:hideMark/>
          </w:tcPr>
          <w:p w14:paraId="4FDB71F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0AF662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3EF793B" w14:textId="77777777" w:rsidR="00000000" w:rsidRDefault="007E65A2">
            <w:pPr>
              <w:jc w:val="right"/>
              <w:rPr>
                <w:rFonts w:eastAsia="Times New Roman"/>
                <w:sz w:val="20"/>
                <w:szCs w:val="20"/>
              </w:rPr>
            </w:pPr>
            <w:r>
              <w:rPr>
                <w:rFonts w:eastAsia="Times New Roman"/>
                <w:sz w:val="20"/>
                <w:szCs w:val="20"/>
              </w:rPr>
              <w:t>315,232</w:t>
            </w:r>
          </w:p>
        </w:tc>
        <w:tc>
          <w:tcPr>
            <w:tcW w:w="50" w:type="pct"/>
            <w:shd w:val="clear" w:color="auto" w:fill="CCEEFF"/>
            <w:vAlign w:val="bottom"/>
            <w:hideMark/>
          </w:tcPr>
          <w:p w14:paraId="250A9EB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774A2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26500E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7DF867C" w14:textId="77777777" w:rsidR="00000000" w:rsidRDefault="007E65A2">
            <w:pPr>
              <w:jc w:val="right"/>
              <w:rPr>
                <w:rFonts w:eastAsia="Times New Roman"/>
                <w:sz w:val="20"/>
                <w:szCs w:val="20"/>
              </w:rPr>
            </w:pPr>
            <w:r>
              <w:rPr>
                <w:rFonts w:eastAsia="Times New Roman"/>
                <w:sz w:val="20"/>
                <w:szCs w:val="20"/>
              </w:rPr>
              <w:t>290,823</w:t>
            </w:r>
          </w:p>
        </w:tc>
        <w:tc>
          <w:tcPr>
            <w:tcW w:w="50" w:type="pct"/>
            <w:shd w:val="clear" w:color="auto" w:fill="CCEEFF"/>
            <w:vAlign w:val="bottom"/>
            <w:hideMark/>
          </w:tcPr>
          <w:p w14:paraId="05373F95" w14:textId="77777777" w:rsidR="00000000" w:rsidRDefault="007E65A2">
            <w:pPr>
              <w:pStyle w:val="a3"/>
              <w:spacing w:before="0" w:beforeAutospacing="0" w:after="0" w:afterAutospacing="0"/>
              <w:jc w:val="both"/>
              <w:rPr>
                <w:sz w:val="20"/>
                <w:szCs w:val="20"/>
              </w:rPr>
            </w:pPr>
            <w:r>
              <w:rPr>
                <w:sz w:val="20"/>
                <w:szCs w:val="20"/>
              </w:rPr>
              <w:t> </w:t>
            </w:r>
          </w:p>
        </w:tc>
      </w:tr>
      <w:tr w:rsidR="00000000" w14:paraId="65A4CB41" w14:textId="77777777">
        <w:trPr>
          <w:divId w:val="911279972"/>
          <w:tblCellSpacing w:w="0" w:type="dxa"/>
        </w:trPr>
        <w:tc>
          <w:tcPr>
            <w:tcW w:w="0" w:type="auto"/>
            <w:shd w:val="clear" w:color="auto" w:fill="FFFFFF"/>
            <w:hideMark/>
          </w:tcPr>
          <w:p w14:paraId="0C24557C" w14:textId="77777777" w:rsidR="00000000" w:rsidRDefault="007E65A2">
            <w:pPr>
              <w:pStyle w:val="a3"/>
              <w:spacing w:before="0" w:beforeAutospacing="0" w:after="0" w:afterAutospacing="0"/>
              <w:ind w:left="225"/>
              <w:jc w:val="both"/>
              <w:rPr>
                <w:sz w:val="20"/>
                <w:szCs w:val="20"/>
              </w:rPr>
            </w:pPr>
            <w:r>
              <w:rPr>
                <w:sz w:val="20"/>
                <w:szCs w:val="20"/>
              </w:rPr>
              <w:t>Convertible loans and accrued interest - related party</w:t>
            </w:r>
          </w:p>
        </w:tc>
        <w:tc>
          <w:tcPr>
            <w:tcW w:w="50" w:type="pct"/>
            <w:shd w:val="clear" w:color="auto" w:fill="FFFFFF"/>
            <w:vAlign w:val="bottom"/>
            <w:hideMark/>
          </w:tcPr>
          <w:p w14:paraId="68F031E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1B7BCD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0D568D6"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623D1E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739586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E0213A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0B8E780" w14:textId="77777777" w:rsidR="00000000" w:rsidRDefault="007E65A2">
            <w:pPr>
              <w:jc w:val="right"/>
              <w:rPr>
                <w:rFonts w:eastAsia="Times New Roman"/>
                <w:sz w:val="20"/>
                <w:szCs w:val="20"/>
              </w:rPr>
            </w:pPr>
            <w:r>
              <w:rPr>
                <w:rFonts w:eastAsia="Times New Roman"/>
                <w:sz w:val="20"/>
                <w:szCs w:val="20"/>
              </w:rPr>
              <w:t>8,977</w:t>
            </w:r>
          </w:p>
        </w:tc>
        <w:tc>
          <w:tcPr>
            <w:tcW w:w="50" w:type="pct"/>
            <w:shd w:val="clear" w:color="auto" w:fill="FFFFFF"/>
            <w:vAlign w:val="bottom"/>
            <w:hideMark/>
          </w:tcPr>
          <w:p w14:paraId="109600AE" w14:textId="77777777" w:rsidR="00000000" w:rsidRDefault="007E65A2">
            <w:pPr>
              <w:pStyle w:val="a3"/>
              <w:spacing w:before="0" w:beforeAutospacing="0" w:after="0" w:afterAutospacing="0"/>
              <w:jc w:val="both"/>
              <w:rPr>
                <w:sz w:val="20"/>
                <w:szCs w:val="20"/>
              </w:rPr>
            </w:pPr>
            <w:r>
              <w:rPr>
                <w:sz w:val="20"/>
                <w:szCs w:val="20"/>
              </w:rPr>
              <w:t> </w:t>
            </w:r>
          </w:p>
        </w:tc>
      </w:tr>
      <w:tr w:rsidR="00000000" w14:paraId="2BAD7F40" w14:textId="77777777">
        <w:trPr>
          <w:divId w:val="911279972"/>
          <w:tblCellSpacing w:w="0" w:type="dxa"/>
        </w:trPr>
        <w:tc>
          <w:tcPr>
            <w:tcW w:w="0" w:type="auto"/>
            <w:shd w:val="clear" w:color="auto" w:fill="CCEEFF"/>
            <w:hideMark/>
          </w:tcPr>
          <w:p w14:paraId="7E1677B8" w14:textId="77777777" w:rsidR="00000000" w:rsidRDefault="007E65A2">
            <w:pPr>
              <w:pStyle w:val="a3"/>
              <w:spacing w:before="0" w:beforeAutospacing="0" w:after="0" w:afterAutospacing="0"/>
              <w:ind w:left="225"/>
              <w:jc w:val="both"/>
              <w:rPr>
                <w:sz w:val="20"/>
                <w:szCs w:val="20"/>
              </w:rPr>
            </w:pPr>
            <w:r>
              <w:rPr>
                <w:sz w:val="20"/>
                <w:szCs w:val="20"/>
              </w:rPr>
              <w:t>Due to related party</w:t>
            </w:r>
          </w:p>
        </w:tc>
        <w:tc>
          <w:tcPr>
            <w:tcW w:w="50" w:type="pct"/>
            <w:shd w:val="clear" w:color="auto" w:fill="CCEEFF"/>
            <w:vAlign w:val="bottom"/>
            <w:hideMark/>
          </w:tcPr>
          <w:p w14:paraId="3EFBB86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9DDB98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A2465A3" w14:textId="77777777" w:rsidR="00000000" w:rsidRDefault="007E65A2">
            <w:pPr>
              <w:jc w:val="right"/>
              <w:rPr>
                <w:rFonts w:eastAsia="Times New Roman"/>
                <w:sz w:val="20"/>
                <w:szCs w:val="20"/>
              </w:rPr>
            </w:pPr>
            <w:r>
              <w:rPr>
                <w:rFonts w:eastAsia="Times New Roman"/>
                <w:sz w:val="20"/>
                <w:szCs w:val="20"/>
              </w:rPr>
              <w:t>88,224</w:t>
            </w:r>
          </w:p>
        </w:tc>
        <w:tc>
          <w:tcPr>
            <w:tcW w:w="50" w:type="pct"/>
            <w:shd w:val="clear" w:color="auto" w:fill="CCEEFF"/>
            <w:vAlign w:val="bottom"/>
            <w:hideMark/>
          </w:tcPr>
          <w:p w14:paraId="515BEB0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53D94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1C2ACE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46F8098" w14:textId="77777777" w:rsidR="00000000" w:rsidRDefault="007E65A2">
            <w:pPr>
              <w:jc w:val="right"/>
              <w:rPr>
                <w:rFonts w:eastAsia="Times New Roman"/>
                <w:sz w:val="20"/>
                <w:szCs w:val="20"/>
              </w:rPr>
            </w:pPr>
            <w:r>
              <w:rPr>
                <w:rFonts w:eastAsia="Times New Roman"/>
                <w:sz w:val="20"/>
                <w:szCs w:val="20"/>
              </w:rPr>
              <w:t>88,087</w:t>
            </w:r>
          </w:p>
        </w:tc>
        <w:tc>
          <w:tcPr>
            <w:tcW w:w="50" w:type="pct"/>
            <w:shd w:val="clear" w:color="auto" w:fill="CCEEFF"/>
            <w:vAlign w:val="bottom"/>
            <w:hideMark/>
          </w:tcPr>
          <w:p w14:paraId="64A511EC" w14:textId="77777777" w:rsidR="00000000" w:rsidRDefault="007E65A2">
            <w:pPr>
              <w:pStyle w:val="a3"/>
              <w:spacing w:before="0" w:beforeAutospacing="0" w:after="0" w:afterAutospacing="0"/>
              <w:jc w:val="both"/>
              <w:rPr>
                <w:sz w:val="20"/>
                <w:szCs w:val="20"/>
              </w:rPr>
            </w:pPr>
            <w:r>
              <w:rPr>
                <w:sz w:val="20"/>
                <w:szCs w:val="20"/>
              </w:rPr>
              <w:t> </w:t>
            </w:r>
          </w:p>
        </w:tc>
      </w:tr>
      <w:tr w:rsidR="00000000" w14:paraId="30352A85" w14:textId="77777777">
        <w:trPr>
          <w:divId w:val="911279972"/>
          <w:tblCellSpacing w:w="0" w:type="dxa"/>
        </w:trPr>
        <w:tc>
          <w:tcPr>
            <w:tcW w:w="0" w:type="auto"/>
            <w:shd w:val="clear" w:color="auto" w:fill="FFFFFF"/>
            <w:hideMark/>
          </w:tcPr>
          <w:p w14:paraId="39F77F09" w14:textId="77777777" w:rsidR="00000000" w:rsidRDefault="007E65A2">
            <w:pPr>
              <w:pStyle w:val="a3"/>
              <w:spacing w:before="0" w:beforeAutospacing="0" w:after="0" w:afterAutospacing="0"/>
              <w:ind w:left="225"/>
              <w:jc w:val="both"/>
              <w:rPr>
                <w:sz w:val="20"/>
                <w:szCs w:val="20"/>
              </w:rPr>
            </w:pPr>
            <w:r>
              <w:rPr>
                <w:sz w:val="20"/>
                <w:szCs w:val="20"/>
              </w:rPr>
              <w:t>Derivative liability</w:t>
            </w:r>
          </w:p>
        </w:tc>
        <w:tc>
          <w:tcPr>
            <w:tcW w:w="50" w:type="pct"/>
            <w:shd w:val="clear" w:color="auto" w:fill="FFFFFF"/>
            <w:vAlign w:val="bottom"/>
            <w:hideMark/>
          </w:tcPr>
          <w:p w14:paraId="66D14C5E"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066B92A9"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67E60F12" w14:textId="77777777" w:rsidR="00000000" w:rsidRDefault="007E65A2">
            <w:pPr>
              <w:jc w:val="right"/>
              <w:rPr>
                <w:rFonts w:eastAsia="Times New Roman"/>
                <w:sz w:val="20"/>
                <w:szCs w:val="20"/>
              </w:rPr>
            </w:pPr>
            <w:r>
              <w:rPr>
                <w:rFonts w:eastAsia="Times New Roman"/>
                <w:sz w:val="20"/>
                <w:szCs w:val="20"/>
              </w:rPr>
              <w:t>578,812</w:t>
            </w:r>
          </w:p>
        </w:tc>
        <w:tc>
          <w:tcPr>
            <w:tcW w:w="50" w:type="pct"/>
            <w:shd w:val="clear" w:color="auto" w:fill="FFFFFF"/>
            <w:tcMar>
              <w:top w:w="0" w:type="dxa"/>
              <w:left w:w="0" w:type="dxa"/>
              <w:bottom w:w="15" w:type="dxa"/>
              <w:right w:w="0" w:type="dxa"/>
            </w:tcMar>
            <w:vAlign w:val="bottom"/>
            <w:hideMark/>
          </w:tcPr>
          <w:p w14:paraId="7FDD0FC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EB38196"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77F432A"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58407CC5" w14:textId="77777777" w:rsidR="00000000" w:rsidRDefault="007E65A2">
            <w:pPr>
              <w:jc w:val="right"/>
              <w:rPr>
                <w:rFonts w:eastAsia="Times New Roman"/>
                <w:sz w:val="20"/>
                <w:szCs w:val="20"/>
              </w:rPr>
            </w:pPr>
            <w:r>
              <w:rPr>
                <w:rFonts w:eastAsia="Times New Roman"/>
                <w:sz w:val="20"/>
                <w:szCs w:val="20"/>
              </w:rPr>
              <w:t>1,016,865</w:t>
            </w:r>
          </w:p>
        </w:tc>
        <w:tc>
          <w:tcPr>
            <w:tcW w:w="50" w:type="pct"/>
            <w:shd w:val="clear" w:color="auto" w:fill="FFFFFF"/>
            <w:tcMar>
              <w:top w:w="0" w:type="dxa"/>
              <w:left w:w="0" w:type="dxa"/>
              <w:bottom w:w="15" w:type="dxa"/>
              <w:right w:w="0" w:type="dxa"/>
            </w:tcMar>
            <w:vAlign w:val="bottom"/>
            <w:hideMark/>
          </w:tcPr>
          <w:p w14:paraId="3CFF7B97" w14:textId="77777777" w:rsidR="00000000" w:rsidRDefault="007E65A2">
            <w:pPr>
              <w:pStyle w:val="a3"/>
              <w:spacing w:before="0" w:beforeAutospacing="0" w:after="0" w:afterAutospacing="0"/>
              <w:jc w:val="both"/>
              <w:rPr>
                <w:sz w:val="20"/>
                <w:szCs w:val="20"/>
              </w:rPr>
            </w:pPr>
            <w:r>
              <w:rPr>
                <w:sz w:val="20"/>
                <w:szCs w:val="20"/>
              </w:rPr>
              <w:t> </w:t>
            </w:r>
          </w:p>
        </w:tc>
      </w:tr>
      <w:tr w:rsidR="00000000" w14:paraId="61CC9D54" w14:textId="77777777">
        <w:trPr>
          <w:divId w:val="911279972"/>
          <w:tblCellSpacing w:w="0" w:type="dxa"/>
        </w:trPr>
        <w:tc>
          <w:tcPr>
            <w:tcW w:w="0" w:type="auto"/>
            <w:shd w:val="clear" w:color="auto" w:fill="CCEEFF"/>
            <w:hideMark/>
          </w:tcPr>
          <w:p w14:paraId="02AD01EB" w14:textId="77777777" w:rsidR="00000000" w:rsidRDefault="007E65A2">
            <w:pPr>
              <w:pStyle w:val="a3"/>
              <w:spacing w:before="0" w:beforeAutospacing="0" w:after="0" w:afterAutospacing="0"/>
              <w:jc w:val="both"/>
              <w:rPr>
                <w:sz w:val="20"/>
                <w:szCs w:val="20"/>
              </w:rPr>
            </w:pPr>
            <w:r>
              <w:rPr>
                <w:sz w:val="20"/>
                <w:szCs w:val="20"/>
              </w:rPr>
              <w:t>Total Current Liabilities</w:t>
            </w:r>
          </w:p>
        </w:tc>
        <w:tc>
          <w:tcPr>
            <w:tcW w:w="50" w:type="pct"/>
            <w:shd w:val="clear" w:color="auto" w:fill="CCEEFF"/>
            <w:vAlign w:val="bottom"/>
            <w:hideMark/>
          </w:tcPr>
          <w:p w14:paraId="422F406E"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9C78E50"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67AB4F14" w14:textId="77777777" w:rsidR="00000000" w:rsidRDefault="007E65A2">
            <w:pPr>
              <w:jc w:val="right"/>
              <w:rPr>
                <w:rFonts w:eastAsia="Times New Roman"/>
                <w:sz w:val="20"/>
                <w:szCs w:val="20"/>
              </w:rPr>
            </w:pPr>
            <w:r>
              <w:rPr>
                <w:rFonts w:eastAsia="Times New Roman"/>
                <w:sz w:val="20"/>
                <w:szCs w:val="20"/>
              </w:rPr>
              <w:t>1,030,167</w:t>
            </w:r>
          </w:p>
        </w:tc>
        <w:tc>
          <w:tcPr>
            <w:tcW w:w="50" w:type="pct"/>
            <w:shd w:val="clear" w:color="auto" w:fill="CCEEFF"/>
            <w:tcMar>
              <w:top w:w="0" w:type="dxa"/>
              <w:left w:w="0" w:type="dxa"/>
              <w:bottom w:w="15" w:type="dxa"/>
              <w:right w:w="0" w:type="dxa"/>
            </w:tcMar>
            <w:vAlign w:val="bottom"/>
            <w:hideMark/>
          </w:tcPr>
          <w:p w14:paraId="32059F1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CB3F8C3"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F5B2369"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266A536E" w14:textId="77777777" w:rsidR="00000000" w:rsidRDefault="007E65A2">
            <w:pPr>
              <w:jc w:val="right"/>
              <w:rPr>
                <w:rFonts w:eastAsia="Times New Roman"/>
                <w:sz w:val="20"/>
                <w:szCs w:val="20"/>
              </w:rPr>
            </w:pPr>
            <w:r>
              <w:rPr>
                <w:rFonts w:eastAsia="Times New Roman"/>
                <w:sz w:val="20"/>
                <w:szCs w:val="20"/>
              </w:rPr>
              <w:t>1,904,064</w:t>
            </w:r>
          </w:p>
        </w:tc>
        <w:tc>
          <w:tcPr>
            <w:tcW w:w="50" w:type="pct"/>
            <w:shd w:val="clear" w:color="auto" w:fill="CCEEFF"/>
            <w:tcMar>
              <w:top w:w="0" w:type="dxa"/>
              <w:left w:w="0" w:type="dxa"/>
              <w:bottom w:w="15" w:type="dxa"/>
              <w:right w:w="0" w:type="dxa"/>
            </w:tcMar>
            <w:vAlign w:val="bottom"/>
            <w:hideMark/>
          </w:tcPr>
          <w:p w14:paraId="580F6618" w14:textId="77777777" w:rsidR="00000000" w:rsidRDefault="007E65A2">
            <w:pPr>
              <w:pStyle w:val="a3"/>
              <w:spacing w:before="0" w:beforeAutospacing="0" w:after="0" w:afterAutospacing="0"/>
              <w:jc w:val="both"/>
              <w:rPr>
                <w:sz w:val="20"/>
                <w:szCs w:val="20"/>
              </w:rPr>
            </w:pPr>
            <w:r>
              <w:rPr>
                <w:sz w:val="20"/>
                <w:szCs w:val="20"/>
              </w:rPr>
              <w:t> </w:t>
            </w:r>
          </w:p>
        </w:tc>
      </w:tr>
      <w:tr w:rsidR="00000000" w14:paraId="12FC8BCA" w14:textId="77777777">
        <w:trPr>
          <w:divId w:val="911279972"/>
          <w:tblCellSpacing w:w="0" w:type="dxa"/>
        </w:trPr>
        <w:tc>
          <w:tcPr>
            <w:tcW w:w="0" w:type="auto"/>
            <w:shd w:val="clear" w:color="auto" w:fill="FFFFFF"/>
            <w:vAlign w:val="center"/>
            <w:hideMark/>
          </w:tcPr>
          <w:p w14:paraId="01BC8DF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99EE62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FF0C44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2A5F123"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320D1C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1BFE0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5ED4ABB"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B58A8E5"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354458A" w14:textId="77777777" w:rsidR="00000000" w:rsidRDefault="007E65A2">
            <w:pPr>
              <w:pStyle w:val="a3"/>
              <w:spacing w:before="0" w:beforeAutospacing="0" w:after="0" w:afterAutospacing="0"/>
              <w:jc w:val="both"/>
              <w:rPr>
                <w:sz w:val="20"/>
                <w:szCs w:val="20"/>
              </w:rPr>
            </w:pPr>
            <w:r>
              <w:rPr>
                <w:sz w:val="20"/>
                <w:szCs w:val="20"/>
              </w:rPr>
              <w:t> </w:t>
            </w:r>
          </w:p>
        </w:tc>
      </w:tr>
      <w:tr w:rsidR="00000000" w14:paraId="160CDFCF" w14:textId="77777777">
        <w:trPr>
          <w:divId w:val="911279972"/>
          <w:tblCellSpacing w:w="0" w:type="dxa"/>
        </w:trPr>
        <w:tc>
          <w:tcPr>
            <w:tcW w:w="0" w:type="auto"/>
            <w:shd w:val="clear" w:color="auto" w:fill="CCEEFF"/>
            <w:hideMark/>
          </w:tcPr>
          <w:p w14:paraId="7D8B70E3" w14:textId="77777777" w:rsidR="00000000" w:rsidRDefault="007E65A2">
            <w:pPr>
              <w:pStyle w:val="a3"/>
              <w:spacing w:before="0" w:beforeAutospacing="0" w:after="0" w:afterAutospacing="0"/>
              <w:jc w:val="both"/>
              <w:rPr>
                <w:sz w:val="20"/>
                <w:szCs w:val="20"/>
              </w:rPr>
            </w:pPr>
            <w:r>
              <w:rPr>
                <w:sz w:val="20"/>
                <w:szCs w:val="20"/>
              </w:rPr>
              <w:t>Total Liabilities</w:t>
            </w:r>
          </w:p>
        </w:tc>
        <w:tc>
          <w:tcPr>
            <w:tcW w:w="50" w:type="pct"/>
            <w:shd w:val="clear" w:color="auto" w:fill="CCEEFF"/>
            <w:vAlign w:val="bottom"/>
            <w:hideMark/>
          </w:tcPr>
          <w:p w14:paraId="6976B09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9629CDB"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7282FEA" w14:textId="77777777" w:rsidR="00000000" w:rsidRDefault="007E65A2">
            <w:pPr>
              <w:jc w:val="right"/>
              <w:rPr>
                <w:rFonts w:eastAsia="Times New Roman"/>
                <w:sz w:val="20"/>
                <w:szCs w:val="20"/>
              </w:rPr>
            </w:pPr>
            <w:r>
              <w:rPr>
                <w:rFonts w:eastAsia="Times New Roman"/>
                <w:sz w:val="20"/>
                <w:szCs w:val="20"/>
              </w:rPr>
              <w:t>1,030,167</w:t>
            </w:r>
          </w:p>
        </w:tc>
        <w:tc>
          <w:tcPr>
            <w:tcW w:w="50" w:type="pct"/>
            <w:shd w:val="clear" w:color="auto" w:fill="CCEEFF"/>
            <w:vAlign w:val="bottom"/>
            <w:hideMark/>
          </w:tcPr>
          <w:p w14:paraId="4BC2D9E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D2D7D9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53785B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E125782" w14:textId="77777777" w:rsidR="00000000" w:rsidRDefault="007E65A2">
            <w:pPr>
              <w:jc w:val="right"/>
              <w:rPr>
                <w:rFonts w:eastAsia="Times New Roman"/>
                <w:sz w:val="20"/>
                <w:szCs w:val="20"/>
              </w:rPr>
            </w:pPr>
            <w:r>
              <w:rPr>
                <w:rFonts w:eastAsia="Times New Roman"/>
                <w:sz w:val="20"/>
                <w:szCs w:val="20"/>
              </w:rPr>
              <w:t>1,904,064</w:t>
            </w:r>
          </w:p>
        </w:tc>
        <w:tc>
          <w:tcPr>
            <w:tcW w:w="50" w:type="pct"/>
            <w:shd w:val="clear" w:color="auto" w:fill="CCEEFF"/>
            <w:vAlign w:val="bottom"/>
            <w:hideMark/>
          </w:tcPr>
          <w:p w14:paraId="00B40ABF" w14:textId="77777777" w:rsidR="00000000" w:rsidRDefault="007E65A2">
            <w:pPr>
              <w:pStyle w:val="a3"/>
              <w:spacing w:before="0" w:beforeAutospacing="0" w:after="0" w:afterAutospacing="0"/>
              <w:jc w:val="both"/>
              <w:rPr>
                <w:sz w:val="20"/>
                <w:szCs w:val="20"/>
              </w:rPr>
            </w:pPr>
            <w:r>
              <w:rPr>
                <w:sz w:val="20"/>
                <w:szCs w:val="20"/>
              </w:rPr>
              <w:t> </w:t>
            </w:r>
          </w:p>
        </w:tc>
      </w:tr>
      <w:tr w:rsidR="00000000" w14:paraId="51C4908B" w14:textId="77777777">
        <w:trPr>
          <w:divId w:val="911279972"/>
          <w:tblCellSpacing w:w="0" w:type="dxa"/>
        </w:trPr>
        <w:tc>
          <w:tcPr>
            <w:tcW w:w="0" w:type="auto"/>
            <w:shd w:val="clear" w:color="auto" w:fill="FFFFFF"/>
            <w:vAlign w:val="center"/>
            <w:hideMark/>
          </w:tcPr>
          <w:p w14:paraId="06F2D84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D60C79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4D6DF1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23939A6"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865980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C87299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852DA1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D85C7EC"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0539694" w14:textId="77777777" w:rsidR="00000000" w:rsidRDefault="007E65A2">
            <w:pPr>
              <w:pStyle w:val="a3"/>
              <w:spacing w:before="0" w:beforeAutospacing="0" w:after="0" w:afterAutospacing="0"/>
              <w:jc w:val="both"/>
              <w:rPr>
                <w:sz w:val="20"/>
                <w:szCs w:val="20"/>
              </w:rPr>
            </w:pPr>
            <w:r>
              <w:rPr>
                <w:sz w:val="20"/>
                <w:szCs w:val="20"/>
              </w:rPr>
              <w:t> </w:t>
            </w:r>
          </w:p>
        </w:tc>
      </w:tr>
      <w:tr w:rsidR="00000000" w14:paraId="113CC7C9" w14:textId="77777777">
        <w:trPr>
          <w:divId w:val="911279972"/>
          <w:tblCellSpacing w:w="0" w:type="dxa"/>
        </w:trPr>
        <w:tc>
          <w:tcPr>
            <w:tcW w:w="0" w:type="auto"/>
            <w:shd w:val="clear" w:color="auto" w:fill="CCEEFF"/>
            <w:hideMark/>
          </w:tcPr>
          <w:p w14:paraId="7CEA0A2C" w14:textId="77777777" w:rsidR="00000000" w:rsidRDefault="007E65A2">
            <w:pPr>
              <w:pStyle w:val="a3"/>
              <w:spacing w:before="0" w:beforeAutospacing="0" w:after="0" w:afterAutospacing="0"/>
              <w:jc w:val="both"/>
              <w:rPr>
                <w:sz w:val="20"/>
                <w:szCs w:val="20"/>
              </w:rPr>
            </w:pPr>
            <w:r>
              <w:rPr>
                <w:sz w:val="20"/>
                <w:szCs w:val="20"/>
              </w:rPr>
              <w:t>Stockholders’ Deficit:</w:t>
            </w:r>
          </w:p>
        </w:tc>
        <w:tc>
          <w:tcPr>
            <w:tcW w:w="50" w:type="pct"/>
            <w:shd w:val="clear" w:color="auto" w:fill="CCEEFF"/>
            <w:vAlign w:val="bottom"/>
            <w:hideMark/>
          </w:tcPr>
          <w:p w14:paraId="3995267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9F2172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76DE35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5DB6793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C54DDD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CF570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34B4E50"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4B081C91" w14:textId="77777777" w:rsidR="00000000" w:rsidRDefault="007E65A2">
            <w:pPr>
              <w:pStyle w:val="a3"/>
              <w:spacing w:before="0" w:beforeAutospacing="0" w:after="0" w:afterAutospacing="0"/>
              <w:jc w:val="both"/>
              <w:rPr>
                <w:sz w:val="20"/>
                <w:szCs w:val="20"/>
              </w:rPr>
            </w:pPr>
            <w:r>
              <w:rPr>
                <w:sz w:val="20"/>
                <w:szCs w:val="20"/>
              </w:rPr>
              <w:t> </w:t>
            </w:r>
          </w:p>
        </w:tc>
      </w:tr>
      <w:tr w:rsidR="00000000" w14:paraId="1E204693" w14:textId="77777777">
        <w:trPr>
          <w:divId w:val="911279972"/>
          <w:tblCellSpacing w:w="0" w:type="dxa"/>
        </w:trPr>
        <w:tc>
          <w:tcPr>
            <w:tcW w:w="0" w:type="auto"/>
            <w:shd w:val="clear" w:color="auto" w:fill="FFFFFF"/>
            <w:hideMark/>
          </w:tcPr>
          <w:p w14:paraId="63C92D14" w14:textId="77777777" w:rsidR="00000000" w:rsidRDefault="007E65A2">
            <w:pPr>
              <w:pStyle w:val="a3"/>
              <w:spacing w:before="0" w:beforeAutospacing="0" w:after="0" w:afterAutospacing="0"/>
              <w:ind w:left="225"/>
              <w:rPr>
                <w:sz w:val="20"/>
                <w:szCs w:val="20"/>
              </w:rPr>
            </w:pPr>
            <w:r>
              <w:rPr>
                <w:sz w:val="20"/>
                <w:szCs w:val="20"/>
              </w:rPr>
              <w:t xml:space="preserve">Convertible preferred stock, $0.0001 par value, 60,000,000 shares authorized, 9,750,000 and 5,000,000 shares issued and outstanding at June 30, 2019 and 2018, respectively </w:t>
            </w:r>
          </w:p>
        </w:tc>
        <w:tc>
          <w:tcPr>
            <w:tcW w:w="50" w:type="pct"/>
            <w:shd w:val="clear" w:color="auto" w:fill="FFFFFF"/>
            <w:vAlign w:val="bottom"/>
            <w:hideMark/>
          </w:tcPr>
          <w:p w14:paraId="37D347E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F7A81D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9D43141" w14:textId="77777777" w:rsidR="00000000" w:rsidRDefault="007E65A2">
            <w:pPr>
              <w:jc w:val="right"/>
              <w:rPr>
                <w:rFonts w:eastAsia="Times New Roman"/>
                <w:sz w:val="20"/>
                <w:szCs w:val="20"/>
              </w:rPr>
            </w:pPr>
            <w:r>
              <w:rPr>
                <w:rFonts w:eastAsia="Times New Roman"/>
                <w:sz w:val="20"/>
                <w:szCs w:val="20"/>
              </w:rPr>
              <w:t>975</w:t>
            </w:r>
          </w:p>
        </w:tc>
        <w:tc>
          <w:tcPr>
            <w:tcW w:w="50" w:type="pct"/>
            <w:shd w:val="clear" w:color="auto" w:fill="FFFFFF"/>
            <w:vAlign w:val="bottom"/>
            <w:hideMark/>
          </w:tcPr>
          <w:p w14:paraId="3C72792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E9DE41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A4539C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CC649D5" w14:textId="77777777" w:rsidR="00000000" w:rsidRDefault="007E65A2">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14:paraId="4E0B2F3E" w14:textId="77777777" w:rsidR="00000000" w:rsidRDefault="007E65A2">
            <w:pPr>
              <w:pStyle w:val="a3"/>
              <w:spacing w:before="0" w:beforeAutospacing="0" w:after="0" w:afterAutospacing="0"/>
              <w:jc w:val="both"/>
              <w:rPr>
                <w:sz w:val="20"/>
                <w:szCs w:val="20"/>
              </w:rPr>
            </w:pPr>
            <w:r>
              <w:rPr>
                <w:sz w:val="20"/>
                <w:szCs w:val="20"/>
              </w:rPr>
              <w:t> </w:t>
            </w:r>
          </w:p>
        </w:tc>
      </w:tr>
      <w:tr w:rsidR="00000000" w14:paraId="3C56DB3A" w14:textId="77777777">
        <w:trPr>
          <w:divId w:val="911279972"/>
          <w:tblCellSpacing w:w="0" w:type="dxa"/>
        </w:trPr>
        <w:tc>
          <w:tcPr>
            <w:tcW w:w="0" w:type="auto"/>
            <w:shd w:val="clear" w:color="auto" w:fill="CCEEFF"/>
            <w:hideMark/>
          </w:tcPr>
          <w:p w14:paraId="57404234" w14:textId="77777777" w:rsidR="00000000" w:rsidRDefault="007E65A2">
            <w:pPr>
              <w:pStyle w:val="a3"/>
              <w:spacing w:before="0" w:beforeAutospacing="0" w:after="0" w:afterAutospacing="0"/>
              <w:ind w:left="225"/>
              <w:rPr>
                <w:sz w:val="20"/>
                <w:szCs w:val="20"/>
              </w:rPr>
            </w:pPr>
            <w:r>
              <w:rPr>
                <w:sz w:val="20"/>
                <w:szCs w:val="20"/>
              </w:rPr>
              <w:t>Common stock, $0.0001 par value, 6,000,000,000 shares authoriz</w:t>
            </w:r>
            <w:r>
              <w:rPr>
                <w:sz w:val="20"/>
                <w:szCs w:val="20"/>
              </w:rPr>
              <w:t xml:space="preserve">ed, 5,095,935,524 and 1,240,477,060 shares issued and outstanding at June 30, 2019 and 2018, respectively </w:t>
            </w:r>
          </w:p>
        </w:tc>
        <w:tc>
          <w:tcPr>
            <w:tcW w:w="50" w:type="pct"/>
            <w:shd w:val="clear" w:color="auto" w:fill="CCEEFF"/>
            <w:vAlign w:val="bottom"/>
            <w:hideMark/>
          </w:tcPr>
          <w:p w14:paraId="5738A5B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339919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292B488" w14:textId="77777777" w:rsidR="00000000" w:rsidRDefault="007E65A2">
            <w:pPr>
              <w:jc w:val="right"/>
              <w:rPr>
                <w:rFonts w:eastAsia="Times New Roman"/>
                <w:sz w:val="20"/>
                <w:szCs w:val="20"/>
              </w:rPr>
            </w:pPr>
            <w:r>
              <w:rPr>
                <w:rFonts w:eastAsia="Times New Roman"/>
                <w:sz w:val="20"/>
                <w:szCs w:val="20"/>
              </w:rPr>
              <w:t>509,593</w:t>
            </w:r>
          </w:p>
        </w:tc>
        <w:tc>
          <w:tcPr>
            <w:tcW w:w="50" w:type="pct"/>
            <w:shd w:val="clear" w:color="auto" w:fill="CCEEFF"/>
            <w:vAlign w:val="bottom"/>
            <w:hideMark/>
          </w:tcPr>
          <w:p w14:paraId="1124901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2B95FA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C988A6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30346DF" w14:textId="77777777" w:rsidR="00000000" w:rsidRDefault="007E65A2">
            <w:pPr>
              <w:jc w:val="right"/>
              <w:rPr>
                <w:rFonts w:eastAsia="Times New Roman"/>
                <w:sz w:val="20"/>
                <w:szCs w:val="20"/>
              </w:rPr>
            </w:pPr>
            <w:r>
              <w:rPr>
                <w:rFonts w:eastAsia="Times New Roman"/>
                <w:sz w:val="20"/>
                <w:szCs w:val="20"/>
              </w:rPr>
              <w:t>124,047</w:t>
            </w:r>
          </w:p>
        </w:tc>
        <w:tc>
          <w:tcPr>
            <w:tcW w:w="50" w:type="pct"/>
            <w:shd w:val="clear" w:color="auto" w:fill="CCEEFF"/>
            <w:vAlign w:val="bottom"/>
            <w:hideMark/>
          </w:tcPr>
          <w:p w14:paraId="0FC2B999" w14:textId="77777777" w:rsidR="00000000" w:rsidRDefault="007E65A2">
            <w:pPr>
              <w:pStyle w:val="a3"/>
              <w:spacing w:before="0" w:beforeAutospacing="0" w:after="0" w:afterAutospacing="0"/>
              <w:jc w:val="both"/>
              <w:rPr>
                <w:sz w:val="20"/>
                <w:szCs w:val="20"/>
              </w:rPr>
            </w:pPr>
            <w:r>
              <w:rPr>
                <w:sz w:val="20"/>
                <w:szCs w:val="20"/>
              </w:rPr>
              <w:t> </w:t>
            </w:r>
          </w:p>
        </w:tc>
      </w:tr>
      <w:tr w:rsidR="00000000" w14:paraId="70961526" w14:textId="77777777">
        <w:trPr>
          <w:divId w:val="911279972"/>
          <w:tblCellSpacing w:w="0" w:type="dxa"/>
        </w:trPr>
        <w:tc>
          <w:tcPr>
            <w:tcW w:w="0" w:type="auto"/>
            <w:shd w:val="clear" w:color="auto" w:fill="FFFFFF"/>
            <w:hideMark/>
          </w:tcPr>
          <w:p w14:paraId="6B252632" w14:textId="77777777" w:rsidR="00000000" w:rsidRDefault="007E65A2">
            <w:pPr>
              <w:pStyle w:val="a3"/>
              <w:spacing w:before="0" w:beforeAutospacing="0" w:after="0" w:afterAutospacing="0"/>
              <w:ind w:left="225"/>
              <w:jc w:val="both"/>
              <w:rPr>
                <w:sz w:val="20"/>
                <w:szCs w:val="20"/>
              </w:rPr>
            </w:pPr>
            <w:r>
              <w:rPr>
                <w:sz w:val="20"/>
                <w:szCs w:val="20"/>
              </w:rPr>
              <w:t>Additional paid-in capital</w:t>
            </w:r>
          </w:p>
        </w:tc>
        <w:tc>
          <w:tcPr>
            <w:tcW w:w="50" w:type="pct"/>
            <w:shd w:val="clear" w:color="auto" w:fill="FFFFFF"/>
            <w:vAlign w:val="bottom"/>
            <w:hideMark/>
          </w:tcPr>
          <w:p w14:paraId="0B373C1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109C00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E18E625" w14:textId="77777777" w:rsidR="00000000" w:rsidRDefault="007E65A2">
            <w:pPr>
              <w:jc w:val="right"/>
              <w:rPr>
                <w:rFonts w:eastAsia="Times New Roman"/>
                <w:sz w:val="20"/>
                <w:szCs w:val="20"/>
              </w:rPr>
            </w:pPr>
            <w:r>
              <w:rPr>
                <w:rFonts w:eastAsia="Times New Roman"/>
                <w:sz w:val="20"/>
                <w:szCs w:val="20"/>
              </w:rPr>
              <w:t>6,308,023</w:t>
            </w:r>
          </w:p>
        </w:tc>
        <w:tc>
          <w:tcPr>
            <w:tcW w:w="50" w:type="pct"/>
            <w:shd w:val="clear" w:color="auto" w:fill="FFFFFF"/>
            <w:vAlign w:val="bottom"/>
            <w:hideMark/>
          </w:tcPr>
          <w:p w14:paraId="2C42013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B358AC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019A81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35181CD" w14:textId="77777777" w:rsidR="00000000" w:rsidRDefault="007E65A2">
            <w:pPr>
              <w:jc w:val="right"/>
              <w:rPr>
                <w:rFonts w:eastAsia="Times New Roman"/>
                <w:sz w:val="20"/>
                <w:szCs w:val="20"/>
              </w:rPr>
            </w:pPr>
            <w:r>
              <w:rPr>
                <w:rFonts w:eastAsia="Times New Roman"/>
                <w:sz w:val="20"/>
                <w:szCs w:val="20"/>
              </w:rPr>
              <w:t>4,740,277</w:t>
            </w:r>
          </w:p>
        </w:tc>
        <w:tc>
          <w:tcPr>
            <w:tcW w:w="50" w:type="pct"/>
            <w:shd w:val="clear" w:color="auto" w:fill="FFFFFF"/>
            <w:vAlign w:val="bottom"/>
            <w:hideMark/>
          </w:tcPr>
          <w:p w14:paraId="68ED3EFB" w14:textId="77777777" w:rsidR="00000000" w:rsidRDefault="007E65A2">
            <w:pPr>
              <w:pStyle w:val="a3"/>
              <w:spacing w:before="0" w:beforeAutospacing="0" w:after="0" w:afterAutospacing="0"/>
              <w:jc w:val="both"/>
              <w:rPr>
                <w:sz w:val="20"/>
                <w:szCs w:val="20"/>
              </w:rPr>
            </w:pPr>
            <w:r>
              <w:rPr>
                <w:sz w:val="20"/>
                <w:szCs w:val="20"/>
              </w:rPr>
              <w:t> </w:t>
            </w:r>
          </w:p>
        </w:tc>
      </w:tr>
      <w:tr w:rsidR="00000000" w14:paraId="0D1A80D3" w14:textId="77777777">
        <w:trPr>
          <w:divId w:val="911279972"/>
          <w:tblCellSpacing w:w="0" w:type="dxa"/>
        </w:trPr>
        <w:tc>
          <w:tcPr>
            <w:tcW w:w="0" w:type="auto"/>
            <w:shd w:val="clear" w:color="auto" w:fill="CCEEFF"/>
            <w:hideMark/>
          </w:tcPr>
          <w:p w14:paraId="48B64E36" w14:textId="77777777" w:rsidR="00000000" w:rsidRDefault="007E65A2">
            <w:pPr>
              <w:pStyle w:val="a3"/>
              <w:spacing w:before="0" w:beforeAutospacing="0" w:after="0" w:afterAutospacing="0"/>
              <w:ind w:left="225"/>
              <w:jc w:val="both"/>
              <w:rPr>
                <w:sz w:val="20"/>
                <w:szCs w:val="20"/>
              </w:rPr>
            </w:pPr>
            <w:r>
              <w:rPr>
                <w:sz w:val="20"/>
                <w:szCs w:val="20"/>
              </w:rPr>
              <w:t>Stock payable</w:t>
            </w:r>
          </w:p>
        </w:tc>
        <w:tc>
          <w:tcPr>
            <w:tcW w:w="50" w:type="pct"/>
            <w:shd w:val="clear" w:color="auto" w:fill="CCEEFF"/>
            <w:vAlign w:val="bottom"/>
            <w:hideMark/>
          </w:tcPr>
          <w:p w14:paraId="14E34DC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F2A9A4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06EC78D" w14:textId="77777777" w:rsidR="00000000" w:rsidRDefault="007E65A2">
            <w:pPr>
              <w:jc w:val="right"/>
              <w:rPr>
                <w:rFonts w:eastAsia="Times New Roman"/>
                <w:sz w:val="20"/>
                <w:szCs w:val="20"/>
              </w:rPr>
            </w:pPr>
            <w:r>
              <w:rPr>
                <w:rFonts w:eastAsia="Times New Roman"/>
                <w:sz w:val="20"/>
                <w:szCs w:val="20"/>
              </w:rPr>
              <w:t>47,727</w:t>
            </w:r>
          </w:p>
        </w:tc>
        <w:tc>
          <w:tcPr>
            <w:tcW w:w="50" w:type="pct"/>
            <w:shd w:val="clear" w:color="auto" w:fill="CCEEFF"/>
            <w:vAlign w:val="bottom"/>
            <w:hideMark/>
          </w:tcPr>
          <w:p w14:paraId="44EA59F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D8B431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299665B"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1F86FED" w14:textId="77777777" w:rsidR="00000000" w:rsidRDefault="007E65A2">
            <w:pPr>
              <w:jc w:val="right"/>
              <w:rPr>
                <w:rFonts w:eastAsia="Times New Roman"/>
                <w:sz w:val="20"/>
                <w:szCs w:val="20"/>
              </w:rPr>
            </w:pPr>
            <w:r>
              <w:rPr>
                <w:rFonts w:eastAsia="Times New Roman"/>
                <w:sz w:val="20"/>
                <w:szCs w:val="20"/>
              </w:rPr>
              <w:t>62,727</w:t>
            </w:r>
          </w:p>
        </w:tc>
        <w:tc>
          <w:tcPr>
            <w:tcW w:w="50" w:type="pct"/>
            <w:shd w:val="clear" w:color="auto" w:fill="CCEEFF"/>
            <w:vAlign w:val="bottom"/>
            <w:hideMark/>
          </w:tcPr>
          <w:p w14:paraId="52EA99C8" w14:textId="77777777" w:rsidR="00000000" w:rsidRDefault="007E65A2">
            <w:pPr>
              <w:pStyle w:val="a3"/>
              <w:spacing w:before="0" w:beforeAutospacing="0" w:after="0" w:afterAutospacing="0"/>
              <w:jc w:val="both"/>
              <w:rPr>
                <w:sz w:val="20"/>
                <w:szCs w:val="20"/>
              </w:rPr>
            </w:pPr>
            <w:r>
              <w:rPr>
                <w:sz w:val="20"/>
                <w:szCs w:val="20"/>
              </w:rPr>
              <w:t> </w:t>
            </w:r>
          </w:p>
        </w:tc>
      </w:tr>
      <w:tr w:rsidR="00000000" w14:paraId="4AE8CF00" w14:textId="77777777">
        <w:trPr>
          <w:divId w:val="911279972"/>
          <w:tblCellSpacing w:w="0" w:type="dxa"/>
        </w:trPr>
        <w:tc>
          <w:tcPr>
            <w:tcW w:w="0" w:type="auto"/>
            <w:shd w:val="clear" w:color="auto" w:fill="FFFFFF"/>
            <w:hideMark/>
          </w:tcPr>
          <w:p w14:paraId="4CCCD919" w14:textId="77777777" w:rsidR="00000000" w:rsidRDefault="007E65A2">
            <w:pPr>
              <w:pStyle w:val="a3"/>
              <w:spacing w:before="0" w:beforeAutospacing="0" w:after="0" w:afterAutospacing="0"/>
              <w:ind w:left="225"/>
              <w:jc w:val="both"/>
              <w:rPr>
                <w:sz w:val="20"/>
                <w:szCs w:val="20"/>
              </w:rPr>
            </w:pPr>
            <w:r>
              <w:rPr>
                <w:sz w:val="20"/>
                <w:szCs w:val="20"/>
              </w:rPr>
              <w:t>Accumulated deficit</w:t>
            </w:r>
          </w:p>
        </w:tc>
        <w:tc>
          <w:tcPr>
            <w:tcW w:w="50" w:type="pct"/>
            <w:shd w:val="clear" w:color="auto" w:fill="FFFFFF"/>
            <w:vAlign w:val="bottom"/>
            <w:hideMark/>
          </w:tcPr>
          <w:p w14:paraId="69B161A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54FB5D9D"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4A43411A" w14:textId="77777777" w:rsidR="00000000" w:rsidRDefault="007E65A2">
            <w:pPr>
              <w:jc w:val="right"/>
              <w:rPr>
                <w:rFonts w:eastAsia="Times New Roman"/>
                <w:sz w:val="20"/>
                <w:szCs w:val="20"/>
              </w:rPr>
            </w:pPr>
            <w:r>
              <w:rPr>
                <w:rFonts w:eastAsia="Times New Roman"/>
                <w:sz w:val="20"/>
                <w:szCs w:val="20"/>
              </w:rPr>
              <w:t>(7,841,929</w:t>
            </w:r>
          </w:p>
        </w:tc>
        <w:tc>
          <w:tcPr>
            <w:tcW w:w="50" w:type="pct"/>
            <w:shd w:val="clear" w:color="auto" w:fill="FFFFFF"/>
            <w:tcMar>
              <w:top w:w="0" w:type="dxa"/>
              <w:left w:w="0" w:type="dxa"/>
              <w:bottom w:w="15" w:type="dxa"/>
              <w:right w:w="0" w:type="dxa"/>
            </w:tcMar>
            <w:vAlign w:val="bottom"/>
            <w:hideMark/>
          </w:tcPr>
          <w:p w14:paraId="11255FF6"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61DF07DA"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443D2BD5"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79C76AF5" w14:textId="77777777" w:rsidR="00000000" w:rsidRDefault="007E65A2">
            <w:pPr>
              <w:jc w:val="right"/>
              <w:rPr>
                <w:rFonts w:eastAsia="Times New Roman"/>
                <w:sz w:val="20"/>
                <w:szCs w:val="20"/>
              </w:rPr>
            </w:pPr>
            <w:r>
              <w:rPr>
                <w:rFonts w:eastAsia="Times New Roman"/>
                <w:sz w:val="20"/>
                <w:szCs w:val="20"/>
              </w:rPr>
              <w:t>(6,777,119</w:t>
            </w:r>
          </w:p>
        </w:tc>
        <w:tc>
          <w:tcPr>
            <w:tcW w:w="50" w:type="pct"/>
            <w:shd w:val="clear" w:color="auto" w:fill="FFFFFF"/>
            <w:tcMar>
              <w:top w:w="0" w:type="dxa"/>
              <w:left w:w="0" w:type="dxa"/>
              <w:bottom w:w="15" w:type="dxa"/>
              <w:right w:w="0" w:type="dxa"/>
            </w:tcMar>
            <w:vAlign w:val="bottom"/>
            <w:hideMark/>
          </w:tcPr>
          <w:p w14:paraId="725F3E60" w14:textId="77777777" w:rsidR="00000000" w:rsidRDefault="007E65A2">
            <w:pPr>
              <w:jc w:val="both"/>
              <w:rPr>
                <w:rFonts w:eastAsia="Times New Roman"/>
                <w:sz w:val="20"/>
                <w:szCs w:val="20"/>
              </w:rPr>
            </w:pPr>
            <w:r>
              <w:rPr>
                <w:rFonts w:eastAsia="Times New Roman"/>
                <w:sz w:val="20"/>
                <w:szCs w:val="20"/>
              </w:rPr>
              <w:t>)</w:t>
            </w:r>
          </w:p>
        </w:tc>
      </w:tr>
      <w:tr w:rsidR="00000000" w14:paraId="306C6E89" w14:textId="77777777">
        <w:trPr>
          <w:divId w:val="911279972"/>
          <w:tblCellSpacing w:w="0" w:type="dxa"/>
        </w:trPr>
        <w:tc>
          <w:tcPr>
            <w:tcW w:w="0" w:type="auto"/>
            <w:shd w:val="clear" w:color="auto" w:fill="CCEEFF"/>
            <w:hideMark/>
          </w:tcPr>
          <w:p w14:paraId="605A2304" w14:textId="77777777" w:rsidR="00000000" w:rsidRDefault="007E65A2">
            <w:pPr>
              <w:pStyle w:val="a3"/>
              <w:spacing w:before="0" w:beforeAutospacing="0" w:after="0" w:afterAutospacing="0"/>
              <w:jc w:val="both"/>
              <w:rPr>
                <w:sz w:val="20"/>
                <w:szCs w:val="20"/>
              </w:rPr>
            </w:pPr>
            <w:r>
              <w:rPr>
                <w:sz w:val="20"/>
                <w:szCs w:val="20"/>
              </w:rPr>
              <w:t>Total Stockholders’ Deficit</w:t>
            </w:r>
          </w:p>
        </w:tc>
        <w:tc>
          <w:tcPr>
            <w:tcW w:w="50" w:type="pct"/>
            <w:shd w:val="clear" w:color="auto" w:fill="CCEEFF"/>
            <w:vAlign w:val="bottom"/>
            <w:hideMark/>
          </w:tcPr>
          <w:p w14:paraId="7CFE3F7E"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40D6CC52"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0B692FE6" w14:textId="77777777" w:rsidR="00000000" w:rsidRDefault="007E65A2">
            <w:pPr>
              <w:jc w:val="right"/>
              <w:rPr>
                <w:rFonts w:eastAsia="Times New Roman"/>
                <w:sz w:val="20"/>
                <w:szCs w:val="20"/>
              </w:rPr>
            </w:pPr>
            <w:r>
              <w:rPr>
                <w:rFonts w:eastAsia="Times New Roman"/>
                <w:sz w:val="20"/>
                <w:szCs w:val="20"/>
              </w:rPr>
              <w:t>(975,611</w:t>
            </w:r>
          </w:p>
        </w:tc>
        <w:tc>
          <w:tcPr>
            <w:tcW w:w="50" w:type="pct"/>
            <w:shd w:val="clear" w:color="auto" w:fill="CCEEFF"/>
            <w:tcMar>
              <w:top w:w="0" w:type="dxa"/>
              <w:left w:w="0" w:type="dxa"/>
              <w:bottom w:w="15" w:type="dxa"/>
              <w:right w:w="0" w:type="dxa"/>
            </w:tcMar>
            <w:vAlign w:val="bottom"/>
            <w:hideMark/>
          </w:tcPr>
          <w:p w14:paraId="5D5F3051"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27CD823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20A772B"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368A5CA7" w14:textId="77777777" w:rsidR="00000000" w:rsidRDefault="007E65A2">
            <w:pPr>
              <w:jc w:val="right"/>
              <w:rPr>
                <w:rFonts w:eastAsia="Times New Roman"/>
                <w:sz w:val="20"/>
                <w:szCs w:val="20"/>
              </w:rPr>
            </w:pPr>
            <w:r>
              <w:rPr>
                <w:rFonts w:eastAsia="Times New Roman"/>
                <w:sz w:val="20"/>
                <w:szCs w:val="20"/>
              </w:rPr>
              <w:t>(1,849,568</w:t>
            </w:r>
          </w:p>
        </w:tc>
        <w:tc>
          <w:tcPr>
            <w:tcW w:w="50" w:type="pct"/>
            <w:shd w:val="clear" w:color="auto" w:fill="CCEEFF"/>
            <w:tcMar>
              <w:top w:w="0" w:type="dxa"/>
              <w:left w:w="0" w:type="dxa"/>
              <w:bottom w:w="15" w:type="dxa"/>
              <w:right w:w="0" w:type="dxa"/>
            </w:tcMar>
            <w:vAlign w:val="bottom"/>
            <w:hideMark/>
          </w:tcPr>
          <w:p w14:paraId="751136B3" w14:textId="77777777" w:rsidR="00000000" w:rsidRDefault="007E65A2">
            <w:pPr>
              <w:jc w:val="both"/>
              <w:rPr>
                <w:rFonts w:eastAsia="Times New Roman"/>
                <w:sz w:val="20"/>
                <w:szCs w:val="20"/>
              </w:rPr>
            </w:pPr>
            <w:r>
              <w:rPr>
                <w:rFonts w:eastAsia="Times New Roman"/>
                <w:sz w:val="20"/>
                <w:szCs w:val="20"/>
              </w:rPr>
              <w:t>)</w:t>
            </w:r>
          </w:p>
        </w:tc>
      </w:tr>
      <w:tr w:rsidR="00000000" w14:paraId="3144054B" w14:textId="77777777">
        <w:trPr>
          <w:divId w:val="911279972"/>
          <w:tblCellSpacing w:w="0" w:type="dxa"/>
        </w:trPr>
        <w:tc>
          <w:tcPr>
            <w:tcW w:w="0" w:type="auto"/>
            <w:shd w:val="clear" w:color="auto" w:fill="FFFFFF"/>
            <w:hideMark/>
          </w:tcPr>
          <w:p w14:paraId="4AD93AD6" w14:textId="77777777" w:rsidR="00000000" w:rsidRDefault="007E65A2">
            <w:pPr>
              <w:pStyle w:val="a3"/>
              <w:spacing w:before="0" w:beforeAutospacing="0" w:after="0" w:afterAutospacing="0"/>
              <w:jc w:val="both"/>
              <w:rPr>
                <w:sz w:val="20"/>
                <w:szCs w:val="20"/>
              </w:rPr>
            </w:pPr>
            <w:r>
              <w:rPr>
                <w:b/>
                <w:bCs/>
                <w:sz w:val="20"/>
                <w:szCs w:val="20"/>
              </w:rPr>
              <w:t>TOTAL LIABILITIES AND STOCKHOLDERS’ DEFICIT</w:t>
            </w:r>
          </w:p>
        </w:tc>
        <w:tc>
          <w:tcPr>
            <w:tcW w:w="50" w:type="pct"/>
            <w:shd w:val="clear" w:color="auto" w:fill="FFFFFF"/>
            <w:vAlign w:val="bottom"/>
            <w:hideMark/>
          </w:tcPr>
          <w:p w14:paraId="0AB2FF02"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0FEDAC59"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2BF983C9" w14:textId="77777777" w:rsidR="00000000" w:rsidRDefault="007E65A2">
            <w:pPr>
              <w:jc w:val="right"/>
              <w:rPr>
                <w:rFonts w:eastAsia="Times New Roman"/>
                <w:sz w:val="20"/>
                <w:szCs w:val="20"/>
              </w:rPr>
            </w:pPr>
            <w:r>
              <w:rPr>
                <w:rFonts w:eastAsia="Times New Roman"/>
                <w:sz w:val="20"/>
                <w:szCs w:val="20"/>
              </w:rPr>
              <w:t>54,556</w:t>
            </w:r>
          </w:p>
        </w:tc>
        <w:tc>
          <w:tcPr>
            <w:tcW w:w="50" w:type="pct"/>
            <w:shd w:val="clear" w:color="auto" w:fill="FFFFFF"/>
            <w:tcMar>
              <w:top w:w="0" w:type="dxa"/>
              <w:left w:w="0" w:type="dxa"/>
              <w:bottom w:w="15" w:type="dxa"/>
              <w:right w:w="0" w:type="dxa"/>
            </w:tcMar>
            <w:vAlign w:val="bottom"/>
            <w:hideMark/>
          </w:tcPr>
          <w:p w14:paraId="1E418B5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38C445A"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47271B2B"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FFFFFF"/>
            <w:vAlign w:val="bottom"/>
            <w:hideMark/>
          </w:tcPr>
          <w:p w14:paraId="424A1EBB" w14:textId="77777777" w:rsidR="00000000" w:rsidRDefault="007E65A2">
            <w:pPr>
              <w:jc w:val="right"/>
              <w:rPr>
                <w:rFonts w:eastAsia="Times New Roman"/>
                <w:sz w:val="20"/>
                <w:szCs w:val="20"/>
              </w:rPr>
            </w:pPr>
            <w:r>
              <w:rPr>
                <w:rFonts w:eastAsia="Times New Roman"/>
                <w:sz w:val="20"/>
                <w:szCs w:val="20"/>
              </w:rPr>
              <w:t>54,496</w:t>
            </w:r>
          </w:p>
        </w:tc>
        <w:tc>
          <w:tcPr>
            <w:tcW w:w="50" w:type="pct"/>
            <w:shd w:val="clear" w:color="auto" w:fill="FFFFFF"/>
            <w:tcMar>
              <w:top w:w="0" w:type="dxa"/>
              <w:left w:w="0" w:type="dxa"/>
              <w:bottom w:w="15" w:type="dxa"/>
              <w:right w:w="0" w:type="dxa"/>
            </w:tcMar>
            <w:vAlign w:val="bottom"/>
            <w:hideMark/>
          </w:tcPr>
          <w:p w14:paraId="3089CB2B" w14:textId="77777777" w:rsidR="00000000" w:rsidRDefault="007E65A2">
            <w:pPr>
              <w:pStyle w:val="a3"/>
              <w:spacing w:before="0" w:beforeAutospacing="0" w:after="0" w:afterAutospacing="0"/>
              <w:jc w:val="both"/>
              <w:rPr>
                <w:sz w:val="20"/>
                <w:szCs w:val="20"/>
              </w:rPr>
            </w:pPr>
            <w:r>
              <w:rPr>
                <w:sz w:val="20"/>
                <w:szCs w:val="20"/>
              </w:rPr>
              <w:t> </w:t>
            </w:r>
          </w:p>
        </w:tc>
      </w:tr>
    </w:tbl>
    <w:p w14:paraId="198BCB77" w14:textId="77777777" w:rsidR="00000000" w:rsidRDefault="007E65A2">
      <w:pPr>
        <w:pStyle w:val="a3"/>
        <w:spacing w:before="0" w:beforeAutospacing="0" w:after="0" w:afterAutospacing="0"/>
        <w:jc w:val="both"/>
        <w:divId w:val="911279972"/>
        <w:rPr>
          <w:sz w:val="20"/>
          <w:szCs w:val="20"/>
        </w:rPr>
      </w:pPr>
      <w:r>
        <w:rPr>
          <w:sz w:val="20"/>
          <w:szCs w:val="20"/>
        </w:rPr>
        <w:t> </w:t>
      </w:r>
    </w:p>
    <w:p w14:paraId="23095712" w14:textId="77777777" w:rsidR="00000000" w:rsidRDefault="007E65A2">
      <w:pPr>
        <w:pStyle w:val="a3"/>
        <w:spacing w:before="0" w:beforeAutospacing="0" w:after="0" w:afterAutospacing="0"/>
        <w:jc w:val="center"/>
        <w:divId w:val="911279972"/>
        <w:rPr>
          <w:sz w:val="20"/>
          <w:szCs w:val="20"/>
        </w:rPr>
      </w:pPr>
      <w:r>
        <w:rPr>
          <w:sz w:val="20"/>
          <w:szCs w:val="20"/>
        </w:rPr>
        <w:t>See accompanying notes to consolidated financial statements.</w:t>
      </w:r>
    </w:p>
    <w:p w14:paraId="385E01EA"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FAC43B3" w14:textId="77777777">
        <w:trPr>
          <w:divId w:val="911279972"/>
          <w:tblCellSpacing w:w="0" w:type="dxa"/>
        </w:trPr>
        <w:tc>
          <w:tcPr>
            <w:tcW w:w="0" w:type="auto"/>
            <w:vAlign w:val="center"/>
            <w:hideMark/>
          </w:tcPr>
          <w:p w14:paraId="097C4694" w14:textId="77777777" w:rsidR="00000000" w:rsidRDefault="007E65A2">
            <w:pPr>
              <w:rPr>
                <w:rFonts w:eastAsia="Times New Roman"/>
                <w:sz w:val="20"/>
                <w:szCs w:val="20"/>
              </w:rPr>
            </w:pPr>
            <w:r>
              <w:rPr>
                <w:rFonts w:eastAsia="Times New Roman"/>
                <w:sz w:val="20"/>
                <w:szCs w:val="20"/>
              </w:rPr>
              <w:t> </w:t>
            </w:r>
          </w:p>
        </w:tc>
      </w:tr>
      <w:tr w:rsidR="00000000" w14:paraId="4985D764" w14:textId="77777777">
        <w:trPr>
          <w:divId w:val="911279972"/>
          <w:tblCellSpacing w:w="0" w:type="dxa"/>
        </w:trPr>
        <w:tc>
          <w:tcPr>
            <w:tcW w:w="0" w:type="auto"/>
            <w:tcBorders>
              <w:bottom w:val="single" w:sz="6" w:space="0" w:color="000000"/>
            </w:tcBorders>
            <w:vAlign w:val="center"/>
            <w:hideMark/>
          </w:tcPr>
          <w:p w14:paraId="0EAE231D" w14:textId="77777777" w:rsidR="00000000" w:rsidRDefault="007E65A2">
            <w:pPr>
              <w:jc w:val="center"/>
              <w:rPr>
                <w:rFonts w:eastAsia="Times New Roman"/>
                <w:sz w:val="20"/>
                <w:szCs w:val="20"/>
              </w:rPr>
            </w:pPr>
            <w:r>
              <w:rPr>
                <w:rFonts w:eastAsia="Times New Roman"/>
                <w:sz w:val="20"/>
                <w:szCs w:val="20"/>
              </w:rPr>
              <w:t>F-3</w:t>
            </w:r>
          </w:p>
        </w:tc>
      </w:tr>
      <w:tr w:rsidR="00000000" w14:paraId="09E1637E" w14:textId="77777777">
        <w:trPr>
          <w:divId w:val="911279972"/>
          <w:tblCellSpacing w:w="0" w:type="dxa"/>
        </w:trPr>
        <w:tc>
          <w:tcPr>
            <w:tcW w:w="0" w:type="auto"/>
            <w:vAlign w:val="center"/>
            <w:hideMark/>
          </w:tcPr>
          <w:p w14:paraId="2EA4F896" w14:textId="77777777" w:rsidR="00000000" w:rsidRDefault="007E65A2">
            <w:pPr>
              <w:rPr>
                <w:rFonts w:eastAsia="Times New Roman"/>
                <w:sz w:val="20"/>
                <w:szCs w:val="20"/>
              </w:rPr>
            </w:pPr>
            <w:r>
              <w:rPr>
                <w:rFonts w:eastAsia="Times New Roman"/>
                <w:sz w:val="20"/>
                <w:szCs w:val="20"/>
              </w:rPr>
              <w:t> </w:t>
            </w:r>
          </w:p>
        </w:tc>
      </w:tr>
      <w:tr w:rsidR="00000000" w14:paraId="2CC38D84" w14:textId="77777777">
        <w:trPr>
          <w:divId w:val="911279972"/>
          <w:tblCellSpacing w:w="0" w:type="dxa"/>
        </w:trPr>
        <w:tc>
          <w:tcPr>
            <w:tcW w:w="0" w:type="auto"/>
            <w:vAlign w:val="center"/>
            <w:hideMark/>
          </w:tcPr>
          <w:p w14:paraId="26B299D0"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6518C955"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p w14:paraId="02F0AD8E" w14:textId="77777777" w:rsidR="00000000" w:rsidRDefault="007E65A2">
      <w:pPr>
        <w:pStyle w:val="a3"/>
        <w:spacing w:before="0" w:beforeAutospacing="0" w:after="0" w:afterAutospacing="0"/>
        <w:jc w:val="center"/>
        <w:divId w:val="911279972"/>
        <w:rPr>
          <w:sz w:val="20"/>
          <w:szCs w:val="20"/>
        </w:rPr>
      </w:pPr>
      <w:r>
        <w:rPr>
          <w:b/>
          <w:bCs/>
          <w:sz w:val="20"/>
          <w:szCs w:val="20"/>
        </w:rPr>
        <w:t>APPYEA, INC.</w:t>
      </w:r>
    </w:p>
    <w:p w14:paraId="663ED4BC" w14:textId="77777777" w:rsidR="00000000" w:rsidRDefault="007E65A2">
      <w:pPr>
        <w:pStyle w:val="a3"/>
        <w:spacing w:before="0" w:beforeAutospacing="0" w:after="0" w:afterAutospacing="0"/>
        <w:jc w:val="center"/>
        <w:divId w:val="911279972"/>
        <w:rPr>
          <w:sz w:val="20"/>
          <w:szCs w:val="20"/>
        </w:rPr>
      </w:pPr>
      <w:bookmarkStart w:id="17" w:name="CONSOLIDATED_STATEMENTS_OF_OPERATIONS"/>
      <w:r>
        <w:rPr>
          <w:b/>
          <w:bCs/>
          <w:sz w:val="20"/>
          <w:szCs w:val="20"/>
        </w:rPr>
        <w:t>CONSOLIDATED STATEMENTS OF OPERATIONS</w:t>
      </w:r>
      <w:bookmarkEnd w:id="17"/>
    </w:p>
    <w:p w14:paraId="13741A53"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87"/>
        <w:gridCol w:w="73"/>
        <w:gridCol w:w="100"/>
        <w:gridCol w:w="1150"/>
        <w:gridCol w:w="67"/>
        <w:gridCol w:w="62"/>
        <w:gridCol w:w="100"/>
        <w:gridCol w:w="1000"/>
        <w:gridCol w:w="67"/>
      </w:tblGrid>
      <w:tr w:rsidR="00000000" w14:paraId="672FC57A" w14:textId="77777777">
        <w:trPr>
          <w:divId w:val="911279972"/>
          <w:tblCellSpacing w:w="0" w:type="dxa"/>
        </w:trPr>
        <w:tc>
          <w:tcPr>
            <w:tcW w:w="0" w:type="auto"/>
            <w:vAlign w:val="bottom"/>
            <w:hideMark/>
          </w:tcPr>
          <w:p w14:paraId="6822AD7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15652A0A"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650A6E83" w14:textId="77777777" w:rsidR="00000000" w:rsidRDefault="007E65A2">
            <w:pPr>
              <w:pStyle w:val="a3"/>
              <w:spacing w:before="0" w:beforeAutospacing="0" w:after="0" w:afterAutospacing="0"/>
              <w:jc w:val="center"/>
              <w:rPr>
                <w:sz w:val="20"/>
                <w:szCs w:val="20"/>
              </w:rPr>
            </w:pPr>
            <w:r>
              <w:rPr>
                <w:b/>
                <w:bCs/>
                <w:sz w:val="20"/>
                <w:szCs w:val="20"/>
              </w:rPr>
              <w:t xml:space="preserve">Year Ended </w:t>
            </w:r>
          </w:p>
        </w:tc>
        <w:tc>
          <w:tcPr>
            <w:tcW w:w="0" w:type="auto"/>
            <w:vAlign w:val="bottom"/>
            <w:hideMark/>
          </w:tcPr>
          <w:p w14:paraId="5C3E9039" w14:textId="77777777" w:rsidR="00000000" w:rsidRDefault="007E65A2">
            <w:pPr>
              <w:pStyle w:val="a3"/>
              <w:spacing w:before="0" w:beforeAutospacing="0" w:after="0" w:afterAutospacing="0"/>
              <w:jc w:val="both"/>
              <w:rPr>
                <w:sz w:val="20"/>
                <w:szCs w:val="20"/>
              </w:rPr>
            </w:pPr>
            <w:r>
              <w:rPr>
                <w:sz w:val="20"/>
                <w:szCs w:val="20"/>
              </w:rPr>
              <w:t> </w:t>
            </w:r>
          </w:p>
        </w:tc>
      </w:tr>
      <w:tr w:rsidR="00000000" w14:paraId="1A8BFB79" w14:textId="77777777">
        <w:trPr>
          <w:divId w:val="911279972"/>
          <w:tblCellSpacing w:w="0" w:type="dxa"/>
        </w:trPr>
        <w:tc>
          <w:tcPr>
            <w:tcW w:w="0" w:type="auto"/>
            <w:vAlign w:val="bottom"/>
            <w:hideMark/>
          </w:tcPr>
          <w:p w14:paraId="2EB7D34E"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5D322616"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67EBF028" w14:textId="77777777" w:rsidR="00000000" w:rsidRDefault="007E65A2">
            <w:pPr>
              <w:pStyle w:val="a3"/>
              <w:spacing w:before="0" w:beforeAutospacing="0" w:after="0" w:afterAutospacing="0"/>
              <w:jc w:val="center"/>
              <w:rPr>
                <w:sz w:val="20"/>
                <w:szCs w:val="20"/>
              </w:rPr>
            </w:pPr>
            <w:r>
              <w:rPr>
                <w:b/>
                <w:bCs/>
                <w:sz w:val="20"/>
                <w:szCs w:val="20"/>
              </w:rPr>
              <w:t xml:space="preserve">June 30, </w:t>
            </w:r>
          </w:p>
        </w:tc>
        <w:tc>
          <w:tcPr>
            <w:tcW w:w="0" w:type="auto"/>
            <w:vAlign w:val="bottom"/>
            <w:hideMark/>
          </w:tcPr>
          <w:p w14:paraId="61692A63" w14:textId="77777777" w:rsidR="00000000" w:rsidRDefault="007E65A2">
            <w:pPr>
              <w:pStyle w:val="a3"/>
              <w:spacing w:before="0" w:beforeAutospacing="0" w:after="0" w:afterAutospacing="0"/>
              <w:jc w:val="both"/>
              <w:rPr>
                <w:sz w:val="20"/>
                <w:szCs w:val="20"/>
              </w:rPr>
            </w:pPr>
            <w:r>
              <w:rPr>
                <w:sz w:val="20"/>
                <w:szCs w:val="20"/>
              </w:rPr>
              <w:t> </w:t>
            </w:r>
          </w:p>
        </w:tc>
      </w:tr>
      <w:tr w:rsidR="00000000" w14:paraId="04224A46" w14:textId="77777777">
        <w:trPr>
          <w:divId w:val="911279972"/>
          <w:tblCellSpacing w:w="0" w:type="dxa"/>
        </w:trPr>
        <w:tc>
          <w:tcPr>
            <w:tcW w:w="0" w:type="auto"/>
            <w:vAlign w:val="bottom"/>
            <w:hideMark/>
          </w:tcPr>
          <w:p w14:paraId="073B0CD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F67D982"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4E104EC8"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2AB208D"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5A0CAF84"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33B6432E"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23C0896" w14:textId="77777777" w:rsidR="00000000" w:rsidRDefault="007E65A2">
            <w:pPr>
              <w:pStyle w:val="a3"/>
              <w:spacing w:before="0" w:beforeAutospacing="0" w:after="0" w:afterAutospacing="0"/>
              <w:jc w:val="both"/>
              <w:rPr>
                <w:sz w:val="20"/>
                <w:szCs w:val="20"/>
              </w:rPr>
            </w:pPr>
            <w:r>
              <w:rPr>
                <w:sz w:val="20"/>
                <w:szCs w:val="20"/>
              </w:rPr>
              <w:t> </w:t>
            </w:r>
          </w:p>
        </w:tc>
      </w:tr>
      <w:tr w:rsidR="00000000" w14:paraId="2D961134" w14:textId="77777777">
        <w:trPr>
          <w:divId w:val="911279972"/>
          <w:tblCellSpacing w:w="0" w:type="dxa"/>
        </w:trPr>
        <w:tc>
          <w:tcPr>
            <w:tcW w:w="0" w:type="auto"/>
            <w:vAlign w:val="center"/>
            <w:hideMark/>
          </w:tcPr>
          <w:p w14:paraId="32880292" w14:textId="77777777" w:rsidR="00000000" w:rsidRDefault="007E65A2">
            <w:pPr>
              <w:pStyle w:val="a3"/>
              <w:spacing w:before="0" w:beforeAutospacing="0" w:after="0" w:afterAutospacing="0"/>
              <w:jc w:val="both"/>
              <w:rPr>
                <w:sz w:val="20"/>
                <w:szCs w:val="20"/>
              </w:rPr>
            </w:pPr>
            <w:r>
              <w:rPr>
                <w:sz w:val="20"/>
                <w:szCs w:val="20"/>
              </w:rPr>
              <w:t> </w:t>
            </w:r>
          </w:p>
        </w:tc>
        <w:tc>
          <w:tcPr>
            <w:tcW w:w="50" w:type="pct"/>
            <w:vAlign w:val="bottom"/>
            <w:hideMark/>
          </w:tcPr>
          <w:p w14:paraId="26D77C26"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33C280DE" w14:textId="77777777" w:rsidR="00000000" w:rsidRDefault="007E65A2">
            <w:pPr>
              <w:pStyle w:val="a3"/>
              <w:spacing w:before="0" w:beforeAutospacing="0" w:after="0" w:afterAutospacing="0"/>
              <w:jc w:val="right"/>
              <w:rPr>
                <w:sz w:val="20"/>
                <w:szCs w:val="20"/>
              </w:rPr>
            </w:pPr>
            <w:r>
              <w:rPr>
                <w:sz w:val="20"/>
                <w:szCs w:val="20"/>
              </w:rPr>
              <w:t> </w:t>
            </w:r>
          </w:p>
        </w:tc>
        <w:tc>
          <w:tcPr>
            <w:tcW w:w="50" w:type="pct"/>
            <w:vAlign w:val="bottom"/>
            <w:hideMark/>
          </w:tcPr>
          <w:p w14:paraId="47D68DEE" w14:textId="77777777" w:rsidR="00000000" w:rsidRDefault="007E65A2">
            <w:pPr>
              <w:pStyle w:val="a3"/>
              <w:spacing w:before="0" w:beforeAutospacing="0" w:after="0" w:afterAutospacing="0"/>
              <w:jc w:val="both"/>
              <w:rPr>
                <w:sz w:val="20"/>
                <w:szCs w:val="20"/>
              </w:rPr>
            </w:pPr>
            <w:r>
              <w:rPr>
                <w:sz w:val="20"/>
                <w:szCs w:val="20"/>
              </w:rPr>
              <w:t> </w:t>
            </w:r>
          </w:p>
        </w:tc>
        <w:tc>
          <w:tcPr>
            <w:tcW w:w="50" w:type="pct"/>
            <w:vAlign w:val="bottom"/>
            <w:hideMark/>
          </w:tcPr>
          <w:p w14:paraId="0D0FAFAB"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2DD2DC2F" w14:textId="77777777" w:rsidR="00000000" w:rsidRDefault="007E65A2">
            <w:pPr>
              <w:pStyle w:val="a3"/>
              <w:spacing w:before="0" w:beforeAutospacing="0" w:after="0" w:afterAutospacing="0"/>
              <w:jc w:val="right"/>
              <w:rPr>
                <w:sz w:val="20"/>
                <w:szCs w:val="20"/>
              </w:rPr>
            </w:pPr>
            <w:r>
              <w:rPr>
                <w:sz w:val="20"/>
                <w:szCs w:val="20"/>
              </w:rPr>
              <w:t> </w:t>
            </w:r>
          </w:p>
        </w:tc>
        <w:tc>
          <w:tcPr>
            <w:tcW w:w="50" w:type="pct"/>
            <w:vAlign w:val="bottom"/>
            <w:hideMark/>
          </w:tcPr>
          <w:p w14:paraId="0D55BF3C" w14:textId="77777777" w:rsidR="00000000" w:rsidRDefault="007E65A2">
            <w:pPr>
              <w:pStyle w:val="a3"/>
              <w:spacing w:before="0" w:beforeAutospacing="0" w:after="0" w:afterAutospacing="0"/>
              <w:jc w:val="both"/>
              <w:rPr>
                <w:sz w:val="20"/>
                <w:szCs w:val="20"/>
              </w:rPr>
            </w:pPr>
            <w:r>
              <w:rPr>
                <w:sz w:val="20"/>
                <w:szCs w:val="20"/>
              </w:rPr>
              <w:t> </w:t>
            </w:r>
          </w:p>
        </w:tc>
      </w:tr>
      <w:tr w:rsidR="00000000" w14:paraId="6193521B" w14:textId="77777777">
        <w:trPr>
          <w:divId w:val="911279972"/>
          <w:tblCellSpacing w:w="0" w:type="dxa"/>
        </w:trPr>
        <w:tc>
          <w:tcPr>
            <w:tcW w:w="0" w:type="auto"/>
            <w:shd w:val="clear" w:color="auto" w:fill="CCEEFF"/>
            <w:hideMark/>
          </w:tcPr>
          <w:p w14:paraId="711EB867" w14:textId="77777777" w:rsidR="00000000" w:rsidRDefault="007E65A2">
            <w:pPr>
              <w:pStyle w:val="a3"/>
              <w:spacing w:before="0" w:beforeAutospacing="0" w:after="0" w:afterAutospacing="0"/>
              <w:jc w:val="both"/>
              <w:rPr>
                <w:sz w:val="20"/>
                <w:szCs w:val="20"/>
              </w:rPr>
            </w:pPr>
            <w:r>
              <w:rPr>
                <w:sz w:val="20"/>
                <w:szCs w:val="20"/>
              </w:rPr>
              <w:t>Revenues</w:t>
            </w:r>
          </w:p>
        </w:tc>
        <w:tc>
          <w:tcPr>
            <w:tcW w:w="50" w:type="pct"/>
            <w:shd w:val="clear" w:color="auto" w:fill="CCEEFF"/>
            <w:vAlign w:val="bottom"/>
            <w:hideMark/>
          </w:tcPr>
          <w:p w14:paraId="4295305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06B78A7"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60087B7" w14:textId="77777777" w:rsidR="00000000" w:rsidRDefault="007E65A2">
            <w:pPr>
              <w:jc w:val="right"/>
              <w:rPr>
                <w:rFonts w:eastAsia="Times New Roman"/>
                <w:sz w:val="20"/>
                <w:szCs w:val="20"/>
              </w:rPr>
            </w:pPr>
            <w:r>
              <w:rPr>
                <w:rFonts w:eastAsia="Times New Roman"/>
                <w:sz w:val="20"/>
                <w:szCs w:val="20"/>
              </w:rPr>
              <w:t>345</w:t>
            </w:r>
          </w:p>
        </w:tc>
        <w:tc>
          <w:tcPr>
            <w:tcW w:w="50" w:type="pct"/>
            <w:shd w:val="clear" w:color="auto" w:fill="CCEEFF"/>
            <w:vAlign w:val="bottom"/>
            <w:hideMark/>
          </w:tcPr>
          <w:p w14:paraId="3D636AC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04DC7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78B9316"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0966724" w14:textId="77777777" w:rsidR="00000000" w:rsidRDefault="007E65A2">
            <w:pPr>
              <w:jc w:val="right"/>
              <w:rPr>
                <w:rFonts w:eastAsia="Times New Roman"/>
                <w:sz w:val="20"/>
                <w:szCs w:val="20"/>
              </w:rPr>
            </w:pPr>
            <w:r>
              <w:rPr>
                <w:rFonts w:eastAsia="Times New Roman"/>
                <w:sz w:val="20"/>
                <w:szCs w:val="20"/>
              </w:rPr>
              <w:t>1,349</w:t>
            </w:r>
          </w:p>
        </w:tc>
        <w:tc>
          <w:tcPr>
            <w:tcW w:w="50" w:type="pct"/>
            <w:shd w:val="clear" w:color="auto" w:fill="CCEEFF"/>
            <w:vAlign w:val="bottom"/>
            <w:hideMark/>
          </w:tcPr>
          <w:p w14:paraId="04FFBA1B" w14:textId="77777777" w:rsidR="00000000" w:rsidRDefault="007E65A2">
            <w:pPr>
              <w:pStyle w:val="a3"/>
              <w:spacing w:before="0" w:beforeAutospacing="0" w:after="0" w:afterAutospacing="0"/>
              <w:jc w:val="both"/>
              <w:rPr>
                <w:sz w:val="20"/>
                <w:szCs w:val="20"/>
              </w:rPr>
            </w:pPr>
            <w:r>
              <w:rPr>
                <w:sz w:val="20"/>
                <w:szCs w:val="20"/>
              </w:rPr>
              <w:t> </w:t>
            </w:r>
          </w:p>
        </w:tc>
      </w:tr>
      <w:tr w:rsidR="00000000" w14:paraId="60659736" w14:textId="77777777">
        <w:trPr>
          <w:divId w:val="911279972"/>
          <w:tblCellSpacing w:w="0" w:type="dxa"/>
        </w:trPr>
        <w:tc>
          <w:tcPr>
            <w:tcW w:w="0" w:type="auto"/>
            <w:shd w:val="clear" w:color="auto" w:fill="FFFFFF"/>
            <w:hideMark/>
          </w:tcPr>
          <w:p w14:paraId="6BC1CDC4" w14:textId="77777777" w:rsidR="00000000" w:rsidRDefault="007E65A2">
            <w:pPr>
              <w:pStyle w:val="a3"/>
              <w:spacing w:before="0" w:beforeAutospacing="0" w:after="0" w:afterAutospacing="0"/>
              <w:jc w:val="both"/>
              <w:rPr>
                <w:sz w:val="20"/>
                <w:szCs w:val="20"/>
              </w:rPr>
            </w:pPr>
            <w:r>
              <w:rPr>
                <w:sz w:val="20"/>
                <w:szCs w:val="20"/>
              </w:rPr>
              <w:t>Revenues - related party</w:t>
            </w:r>
          </w:p>
        </w:tc>
        <w:tc>
          <w:tcPr>
            <w:tcW w:w="50" w:type="pct"/>
            <w:shd w:val="clear" w:color="auto" w:fill="FFFFFF"/>
            <w:vAlign w:val="bottom"/>
            <w:hideMark/>
          </w:tcPr>
          <w:p w14:paraId="04FFD0FE"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65014C41"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7DD74B5A"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772B18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6128A27"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604AAD6B"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2BEBC501" w14:textId="77777777" w:rsidR="00000000" w:rsidRDefault="007E65A2">
            <w:pPr>
              <w:jc w:val="right"/>
              <w:rPr>
                <w:rFonts w:eastAsia="Times New Roman"/>
                <w:sz w:val="20"/>
                <w:szCs w:val="20"/>
              </w:rPr>
            </w:pPr>
            <w:r>
              <w:rPr>
                <w:rFonts w:eastAsia="Times New Roman"/>
                <w:sz w:val="20"/>
                <w:szCs w:val="20"/>
              </w:rPr>
              <w:t>2,900</w:t>
            </w:r>
          </w:p>
        </w:tc>
        <w:tc>
          <w:tcPr>
            <w:tcW w:w="50" w:type="pct"/>
            <w:shd w:val="clear" w:color="auto" w:fill="FFFFFF"/>
            <w:tcMar>
              <w:top w:w="0" w:type="dxa"/>
              <w:left w:w="0" w:type="dxa"/>
              <w:bottom w:w="15" w:type="dxa"/>
              <w:right w:w="0" w:type="dxa"/>
            </w:tcMar>
            <w:vAlign w:val="bottom"/>
            <w:hideMark/>
          </w:tcPr>
          <w:p w14:paraId="0EF176C2" w14:textId="77777777" w:rsidR="00000000" w:rsidRDefault="007E65A2">
            <w:pPr>
              <w:pStyle w:val="a3"/>
              <w:spacing w:before="0" w:beforeAutospacing="0" w:after="0" w:afterAutospacing="0"/>
              <w:jc w:val="both"/>
              <w:rPr>
                <w:sz w:val="20"/>
                <w:szCs w:val="20"/>
              </w:rPr>
            </w:pPr>
            <w:r>
              <w:rPr>
                <w:sz w:val="20"/>
                <w:szCs w:val="20"/>
              </w:rPr>
              <w:t> </w:t>
            </w:r>
          </w:p>
        </w:tc>
      </w:tr>
      <w:tr w:rsidR="00000000" w14:paraId="06C6D18A" w14:textId="77777777">
        <w:trPr>
          <w:divId w:val="911279972"/>
          <w:tblCellSpacing w:w="0" w:type="dxa"/>
        </w:trPr>
        <w:tc>
          <w:tcPr>
            <w:tcW w:w="0" w:type="auto"/>
            <w:shd w:val="clear" w:color="auto" w:fill="CCEEFF"/>
            <w:hideMark/>
          </w:tcPr>
          <w:p w14:paraId="3466EF4D" w14:textId="77777777" w:rsidR="00000000" w:rsidRDefault="007E65A2">
            <w:pPr>
              <w:pStyle w:val="a3"/>
              <w:spacing w:before="0" w:beforeAutospacing="0" w:after="0" w:afterAutospacing="0"/>
              <w:jc w:val="both"/>
              <w:rPr>
                <w:sz w:val="20"/>
                <w:szCs w:val="20"/>
              </w:rPr>
            </w:pPr>
            <w:r>
              <w:rPr>
                <w:b/>
                <w:bCs/>
                <w:sz w:val="20"/>
                <w:szCs w:val="20"/>
              </w:rPr>
              <w:t>Total Revenue</w:t>
            </w:r>
          </w:p>
        </w:tc>
        <w:tc>
          <w:tcPr>
            <w:tcW w:w="50" w:type="pct"/>
            <w:shd w:val="clear" w:color="auto" w:fill="CCEEFF"/>
            <w:vAlign w:val="bottom"/>
            <w:hideMark/>
          </w:tcPr>
          <w:p w14:paraId="6BF71A0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1AECCE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9F75053" w14:textId="77777777" w:rsidR="00000000" w:rsidRDefault="007E65A2">
            <w:pPr>
              <w:jc w:val="right"/>
              <w:rPr>
                <w:rFonts w:eastAsia="Times New Roman"/>
                <w:sz w:val="20"/>
                <w:szCs w:val="20"/>
              </w:rPr>
            </w:pPr>
            <w:r>
              <w:rPr>
                <w:rFonts w:eastAsia="Times New Roman"/>
                <w:sz w:val="20"/>
                <w:szCs w:val="20"/>
              </w:rPr>
              <w:t>345</w:t>
            </w:r>
          </w:p>
        </w:tc>
        <w:tc>
          <w:tcPr>
            <w:tcW w:w="50" w:type="pct"/>
            <w:shd w:val="clear" w:color="auto" w:fill="CCEEFF"/>
            <w:tcMar>
              <w:top w:w="0" w:type="dxa"/>
              <w:left w:w="0" w:type="dxa"/>
              <w:bottom w:w="15" w:type="dxa"/>
              <w:right w:w="0" w:type="dxa"/>
            </w:tcMar>
            <w:vAlign w:val="bottom"/>
            <w:hideMark/>
          </w:tcPr>
          <w:p w14:paraId="0FD13F8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97F9B9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F81303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A22D26A" w14:textId="77777777" w:rsidR="00000000" w:rsidRDefault="007E65A2">
            <w:pPr>
              <w:jc w:val="right"/>
              <w:rPr>
                <w:rFonts w:eastAsia="Times New Roman"/>
                <w:sz w:val="20"/>
                <w:szCs w:val="20"/>
              </w:rPr>
            </w:pPr>
            <w:r>
              <w:rPr>
                <w:rFonts w:eastAsia="Times New Roman"/>
                <w:sz w:val="20"/>
                <w:szCs w:val="20"/>
              </w:rPr>
              <w:t>4,249</w:t>
            </w:r>
          </w:p>
        </w:tc>
        <w:tc>
          <w:tcPr>
            <w:tcW w:w="50" w:type="pct"/>
            <w:shd w:val="clear" w:color="auto" w:fill="CCEEFF"/>
            <w:vAlign w:val="bottom"/>
            <w:hideMark/>
          </w:tcPr>
          <w:p w14:paraId="24EF2E10" w14:textId="77777777" w:rsidR="00000000" w:rsidRDefault="007E65A2">
            <w:pPr>
              <w:pStyle w:val="a3"/>
              <w:spacing w:before="0" w:beforeAutospacing="0" w:after="0" w:afterAutospacing="0"/>
              <w:jc w:val="both"/>
              <w:rPr>
                <w:sz w:val="20"/>
                <w:szCs w:val="20"/>
              </w:rPr>
            </w:pPr>
            <w:r>
              <w:rPr>
                <w:sz w:val="20"/>
                <w:szCs w:val="20"/>
              </w:rPr>
              <w:t> </w:t>
            </w:r>
          </w:p>
        </w:tc>
      </w:tr>
      <w:tr w:rsidR="00000000" w14:paraId="3216ADF6" w14:textId="77777777">
        <w:trPr>
          <w:divId w:val="911279972"/>
          <w:tblCellSpacing w:w="0" w:type="dxa"/>
        </w:trPr>
        <w:tc>
          <w:tcPr>
            <w:tcW w:w="0" w:type="auto"/>
            <w:shd w:val="clear" w:color="auto" w:fill="FFFFFF"/>
            <w:vAlign w:val="center"/>
            <w:hideMark/>
          </w:tcPr>
          <w:p w14:paraId="146157A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56D58B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EF07E2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B238D54"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DF1CB8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0199ED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1EF325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06AE8BB"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06F1F76" w14:textId="77777777" w:rsidR="00000000" w:rsidRDefault="007E65A2">
            <w:pPr>
              <w:pStyle w:val="a3"/>
              <w:spacing w:before="0" w:beforeAutospacing="0" w:after="0" w:afterAutospacing="0"/>
              <w:jc w:val="both"/>
              <w:rPr>
                <w:sz w:val="20"/>
                <w:szCs w:val="20"/>
              </w:rPr>
            </w:pPr>
            <w:r>
              <w:rPr>
                <w:sz w:val="20"/>
                <w:szCs w:val="20"/>
              </w:rPr>
              <w:t> </w:t>
            </w:r>
          </w:p>
        </w:tc>
      </w:tr>
      <w:tr w:rsidR="00000000" w14:paraId="12483FAA" w14:textId="77777777">
        <w:trPr>
          <w:divId w:val="911279972"/>
          <w:tblCellSpacing w:w="0" w:type="dxa"/>
        </w:trPr>
        <w:tc>
          <w:tcPr>
            <w:tcW w:w="0" w:type="auto"/>
            <w:shd w:val="clear" w:color="auto" w:fill="CCEEFF"/>
            <w:hideMark/>
          </w:tcPr>
          <w:p w14:paraId="2B1C83C5" w14:textId="77777777" w:rsidR="00000000" w:rsidRDefault="007E65A2">
            <w:pPr>
              <w:pStyle w:val="a3"/>
              <w:spacing w:before="0" w:beforeAutospacing="0" w:after="0" w:afterAutospacing="0"/>
              <w:jc w:val="both"/>
              <w:rPr>
                <w:sz w:val="20"/>
                <w:szCs w:val="20"/>
              </w:rPr>
            </w:pPr>
            <w:r>
              <w:rPr>
                <w:b/>
                <w:bCs/>
                <w:sz w:val="20"/>
                <w:szCs w:val="20"/>
              </w:rPr>
              <w:t>Operating Expenses</w:t>
            </w:r>
          </w:p>
        </w:tc>
        <w:tc>
          <w:tcPr>
            <w:tcW w:w="50" w:type="pct"/>
            <w:shd w:val="clear" w:color="auto" w:fill="CCEEFF"/>
            <w:vAlign w:val="bottom"/>
            <w:hideMark/>
          </w:tcPr>
          <w:p w14:paraId="7FF7E86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49B3DA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298730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D82959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5B1697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228E3FB"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5BF12E4"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E446E4D" w14:textId="77777777" w:rsidR="00000000" w:rsidRDefault="007E65A2">
            <w:pPr>
              <w:pStyle w:val="a3"/>
              <w:spacing w:before="0" w:beforeAutospacing="0" w:after="0" w:afterAutospacing="0"/>
              <w:jc w:val="both"/>
              <w:rPr>
                <w:sz w:val="20"/>
                <w:szCs w:val="20"/>
              </w:rPr>
            </w:pPr>
            <w:r>
              <w:rPr>
                <w:sz w:val="20"/>
                <w:szCs w:val="20"/>
              </w:rPr>
              <w:t> </w:t>
            </w:r>
          </w:p>
        </w:tc>
      </w:tr>
      <w:tr w:rsidR="00000000" w14:paraId="2CDCBFD2" w14:textId="77777777">
        <w:trPr>
          <w:divId w:val="911279972"/>
          <w:tblCellSpacing w:w="0" w:type="dxa"/>
        </w:trPr>
        <w:tc>
          <w:tcPr>
            <w:tcW w:w="0" w:type="auto"/>
            <w:shd w:val="clear" w:color="auto" w:fill="FFFFFF"/>
            <w:hideMark/>
          </w:tcPr>
          <w:p w14:paraId="78BF1F5E" w14:textId="77777777" w:rsidR="00000000" w:rsidRDefault="007E65A2">
            <w:pPr>
              <w:pStyle w:val="a3"/>
              <w:spacing w:before="0" w:beforeAutospacing="0" w:after="0" w:afterAutospacing="0"/>
              <w:ind w:left="225"/>
              <w:jc w:val="both"/>
              <w:rPr>
                <w:sz w:val="20"/>
                <w:szCs w:val="20"/>
              </w:rPr>
            </w:pPr>
            <w:r>
              <w:rPr>
                <w:sz w:val="20"/>
                <w:szCs w:val="20"/>
              </w:rPr>
              <w:t>Professional fees</w:t>
            </w:r>
          </w:p>
        </w:tc>
        <w:tc>
          <w:tcPr>
            <w:tcW w:w="50" w:type="pct"/>
            <w:shd w:val="clear" w:color="auto" w:fill="FFFFFF"/>
            <w:vAlign w:val="bottom"/>
            <w:hideMark/>
          </w:tcPr>
          <w:p w14:paraId="5723455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F2825E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242B5BB" w14:textId="77777777" w:rsidR="00000000" w:rsidRDefault="007E65A2">
            <w:pPr>
              <w:jc w:val="right"/>
              <w:rPr>
                <w:rFonts w:eastAsia="Times New Roman"/>
                <w:sz w:val="20"/>
                <w:szCs w:val="20"/>
              </w:rPr>
            </w:pPr>
            <w:r>
              <w:rPr>
                <w:rFonts w:eastAsia="Times New Roman"/>
                <w:sz w:val="20"/>
                <w:szCs w:val="20"/>
              </w:rPr>
              <w:t>46,103</w:t>
            </w:r>
          </w:p>
        </w:tc>
        <w:tc>
          <w:tcPr>
            <w:tcW w:w="50" w:type="pct"/>
            <w:shd w:val="clear" w:color="auto" w:fill="FFFFFF"/>
            <w:vAlign w:val="bottom"/>
            <w:hideMark/>
          </w:tcPr>
          <w:p w14:paraId="1442A45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BA8976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DC4D11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2961934" w14:textId="77777777" w:rsidR="00000000" w:rsidRDefault="007E65A2">
            <w:pPr>
              <w:jc w:val="right"/>
              <w:rPr>
                <w:rFonts w:eastAsia="Times New Roman"/>
                <w:sz w:val="20"/>
                <w:szCs w:val="20"/>
              </w:rPr>
            </w:pPr>
            <w:r>
              <w:rPr>
                <w:rFonts w:eastAsia="Times New Roman"/>
                <w:sz w:val="20"/>
                <w:szCs w:val="20"/>
              </w:rPr>
              <w:t>418,044</w:t>
            </w:r>
          </w:p>
        </w:tc>
        <w:tc>
          <w:tcPr>
            <w:tcW w:w="50" w:type="pct"/>
            <w:shd w:val="clear" w:color="auto" w:fill="FFFFFF"/>
            <w:vAlign w:val="bottom"/>
            <w:hideMark/>
          </w:tcPr>
          <w:p w14:paraId="43519C0F" w14:textId="77777777" w:rsidR="00000000" w:rsidRDefault="007E65A2">
            <w:pPr>
              <w:pStyle w:val="a3"/>
              <w:spacing w:before="0" w:beforeAutospacing="0" w:after="0" w:afterAutospacing="0"/>
              <w:jc w:val="both"/>
              <w:rPr>
                <w:sz w:val="20"/>
                <w:szCs w:val="20"/>
              </w:rPr>
            </w:pPr>
            <w:r>
              <w:rPr>
                <w:sz w:val="20"/>
                <w:szCs w:val="20"/>
              </w:rPr>
              <w:t> </w:t>
            </w:r>
          </w:p>
        </w:tc>
      </w:tr>
      <w:tr w:rsidR="00000000" w14:paraId="3561EA42" w14:textId="77777777">
        <w:trPr>
          <w:divId w:val="911279972"/>
          <w:tblCellSpacing w:w="0" w:type="dxa"/>
        </w:trPr>
        <w:tc>
          <w:tcPr>
            <w:tcW w:w="0" w:type="auto"/>
            <w:shd w:val="clear" w:color="auto" w:fill="CCEEFF"/>
            <w:hideMark/>
          </w:tcPr>
          <w:p w14:paraId="2BB7A2FF" w14:textId="77777777" w:rsidR="00000000" w:rsidRDefault="007E65A2">
            <w:pPr>
              <w:pStyle w:val="a3"/>
              <w:spacing w:before="0" w:beforeAutospacing="0" w:after="0" w:afterAutospacing="0"/>
              <w:ind w:left="225"/>
              <w:jc w:val="both"/>
              <w:rPr>
                <w:sz w:val="20"/>
                <w:szCs w:val="20"/>
              </w:rPr>
            </w:pPr>
            <w:r>
              <w:rPr>
                <w:sz w:val="20"/>
                <w:szCs w:val="20"/>
              </w:rPr>
              <w:t>General and administrative</w:t>
            </w:r>
          </w:p>
        </w:tc>
        <w:tc>
          <w:tcPr>
            <w:tcW w:w="50" w:type="pct"/>
            <w:shd w:val="clear" w:color="auto" w:fill="CCEEFF"/>
            <w:vAlign w:val="bottom"/>
            <w:hideMark/>
          </w:tcPr>
          <w:p w14:paraId="3EF4E3F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3DA073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E54BC2C" w14:textId="77777777" w:rsidR="00000000" w:rsidRDefault="007E65A2">
            <w:pPr>
              <w:jc w:val="right"/>
              <w:rPr>
                <w:rFonts w:eastAsia="Times New Roman"/>
                <w:sz w:val="20"/>
                <w:szCs w:val="20"/>
              </w:rPr>
            </w:pPr>
            <w:r>
              <w:rPr>
                <w:rFonts w:eastAsia="Times New Roman"/>
                <w:sz w:val="20"/>
                <w:szCs w:val="20"/>
              </w:rPr>
              <w:t>110,855</w:t>
            </w:r>
          </w:p>
        </w:tc>
        <w:tc>
          <w:tcPr>
            <w:tcW w:w="50" w:type="pct"/>
            <w:shd w:val="clear" w:color="auto" w:fill="CCEEFF"/>
            <w:vAlign w:val="bottom"/>
            <w:hideMark/>
          </w:tcPr>
          <w:p w14:paraId="43C3DE5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C35A14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078C2F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3DC2A9C" w14:textId="77777777" w:rsidR="00000000" w:rsidRDefault="007E65A2">
            <w:pPr>
              <w:jc w:val="right"/>
              <w:rPr>
                <w:rFonts w:eastAsia="Times New Roman"/>
                <w:sz w:val="20"/>
                <w:szCs w:val="20"/>
              </w:rPr>
            </w:pPr>
            <w:r>
              <w:rPr>
                <w:rFonts w:eastAsia="Times New Roman"/>
                <w:sz w:val="20"/>
                <w:szCs w:val="20"/>
              </w:rPr>
              <w:t>186,574</w:t>
            </w:r>
          </w:p>
        </w:tc>
        <w:tc>
          <w:tcPr>
            <w:tcW w:w="50" w:type="pct"/>
            <w:shd w:val="clear" w:color="auto" w:fill="CCEEFF"/>
            <w:vAlign w:val="bottom"/>
            <w:hideMark/>
          </w:tcPr>
          <w:p w14:paraId="605B9B4E" w14:textId="77777777" w:rsidR="00000000" w:rsidRDefault="007E65A2">
            <w:pPr>
              <w:pStyle w:val="a3"/>
              <w:spacing w:before="0" w:beforeAutospacing="0" w:after="0" w:afterAutospacing="0"/>
              <w:jc w:val="both"/>
              <w:rPr>
                <w:sz w:val="20"/>
                <w:szCs w:val="20"/>
              </w:rPr>
            </w:pPr>
            <w:r>
              <w:rPr>
                <w:sz w:val="20"/>
                <w:szCs w:val="20"/>
              </w:rPr>
              <w:t> </w:t>
            </w:r>
          </w:p>
        </w:tc>
      </w:tr>
      <w:tr w:rsidR="00000000" w14:paraId="37A0096F" w14:textId="77777777">
        <w:trPr>
          <w:divId w:val="911279972"/>
          <w:tblCellSpacing w:w="0" w:type="dxa"/>
        </w:trPr>
        <w:tc>
          <w:tcPr>
            <w:tcW w:w="0" w:type="auto"/>
            <w:shd w:val="clear" w:color="auto" w:fill="FFFFFF"/>
            <w:hideMark/>
          </w:tcPr>
          <w:p w14:paraId="0864C789" w14:textId="77777777" w:rsidR="00000000" w:rsidRDefault="007E65A2">
            <w:pPr>
              <w:pStyle w:val="a3"/>
              <w:spacing w:before="0" w:beforeAutospacing="0" w:after="0" w:afterAutospacing="0"/>
              <w:ind w:left="225"/>
              <w:jc w:val="both"/>
              <w:rPr>
                <w:sz w:val="20"/>
                <w:szCs w:val="20"/>
              </w:rPr>
            </w:pPr>
            <w:r>
              <w:rPr>
                <w:sz w:val="20"/>
                <w:szCs w:val="20"/>
              </w:rPr>
              <w:t>Depreciation</w:t>
            </w:r>
          </w:p>
        </w:tc>
        <w:tc>
          <w:tcPr>
            <w:tcW w:w="50" w:type="pct"/>
            <w:shd w:val="clear" w:color="auto" w:fill="FFFFFF"/>
            <w:vAlign w:val="bottom"/>
            <w:hideMark/>
          </w:tcPr>
          <w:p w14:paraId="1D479948"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5ED00FB5"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6EF78791" w14:textId="77777777" w:rsidR="00000000" w:rsidRDefault="007E65A2">
            <w:pPr>
              <w:jc w:val="right"/>
              <w:rPr>
                <w:rFonts w:eastAsia="Times New Roman"/>
                <w:sz w:val="20"/>
                <w:szCs w:val="20"/>
              </w:rPr>
            </w:pPr>
            <w:r>
              <w:rPr>
                <w:rFonts w:eastAsia="Times New Roman"/>
                <w:sz w:val="20"/>
                <w:szCs w:val="20"/>
              </w:rPr>
              <w:t>7,300</w:t>
            </w:r>
          </w:p>
        </w:tc>
        <w:tc>
          <w:tcPr>
            <w:tcW w:w="50" w:type="pct"/>
            <w:shd w:val="clear" w:color="auto" w:fill="FFFFFF"/>
            <w:tcMar>
              <w:top w:w="0" w:type="dxa"/>
              <w:left w:w="0" w:type="dxa"/>
              <w:bottom w:w="15" w:type="dxa"/>
              <w:right w:w="0" w:type="dxa"/>
            </w:tcMar>
            <w:vAlign w:val="bottom"/>
            <w:hideMark/>
          </w:tcPr>
          <w:p w14:paraId="2918A65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1B1F102"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1277A34F"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12C0CF6A" w14:textId="77777777" w:rsidR="00000000" w:rsidRDefault="007E65A2">
            <w:pPr>
              <w:jc w:val="right"/>
              <w:rPr>
                <w:rFonts w:eastAsia="Times New Roman"/>
                <w:sz w:val="20"/>
                <w:szCs w:val="20"/>
              </w:rPr>
            </w:pPr>
            <w:r>
              <w:rPr>
                <w:rFonts w:eastAsia="Times New Roman"/>
                <w:sz w:val="20"/>
                <w:szCs w:val="20"/>
              </w:rPr>
              <w:t>31,744</w:t>
            </w:r>
          </w:p>
        </w:tc>
        <w:tc>
          <w:tcPr>
            <w:tcW w:w="50" w:type="pct"/>
            <w:shd w:val="clear" w:color="auto" w:fill="FFFFFF"/>
            <w:tcMar>
              <w:top w:w="0" w:type="dxa"/>
              <w:left w:w="0" w:type="dxa"/>
              <w:bottom w:w="15" w:type="dxa"/>
              <w:right w:w="0" w:type="dxa"/>
            </w:tcMar>
            <w:vAlign w:val="bottom"/>
            <w:hideMark/>
          </w:tcPr>
          <w:p w14:paraId="09E1D474" w14:textId="77777777" w:rsidR="00000000" w:rsidRDefault="007E65A2">
            <w:pPr>
              <w:pStyle w:val="a3"/>
              <w:spacing w:before="0" w:beforeAutospacing="0" w:after="0" w:afterAutospacing="0"/>
              <w:jc w:val="both"/>
              <w:rPr>
                <w:sz w:val="20"/>
                <w:szCs w:val="20"/>
              </w:rPr>
            </w:pPr>
            <w:r>
              <w:rPr>
                <w:sz w:val="20"/>
                <w:szCs w:val="20"/>
              </w:rPr>
              <w:t> </w:t>
            </w:r>
          </w:p>
        </w:tc>
      </w:tr>
      <w:tr w:rsidR="00000000" w14:paraId="3A1BAD77" w14:textId="77777777">
        <w:trPr>
          <w:divId w:val="911279972"/>
          <w:tblCellSpacing w:w="0" w:type="dxa"/>
        </w:trPr>
        <w:tc>
          <w:tcPr>
            <w:tcW w:w="0" w:type="auto"/>
            <w:shd w:val="clear" w:color="auto" w:fill="CCEEFF"/>
            <w:hideMark/>
          </w:tcPr>
          <w:p w14:paraId="1196B002" w14:textId="77777777" w:rsidR="00000000" w:rsidRDefault="007E65A2">
            <w:pPr>
              <w:pStyle w:val="a3"/>
              <w:spacing w:before="0" w:beforeAutospacing="0" w:after="0" w:afterAutospacing="0"/>
              <w:jc w:val="both"/>
              <w:rPr>
                <w:sz w:val="20"/>
                <w:szCs w:val="20"/>
              </w:rPr>
            </w:pPr>
            <w:r>
              <w:rPr>
                <w:b/>
                <w:bCs/>
                <w:sz w:val="20"/>
                <w:szCs w:val="20"/>
              </w:rPr>
              <w:t>Total Operating Expenses</w:t>
            </w:r>
          </w:p>
        </w:tc>
        <w:tc>
          <w:tcPr>
            <w:tcW w:w="50" w:type="pct"/>
            <w:shd w:val="clear" w:color="auto" w:fill="CCEEFF"/>
            <w:vAlign w:val="bottom"/>
            <w:hideMark/>
          </w:tcPr>
          <w:p w14:paraId="5CEAF78B"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D277FE4"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2F6212FD" w14:textId="77777777" w:rsidR="00000000" w:rsidRDefault="007E65A2">
            <w:pPr>
              <w:jc w:val="right"/>
              <w:rPr>
                <w:rFonts w:eastAsia="Times New Roman"/>
                <w:sz w:val="20"/>
                <w:szCs w:val="20"/>
              </w:rPr>
            </w:pPr>
            <w:r>
              <w:rPr>
                <w:rFonts w:eastAsia="Times New Roman"/>
                <w:sz w:val="20"/>
                <w:szCs w:val="20"/>
              </w:rPr>
              <w:t>164,258</w:t>
            </w:r>
          </w:p>
        </w:tc>
        <w:tc>
          <w:tcPr>
            <w:tcW w:w="50" w:type="pct"/>
            <w:shd w:val="clear" w:color="auto" w:fill="CCEEFF"/>
            <w:tcMar>
              <w:top w:w="0" w:type="dxa"/>
              <w:left w:w="0" w:type="dxa"/>
              <w:bottom w:w="15" w:type="dxa"/>
              <w:right w:w="0" w:type="dxa"/>
            </w:tcMar>
            <w:vAlign w:val="bottom"/>
            <w:hideMark/>
          </w:tcPr>
          <w:p w14:paraId="607F407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CD9C75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9C021FB"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7AE44C75" w14:textId="77777777" w:rsidR="00000000" w:rsidRDefault="007E65A2">
            <w:pPr>
              <w:jc w:val="right"/>
              <w:rPr>
                <w:rFonts w:eastAsia="Times New Roman"/>
                <w:sz w:val="20"/>
                <w:szCs w:val="20"/>
              </w:rPr>
            </w:pPr>
            <w:r>
              <w:rPr>
                <w:rFonts w:eastAsia="Times New Roman"/>
                <w:sz w:val="20"/>
                <w:szCs w:val="20"/>
              </w:rPr>
              <w:t>636,362</w:t>
            </w:r>
          </w:p>
        </w:tc>
        <w:tc>
          <w:tcPr>
            <w:tcW w:w="50" w:type="pct"/>
            <w:shd w:val="clear" w:color="auto" w:fill="CCEEFF"/>
            <w:tcMar>
              <w:top w:w="0" w:type="dxa"/>
              <w:left w:w="0" w:type="dxa"/>
              <w:bottom w:w="15" w:type="dxa"/>
              <w:right w:w="0" w:type="dxa"/>
            </w:tcMar>
            <w:vAlign w:val="bottom"/>
            <w:hideMark/>
          </w:tcPr>
          <w:p w14:paraId="23562023" w14:textId="77777777" w:rsidR="00000000" w:rsidRDefault="007E65A2">
            <w:pPr>
              <w:pStyle w:val="a3"/>
              <w:spacing w:before="0" w:beforeAutospacing="0" w:after="0" w:afterAutospacing="0"/>
              <w:jc w:val="both"/>
              <w:rPr>
                <w:sz w:val="20"/>
                <w:szCs w:val="20"/>
              </w:rPr>
            </w:pPr>
            <w:r>
              <w:rPr>
                <w:sz w:val="20"/>
                <w:szCs w:val="20"/>
              </w:rPr>
              <w:t> </w:t>
            </w:r>
          </w:p>
        </w:tc>
      </w:tr>
      <w:tr w:rsidR="00000000" w14:paraId="37379514" w14:textId="77777777">
        <w:trPr>
          <w:divId w:val="911279972"/>
          <w:tblCellSpacing w:w="0" w:type="dxa"/>
        </w:trPr>
        <w:tc>
          <w:tcPr>
            <w:tcW w:w="0" w:type="auto"/>
            <w:shd w:val="clear" w:color="auto" w:fill="FFFFFF"/>
            <w:vAlign w:val="center"/>
            <w:hideMark/>
          </w:tcPr>
          <w:p w14:paraId="52DA846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416128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D2685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BFA9A05"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7F36A6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045372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A60945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6271BDB"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5646305" w14:textId="77777777" w:rsidR="00000000" w:rsidRDefault="007E65A2">
            <w:pPr>
              <w:pStyle w:val="a3"/>
              <w:spacing w:before="0" w:beforeAutospacing="0" w:after="0" w:afterAutospacing="0"/>
              <w:jc w:val="both"/>
              <w:rPr>
                <w:sz w:val="20"/>
                <w:szCs w:val="20"/>
              </w:rPr>
            </w:pPr>
            <w:r>
              <w:rPr>
                <w:sz w:val="20"/>
                <w:szCs w:val="20"/>
              </w:rPr>
              <w:t> </w:t>
            </w:r>
          </w:p>
        </w:tc>
      </w:tr>
      <w:tr w:rsidR="00000000" w14:paraId="45529B1B" w14:textId="77777777">
        <w:trPr>
          <w:divId w:val="911279972"/>
          <w:tblCellSpacing w:w="0" w:type="dxa"/>
        </w:trPr>
        <w:tc>
          <w:tcPr>
            <w:tcW w:w="0" w:type="auto"/>
            <w:shd w:val="clear" w:color="auto" w:fill="CCEEFF"/>
            <w:hideMark/>
          </w:tcPr>
          <w:p w14:paraId="6A5EE712" w14:textId="77777777" w:rsidR="00000000" w:rsidRDefault="007E65A2">
            <w:pPr>
              <w:pStyle w:val="a3"/>
              <w:spacing w:before="0" w:beforeAutospacing="0" w:after="0" w:afterAutospacing="0"/>
              <w:jc w:val="both"/>
              <w:rPr>
                <w:sz w:val="20"/>
                <w:szCs w:val="20"/>
              </w:rPr>
            </w:pPr>
            <w:r>
              <w:rPr>
                <w:b/>
                <w:bCs/>
                <w:sz w:val="20"/>
                <w:szCs w:val="20"/>
              </w:rPr>
              <w:t>Loss from operations</w:t>
            </w:r>
          </w:p>
        </w:tc>
        <w:tc>
          <w:tcPr>
            <w:tcW w:w="50" w:type="pct"/>
            <w:shd w:val="clear" w:color="auto" w:fill="CCEEFF"/>
            <w:vAlign w:val="bottom"/>
            <w:hideMark/>
          </w:tcPr>
          <w:p w14:paraId="55D3905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054CAD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FF6A2A0" w14:textId="77777777" w:rsidR="00000000" w:rsidRDefault="007E65A2">
            <w:pPr>
              <w:jc w:val="right"/>
              <w:rPr>
                <w:rFonts w:eastAsia="Times New Roman"/>
                <w:sz w:val="20"/>
                <w:szCs w:val="20"/>
              </w:rPr>
            </w:pPr>
            <w:r>
              <w:rPr>
                <w:rFonts w:eastAsia="Times New Roman"/>
                <w:sz w:val="20"/>
                <w:szCs w:val="20"/>
              </w:rPr>
              <w:t>(163,913</w:t>
            </w:r>
          </w:p>
        </w:tc>
        <w:tc>
          <w:tcPr>
            <w:tcW w:w="50" w:type="pct"/>
            <w:shd w:val="clear" w:color="auto" w:fill="CCEEFF"/>
            <w:tcMar>
              <w:top w:w="0" w:type="dxa"/>
              <w:left w:w="0" w:type="dxa"/>
              <w:bottom w:w="15" w:type="dxa"/>
              <w:right w:w="0" w:type="dxa"/>
            </w:tcMar>
            <w:vAlign w:val="bottom"/>
            <w:hideMark/>
          </w:tcPr>
          <w:p w14:paraId="73C9AC03"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1AD8F1C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FBFBDA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9DB7427" w14:textId="77777777" w:rsidR="00000000" w:rsidRDefault="007E65A2">
            <w:pPr>
              <w:jc w:val="right"/>
              <w:rPr>
                <w:rFonts w:eastAsia="Times New Roman"/>
                <w:sz w:val="20"/>
                <w:szCs w:val="20"/>
              </w:rPr>
            </w:pPr>
            <w:r>
              <w:rPr>
                <w:rFonts w:eastAsia="Times New Roman"/>
                <w:sz w:val="20"/>
                <w:szCs w:val="20"/>
              </w:rPr>
              <w:t>(632,113</w:t>
            </w:r>
          </w:p>
        </w:tc>
        <w:tc>
          <w:tcPr>
            <w:tcW w:w="50" w:type="pct"/>
            <w:shd w:val="clear" w:color="auto" w:fill="CCEEFF"/>
            <w:tcMar>
              <w:top w:w="0" w:type="dxa"/>
              <w:left w:w="0" w:type="dxa"/>
              <w:bottom w:w="15" w:type="dxa"/>
              <w:right w:w="0" w:type="dxa"/>
            </w:tcMar>
            <w:vAlign w:val="bottom"/>
            <w:hideMark/>
          </w:tcPr>
          <w:p w14:paraId="0303D6C3" w14:textId="77777777" w:rsidR="00000000" w:rsidRDefault="007E65A2">
            <w:pPr>
              <w:jc w:val="both"/>
              <w:rPr>
                <w:rFonts w:eastAsia="Times New Roman"/>
                <w:sz w:val="20"/>
                <w:szCs w:val="20"/>
              </w:rPr>
            </w:pPr>
            <w:r>
              <w:rPr>
                <w:rFonts w:eastAsia="Times New Roman"/>
                <w:sz w:val="20"/>
                <w:szCs w:val="20"/>
              </w:rPr>
              <w:t>)</w:t>
            </w:r>
          </w:p>
        </w:tc>
      </w:tr>
      <w:tr w:rsidR="00000000" w14:paraId="25A033AF" w14:textId="77777777">
        <w:trPr>
          <w:divId w:val="911279972"/>
          <w:tblCellSpacing w:w="0" w:type="dxa"/>
        </w:trPr>
        <w:tc>
          <w:tcPr>
            <w:tcW w:w="0" w:type="auto"/>
            <w:shd w:val="clear" w:color="auto" w:fill="FFFFFF"/>
            <w:vAlign w:val="center"/>
            <w:hideMark/>
          </w:tcPr>
          <w:p w14:paraId="0D15315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11332A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88BB65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2DE265C"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F7249B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E822D4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310A23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02BD726"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CE984FF" w14:textId="77777777" w:rsidR="00000000" w:rsidRDefault="007E65A2">
            <w:pPr>
              <w:pStyle w:val="a3"/>
              <w:spacing w:before="0" w:beforeAutospacing="0" w:after="0" w:afterAutospacing="0"/>
              <w:jc w:val="both"/>
              <w:rPr>
                <w:sz w:val="20"/>
                <w:szCs w:val="20"/>
              </w:rPr>
            </w:pPr>
            <w:r>
              <w:rPr>
                <w:sz w:val="20"/>
                <w:szCs w:val="20"/>
              </w:rPr>
              <w:t> </w:t>
            </w:r>
          </w:p>
        </w:tc>
      </w:tr>
      <w:tr w:rsidR="00000000" w14:paraId="2A2DC539" w14:textId="77777777">
        <w:trPr>
          <w:divId w:val="911279972"/>
          <w:tblCellSpacing w:w="0" w:type="dxa"/>
        </w:trPr>
        <w:tc>
          <w:tcPr>
            <w:tcW w:w="0" w:type="auto"/>
            <w:shd w:val="clear" w:color="auto" w:fill="CCEEFF"/>
            <w:hideMark/>
          </w:tcPr>
          <w:p w14:paraId="0DEB7C98" w14:textId="77777777" w:rsidR="00000000" w:rsidRDefault="007E65A2">
            <w:pPr>
              <w:pStyle w:val="a3"/>
              <w:spacing w:before="0" w:beforeAutospacing="0" w:after="0" w:afterAutospacing="0"/>
              <w:jc w:val="both"/>
              <w:rPr>
                <w:sz w:val="20"/>
                <w:szCs w:val="20"/>
              </w:rPr>
            </w:pPr>
            <w:r>
              <w:rPr>
                <w:b/>
                <w:bCs/>
                <w:sz w:val="20"/>
                <w:szCs w:val="20"/>
              </w:rPr>
              <w:t>Other Expense</w:t>
            </w:r>
          </w:p>
        </w:tc>
        <w:tc>
          <w:tcPr>
            <w:tcW w:w="50" w:type="pct"/>
            <w:shd w:val="clear" w:color="auto" w:fill="CCEEFF"/>
            <w:vAlign w:val="bottom"/>
            <w:hideMark/>
          </w:tcPr>
          <w:p w14:paraId="1E1799A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A6E6B9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9235EF8"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CFF306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4EFBC6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C1A7F1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F8BB6B5"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DED0D8E" w14:textId="77777777" w:rsidR="00000000" w:rsidRDefault="007E65A2">
            <w:pPr>
              <w:pStyle w:val="a3"/>
              <w:spacing w:before="0" w:beforeAutospacing="0" w:after="0" w:afterAutospacing="0"/>
              <w:jc w:val="both"/>
              <w:rPr>
                <w:sz w:val="20"/>
                <w:szCs w:val="20"/>
              </w:rPr>
            </w:pPr>
            <w:r>
              <w:rPr>
                <w:sz w:val="20"/>
                <w:szCs w:val="20"/>
              </w:rPr>
              <w:t> </w:t>
            </w:r>
          </w:p>
        </w:tc>
      </w:tr>
      <w:tr w:rsidR="00000000" w14:paraId="3FD7CE3C" w14:textId="77777777">
        <w:trPr>
          <w:divId w:val="911279972"/>
          <w:tblCellSpacing w:w="0" w:type="dxa"/>
        </w:trPr>
        <w:tc>
          <w:tcPr>
            <w:tcW w:w="0" w:type="auto"/>
            <w:shd w:val="clear" w:color="auto" w:fill="FFFFFF"/>
            <w:hideMark/>
          </w:tcPr>
          <w:p w14:paraId="38F3DDDF" w14:textId="77777777" w:rsidR="00000000" w:rsidRDefault="007E65A2">
            <w:pPr>
              <w:pStyle w:val="a3"/>
              <w:spacing w:before="0" w:beforeAutospacing="0" w:after="0" w:afterAutospacing="0"/>
              <w:ind w:left="225"/>
              <w:jc w:val="both"/>
              <w:rPr>
                <w:sz w:val="20"/>
                <w:szCs w:val="20"/>
              </w:rPr>
            </w:pPr>
            <w:r>
              <w:rPr>
                <w:sz w:val="20"/>
                <w:szCs w:val="20"/>
              </w:rPr>
              <w:t>Change in fair value of derivative liabilities</w:t>
            </w:r>
          </w:p>
        </w:tc>
        <w:tc>
          <w:tcPr>
            <w:tcW w:w="50" w:type="pct"/>
            <w:shd w:val="clear" w:color="auto" w:fill="FFFFFF"/>
            <w:vAlign w:val="bottom"/>
            <w:hideMark/>
          </w:tcPr>
          <w:p w14:paraId="7E93766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A31FE5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AF76755" w14:textId="77777777" w:rsidR="00000000" w:rsidRDefault="007E65A2">
            <w:pPr>
              <w:jc w:val="right"/>
              <w:rPr>
                <w:rFonts w:eastAsia="Times New Roman"/>
                <w:sz w:val="20"/>
                <w:szCs w:val="20"/>
              </w:rPr>
            </w:pPr>
            <w:r>
              <w:rPr>
                <w:rFonts w:eastAsia="Times New Roman"/>
                <w:sz w:val="20"/>
                <w:szCs w:val="20"/>
              </w:rPr>
              <w:t>(464,691</w:t>
            </w:r>
          </w:p>
        </w:tc>
        <w:tc>
          <w:tcPr>
            <w:tcW w:w="50" w:type="pct"/>
            <w:shd w:val="clear" w:color="auto" w:fill="FFFFFF"/>
            <w:vAlign w:val="bottom"/>
            <w:hideMark/>
          </w:tcPr>
          <w:p w14:paraId="30442157"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40BFCB0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8DC2C1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193A3A7" w14:textId="77777777" w:rsidR="00000000" w:rsidRDefault="007E65A2">
            <w:pPr>
              <w:jc w:val="right"/>
              <w:rPr>
                <w:rFonts w:eastAsia="Times New Roman"/>
                <w:sz w:val="20"/>
                <w:szCs w:val="20"/>
              </w:rPr>
            </w:pPr>
            <w:r>
              <w:rPr>
                <w:rFonts w:eastAsia="Times New Roman"/>
                <w:sz w:val="20"/>
                <w:szCs w:val="20"/>
              </w:rPr>
              <w:t>(912,590</w:t>
            </w:r>
          </w:p>
        </w:tc>
        <w:tc>
          <w:tcPr>
            <w:tcW w:w="50" w:type="pct"/>
            <w:shd w:val="clear" w:color="auto" w:fill="FFFFFF"/>
            <w:vAlign w:val="bottom"/>
            <w:hideMark/>
          </w:tcPr>
          <w:p w14:paraId="27FA13D6" w14:textId="77777777" w:rsidR="00000000" w:rsidRDefault="007E65A2">
            <w:pPr>
              <w:jc w:val="both"/>
              <w:rPr>
                <w:rFonts w:eastAsia="Times New Roman"/>
                <w:sz w:val="20"/>
                <w:szCs w:val="20"/>
              </w:rPr>
            </w:pPr>
            <w:r>
              <w:rPr>
                <w:rFonts w:eastAsia="Times New Roman"/>
                <w:sz w:val="20"/>
                <w:szCs w:val="20"/>
              </w:rPr>
              <w:t>)</w:t>
            </w:r>
          </w:p>
        </w:tc>
      </w:tr>
      <w:tr w:rsidR="00000000" w14:paraId="5B483193" w14:textId="77777777">
        <w:trPr>
          <w:divId w:val="911279972"/>
          <w:tblCellSpacing w:w="0" w:type="dxa"/>
        </w:trPr>
        <w:tc>
          <w:tcPr>
            <w:tcW w:w="0" w:type="auto"/>
            <w:shd w:val="clear" w:color="auto" w:fill="CCEEFF"/>
            <w:hideMark/>
          </w:tcPr>
          <w:p w14:paraId="550FB74D" w14:textId="77777777" w:rsidR="00000000" w:rsidRDefault="007E65A2">
            <w:pPr>
              <w:pStyle w:val="a3"/>
              <w:spacing w:before="0" w:beforeAutospacing="0" w:after="0" w:afterAutospacing="0"/>
              <w:ind w:left="225"/>
              <w:jc w:val="both"/>
              <w:rPr>
                <w:sz w:val="20"/>
                <w:szCs w:val="20"/>
              </w:rPr>
            </w:pPr>
            <w:r>
              <w:rPr>
                <w:sz w:val="20"/>
                <w:szCs w:val="20"/>
              </w:rPr>
              <w:t>Interest expense</w:t>
            </w:r>
          </w:p>
        </w:tc>
        <w:tc>
          <w:tcPr>
            <w:tcW w:w="50" w:type="pct"/>
            <w:shd w:val="clear" w:color="auto" w:fill="CCEEFF"/>
            <w:vAlign w:val="bottom"/>
            <w:hideMark/>
          </w:tcPr>
          <w:p w14:paraId="56F7E73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F6D94B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9F061F1" w14:textId="77777777" w:rsidR="00000000" w:rsidRDefault="007E65A2">
            <w:pPr>
              <w:jc w:val="right"/>
              <w:rPr>
                <w:rFonts w:eastAsia="Times New Roman"/>
                <w:sz w:val="20"/>
                <w:szCs w:val="20"/>
              </w:rPr>
            </w:pPr>
            <w:r>
              <w:rPr>
                <w:rFonts w:eastAsia="Times New Roman"/>
                <w:sz w:val="20"/>
                <w:szCs w:val="20"/>
              </w:rPr>
              <w:t>(238,956</w:t>
            </w:r>
          </w:p>
        </w:tc>
        <w:tc>
          <w:tcPr>
            <w:tcW w:w="50" w:type="pct"/>
            <w:shd w:val="clear" w:color="auto" w:fill="CCEEFF"/>
            <w:vAlign w:val="bottom"/>
            <w:hideMark/>
          </w:tcPr>
          <w:p w14:paraId="05EA2C74"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03B7FFB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4D9AAFB"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D812C0F" w14:textId="77777777" w:rsidR="00000000" w:rsidRDefault="007E65A2">
            <w:pPr>
              <w:jc w:val="right"/>
              <w:rPr>
                <w:rFonts w:eastAsia="Times New Roman"/>
                <w:sz w:val="20"/>
                <w:szCs w:val="20"/>
              </w:rPr>
            </w:pPr>
            <w:r>
              <w:rPr>
                <w:rFonts w:eastAsia="Times New Roman"/>
                <w:sz w:val="20"/>
                <w:szCs w:val="20"/>
              </w:rPr>
              <w:t>(424,553</w:t>
            </w:r>
          </w:p>
        </w:tc>
        <w:tc>
          <w:tcPr>
            <w:tcW w:w="50" w:type="pct"/>
            <w:shd w:val="clear" w:color="auto" w:fill="CCEEFF"/>
            <w:vAlign w:val="bottom"/>
            <w:hideMark/>
          </w:tcPr>
          <w:p w14:paraId="0F84233A" w14:textId="77777777" w:rsidR="00000000" w:rsidRDefault="007E65A2">
            <w:pPr>
              <w:jc w:val="both"/>
              <w:rPr>
                <w:rFonts w:eastAsia="Times New Roman"/>
                <w:sz w:val="20"/>
                <w:szCs w:val="20"/>
              </w:rPr>
            </w:pPr>
            <w:r>
              <w:rPr>
                <w:rFonts w:eastAsia="Times New Roman"/>
                <w:sz w:val="20"/>
                <w:szCs w:val="20"/>
              </w:rPr>
              <w:t>)</w:t>
            </w:r>
          </w:p>
        </w:tc>
      </w:tr>
      <w:tr w:rsidR="00000000" w14:paraId="7166A644" w14:textId="77777777">
        <w:trPr>
          <w:divId w:val="911279972"/>
          <w:tblCellSpacing w:w="0" w:type="dxa"/>
        </w:trPr>
        <w:tc>
          <w:tcPr>
            <w:tcW w:w="0" w:type="auto"/>
            <w:shd w:val="clear" w:color="auto" w:fill="FFFFFF"/>
            <w:hideMark/>
          </w:tcPr>
          <w:p w14:paraId="7BA2B582" w14:textId="77777777" w:rsidR="00000000" w:rsidRDefault="007E65A2">
            <w:pPr>
              <w:pStyle w:val="a3"/>
              <w:spacing w:before="0" w:beforeAutospacing="0" w:after="0" w:afterAutospacing="0"/>
              <w:ind w:left="225"/>
              <w:jc w:val="both"/>
              <w:rPr>
                <w:sz w:val="20"/>
                <w:szCs w:val="20"/>
              </w:rPr>
            </w:pPr>
            <w:r>
              <w:rPr>
                <w:sz w:val="20"/>
                <w:szCs w:val="20"/>
              </w:rPr>
              <w:t>Loss on settlement of debt</w:t>
            </w:r>
          </w:p>
        </w:tc>
        <w:tc>
          <w:tcPr>
            <w:tcW w:w="50" w:type="pct"/>
            <w:shd w:val="clear" w:color="auto" w:fill="FFFFFF"/>
            <w:vAlign w:val="bottom"/>
            <w:hideMark/>
          </w:tcPr>
          <w:p w14:paraId="2C1A25A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223410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D82565A" w14:textId="77777777" w:rsidR="00000000" w:rsidRDefault="007E65A2">
            <w:pPr>
              <w:jc w:val="right"/>
              <w:rPr>
                <w:rFonts w:eastAsia="Times New Roman"/>
                <w:sz w:val="20"/>
                <w:szCs w:val="20"/>
              </w:rPr>
            </w:pPr>
            <w:r>
              <w:rPr>
                <w:rFonts w:eastAsia="Times New Roman"/>
                <w:sz w:val="20"/>
                <w:szCs w:val="20"/>
              </w:rPr>
              <w:t>(197,250</w:t>
            </w:r>
          </w:p>
        </w:tc>
        <w:tc>
          <w:tcPr>
            <w:tcW w:w="50" w:type="pct"/>
            <w:shd w:val="clear" w:color="auto" w:fill="FFFFFF"/>
            <w:vAlign w:val="bottom"/>
            <w:hideMark/>
          </w:tcPr>
          <w:p w14:paraId="2C378601"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691C8D8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76E8AF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6D55F60"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2B8AA36" w14:textId="77777777" w:rsidR="00000000" w:rsidRDefault="007E65A2">
            <w:pPr>
              <w:pStyle w:val="a3"/>
              <w:spacing w:before="0" w:beforeAutospacing="0" w:after="0" w:afterAutospacing="0"/>
              <w:jc w:val="both"/>
              <w:rPr>
                <w:sz w:val="20"/>
                <w:szCs w:val="20"/>
              </w:rPr>
            </w:pPr>
            <w:r>
              <w:rPr>
                <w:sz w:val="20"/>
                <w:szCs w:val="20"/>
              </w:rPr>
              <w:t> </w:t>
            </w:r>
          </w:p>
        </w:tc>
      </w:tr>
      <w:tr w:rsidR="00000000" w14:paraId="49FF8F57" w14:textId="77777777">
        <w:trPr>
          <w:divId w:val="911279972"/>
          <w:tblCellSpacing w:w="0" w:type="dxa"/>
        </w:trPr>
        <w:tc>
          <w:tcPr>
            <w:tcW w:w="0" w:type="auto"/>
            <w:shd w:val="clear" w:color="auto" w:fill="CCEEFF"/>
            <w:hideMark/>
          </w:tcPr>
          <w:p w14:paraId="0A0577F1" w14:textId="77777777" w:rsidR="00000000" w:rsidRDefault="007E65A2">
            <w:pPr>
              <w:pStyle w:val="a3"/>
              <w:spacing w:before="0" w:beforeAutospacing="0" w:after="0" w:afterAutospacing="0"/>
              <w:ind w:left="225"/>
              <w:jc w:val="both"/>
              <w:rPr>
                <w:sz w:val="20"/>
                <w:szCs w:val="20"/>
              </w:rPr>
            </w:pPr>
            <w:r>
              <w:rPr>
                <w:sz w:val="20"/>
                <w:szCs w:val="20"/>
              </w:rPr>
              <w:t>Loss on investment in equity method investee</w:t>
            </w:r>
          </w:p>
        </w:tc>
        <w:tc>
          <w:tcPr>
            <w:tcW w:w="50" w:type="pct"/>
            <w:shd w:val="clear" w:color="auto" w:fill="CCEEFF"/>
            <w:vAlign w:val="bottom"/>
            <w:hideMark/>
          </w:tcPr>
          <w:p w14:paraId="0ED7082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A5FC0F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679A70D"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40AA53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770323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43A45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C04DCE6" w14:textId="77777777" w:rsidR="00000000" w:rsidRDefault="007E65A2">
            <w:pPr>
              <w:jc w:val="right"/>
              <w:rPr>
                <w:rFonts w:eastAsia="Times New Roman"/>
                <w:sz w:val="20"/>
                <w:szCs w:val="20"/>
              </w:rPr>
            </w:pPr>
            <w:r>
              <w:rPr>
                <w:rFonts w:eastAsia="Times New Roman"/>
                <w:sz w:val="20"/>
                <w:szCs w:val="20"/>
              </w:rPr>
              <w:t>(476</w:t>
            </w:r>
          </w:p>
        </w:tc>
        <w:tc>
          <w:tcPr>
            <w:tcW w:w="50" w:type="pct"/>
            <w:shd w:val="clear" w:color="auto" w:fill="CCEEFF"/>
            <w:vAlign w:val="bottom"/>
            <w:hideMark/>
          </w:tcPr>
          <w:p w14:paraId="519B32FA" w14:textId="77777777" w:rsidR="00000000" w:rsidRDefault="007E65A2">
            <w:pPr>
              <w:jc w:val="both"/>
              <w:rPr>
                <w:rFonts w:eastAsia="Times New Roman"/>
                <w:sz w:val="20"/>
                <w:szCs w:val="20"/>
              </w:rPr>
            </w:pPr>
            <w:r>
              <w:rPr>
                <w:rFonts w:eastAsia="Times New Roman"/>
                <w:sz w:val="20"/>
                <w:szCs w:val="20"/>
              </w:rPr>
              <w:t>)</w:t>
            </w:r>
          </w:p>
        </w:tc>
      </w:tr>
      <w:tr w:rsidR="00000000" w14:paraId="703F7F23" w14:textId="77777777">
        <w:trPr>
          <w:divId w:val="911279972"/>
          <w:tblCellSpacing w:w="0" w:type="dxa"/>
        </w:trPr>
        <w:tc>
          <w:tcPr>
            <w:tcW w:w="0" w:type="auto"/>
            <w:shd w:val="clear" w:color="auto" w:fill="FFFFFF"/>
            <w:hideMark/>
          </w:tcPr>
          <w:p w14:paraId="6C2AD35F" w14:textId="77777777" w:rsidR="00000000" w:rsidRDefault="007E65A2">
            <w:pPr>
              <w:pStyle w:val="a3"/>
              <w:spacing w:before="0" w:beforeAutospacing="0" w:after="0" w:afterAutospacing="0"/>
              <w:ind w:left="225"/>
              <w:jc w:val="both"/>
              <w:rPr>
                <w:sz w:val="20"/>
                <w:szCs w:val="20"/>
              </w:rPr>
            </w:pPr>
            <w:r>
              <w:rPr>
                <w:sz w:val="20"/>
                <w:szCs w:val="20"/>
              </w:rPr>
              <w:t>Impairment loss on Investment in equity method investee</w:t>
            </w:r>
          </w:p>
        </w:tc>
        <w:tc>
          <w:tcPr>
            <w:tcW w:w="50" w:type="pct"/>
            <w:shd w:val="clear" w:color="auto" w:fill="FFFFFF"/>
            <w:vAlign w:val="bottom"/>
            <w:hideMark/>
          </w:tcPr>
          <w:p w14:paraId="41FBCA63"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739020F0"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7B4C8361"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1592B8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4E7CDA9"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1BC98A4A"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1DCAEDB6" w14:textId="77777777" w:rsidR="00000000" w:rsidRDefault="007E65A2">
            <w:pPr>
              <w:jc w:val="right"/>
              <w:rPr>
                <w:rFonts w:eastAsia="Times New Roman"/>
                <w:sz w:val="20"/>
                <w:szCs w:val="20"/>
              </w:rPr>
            </w:pPr>
            <w:r>
              <w:rPr>
                <w:rFonts w:eastAsia="Times New Roman"/>
                <w:sz w:val="20"/>
                <w:szCs w:val="20"/>
              </w:rPr>
              <w:t>(24,524</w:t>
            </w:r>
          </w:p>
        </w:tc>
        <w:tc>
          <w:tcPr>
            <w:tcW w:w="50" w:type="pct"/>
            <w:shd w:val="clear" w:color="auto" w:fill="FFFFFF"/>
            <w:tcMar>
              <w:top w:w="0" w:type="dxa"/>
              <w:left w:w="0" w:type="dxa"/>
              <w:bottom w:w="15" w:type="dxa"/>
              <w:right w:w="0" w:type="dxa"/>
            </w:tcMar>
            <w:vAlign w:val="bottom"/>
            <w:hideMark/>
          </w:tcPr>
          <w:p w14:paraId="0D0E14C5" w14:textId="77777777" w:rsidR="00000000" w:rsidRDefault="007E65A2">
            <w:pPr>
              <w:jc w:val="both"/>
              <w:rPr>
                <w:rFonts w:eastAsia="Times New Roman"/>
                <w:sz w:val="20"/>
                <w:szCs w:val="20"/>
              </w:rPr>
            </w:pPr>
            <w:r>
              <w:rPr>
                <w:rFonts w:eastAsia="Times New Roman"/>
                <w:sz w:val="20"/>
                <w:szCs w:val="20"/>
              </w:rPr>
              <w:t>)</w:t>
            </w:r>
          </w:p>
        </w:tc>
      </w:tr>
      <w:tr w:rsidR="00000000" w14:paraId="1CCB60E6" w14:textId="77777777">
        <w:trPr>
          <w:divId w:val="911279972"/>
          <w:tblCellSpacing w:w="0" w:type="dxa"/>
        </w:trPr>
        <w:tc>
          <w:tcPr>
            <w:tcW w:w="0" w:type="auto"/>
            <w:shd w:val="clear" w:color="auto" w:fill="CCEEFF"/>
            <w:hideMark/>
          </w:tcPr>
          <w:p w14:paraId="4EFD5D0C" w14:textId="77777777" w:rsidR="00000000" w:rsidRDefault="007E65A2">
            <w:pPr>
              <w:pStyle w:val="a3"/>
              <w:spacing w:before="0" w:beforeAutospacing="0" w:after="0" w:afterAutospacing="0"/>
              <w:jc w:val="both"/>
              <w:rPr>
                <w:sz w:val="20"/>
                <w:szCs w:val="20"/>
              </w:rPr>
            </w:pPr>
            <w:r>
              <w:rPr>
                <w:b/>
                <w:bCs/>
                <w:sz w:val="20"/>
                <w:szCs w:val="20"/>
              </w:rPr>
              <w:t>Net Other Expense</w:t>
            </w:r>
          </w:p>
        </w:tc>
        <w:tc>
          <w:tcPr>
            <w:tcW w:w="50" w:type="pct"/>
            <w:shd w:val="clear" w:color="auto" w:fill="CCEEFF"/>
            <w:vAlign w:val="bottom"/>
            <w:hideMark/>
          </w:tcPr>
          <w:p w14:paraId="68E76E99"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18ACA3D"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147D33CB" w14:textId="77777777" w:rsidR="00000000" w:rsidRDefault="007E65A2">
            <w:pPr>
              <w:jc w:val="right"/>
              <w:rPr>
                <w:rFonts w:eastAsia="Times New Roman"/>
                <w:sz w:val="20"/>
                <w:szCs w:val="20"/>
              </w:rPr>
            </w:pPr>
            <w:r>
              <w:rPr>
                <w:rFonts w:eastAsia="Times New Roman"/>
                <w:sz w:val="20"/>
                <w:szCs w:val="20"/>
              </w:rPr>
              <w:t>(900,897</w:t>
            </w:r>
          </w:p>
        </w:tc>
        <w:tc>
          <w:tcPr>
            <w:tcW w:w="50" w:type="pct"/>
            <w:shd w:val="clear" w:color="auto" w:fill="CCEEFF"/>
            <w:tcMar>
              <w:top w:w="0" w:type="dxa"/>
              <w:left w:w="0" w:type="dxa"/>
              <w:bottom w:w="15" w:type="dxa"/>
              <w:right w:w="0" w:type="dxa"/>
            </w:tcMar>
            <w:vAlign w:val="bottom"/>
            <w:hideMark/>
          </w:tcPr>
          <w:p w14:paraId="2238BDFA"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75DCE16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5BF43F8"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059F5325" w14:textId="77777777" w:rsidR="00000000" w:rsidRDefault="007E65A2">
            <w:pPr>
              <w:jc w:val="right"/>
              <w:rPr>
                <w:rFonts w:eastAsia="Times New Roman"/>
                <w:sz w:val="20"/>
                <w:szCs w:val="20"/>
              </w:rPr>
            </w:pPr>
            <w:r>
              <w:rPr>
                <w:rFonts w:eastAsia="Times New Roman"/>
                <w:sz w:val="20"/>
                <w:szCs w:val="20"/>
              </w:rPr>
              <w:t>(1,362,143</w:t>
            </w:r>
          </w:p>
        </w:tc>
        <w:tc>
          <w:tcPr>
            <w:tcW w:w="50" w:type="pct"/>
            <w:shd w:val="clear" w:color="auto" w:fill="CCEEFF"/>
            <w:tcMar>
              <w:top w:w="0" w:type="dxa"/>
              <w:left w:w="0" w:type="dxa"/>
              <w:bottom w:w="15" w:type="dxa"/>
              <w:right w:w="0" w:type="dxa"/>
            </w:tcMar>
            <w:vAlign w:val="bottom"/>
            <w:hideMark/>
          </w:tcPr>
          <w:p w14:paraId="4C4561F2" w14:textId="77777777" w:rsidR="00000000" w:rsidRDefault="007E65A2">
            <w:pPr>
              <w:jc w:val="both"/>
              <w:rPr>
                <w:rFonts w:eastAsia="Times New Roman"/>
                <w:sz w:val="20"/>
                <w:szCs w:val="20"/>
              </w:rPr>
            </w:pPr>
            <w:r>
              <w:rPr>
                <w:rFonts w:eastAsia="Times New Roman"/>
                <w:sz w:val="20"/>
                <w:szCs w:val="20"/>
              </w:rPr>
              <w:t>)</w:t>
            </w:r>
          </w:p>
        </w:tc>
      </w:tr>
      <w:tr w:rsidR="00000000" w14:paraId="1B3B3981" w14:textId="77777777">
        <w:trPr>
          <w:divId w:val="911279972"/>
          <w:tblCellSpacing w:w="0" w:type="dxa"/>
        </w:trPr>
        <w:tc>
          <w:tcPr>
            <w:tcW w:w="0" w:type="auto"/>
            <w:shd w:val="clear" w:color="auto" w:fill="FFFFFF"/>
            <w:vAlign w:val="center"/>
            <w:hideMark/>
          </w:tcPr>
          <w:p w14:paraId="4151252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10C367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C9179F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4020985"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tcMar>
              <w:top w:w="0" w:type="dxa"/>
              <w:left w:w="0" w:type="dxa"/>
              <w:bottom w:w="15" w:type="dxa"/>
              <w:right w:w="0" w:type="dxa"/>
            </w:tcMar>
            <w:vAlign w:val="bottom"/>
            <w:hideMark/>
          </w:tcPr>
          <w:p w14:paraId="3D34240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45641C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C2591E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85C4B39"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tcMar>
              <w:top w:w="0" w:type="dxa"/>
              <w:left w:w="0" w:type="dxa"/>
              <w:bottom w:w="15" w:type="dxa"/>
              <w:right w:w="0" w:type="dxa"/>
            </w:tcMar>
            <w:vAlign w:val="bottom"/>
            <w:hideMark/>
          </w:tcPr>
          <w:p w14:paraId="67BEBBE5" w14:textId="77777777" w:rsidR="00000000" w:rsidRDefault="007E65A2">
            <w:pPr>
              <w:pStyle w:val="a3"/>
              <w:spacing w:before="0" w:beforeAutospacing="0" w:after="0" w:afterAutospacing="0"/>
              <w:jc w:val="both"/>
              <w:rPr>
                <w:sz w:val="20"/>
                <w:szCs w:val="20"/>
              </w:rPr>
            </w:pPr>
            <w:r>
              <w:rPr>
                <w:sz w:val="20"/>
                <w:szCs w:val="20"/>
              </w:rPr>
              <w:t> </w:t>
            </w:r>
          </w:p>
        </w:tc>
      </w:tr>
      <w:tr w:rsidR="00000000" w14:paraId="21E0E6E7" w14:textId="77777777">
        <w:trPr>
          <w:divId w:val="911279972"/>
          <w:tblCellSpacing w:w="0" w:type="dxa"/>
        </w:trPr>
        <w:tc>
          <w:tcPr>
            <w:tcW w:w="0" w:type="auto"/>
            <w:shd w:val="clear" w:color="auto" w:fill="CCEEFF"/>
            <w:hideMark/>
          </w:tcPr>
          <w:p w14:paraId="4A19C043" w14:textId="77777777" w:rsidR="00000000" w:rsidRDefault="007E65A2">
            <w:pPr>
              <w:pStyle w:val="a3"/>
              <w:spacing w:before="0" w:beforeAutospacing="0" w:after="0" w:afterAutospacing="0"/>
              <w:jc w:val="both"/>
              <w:rPr>
                <w:sz w:val="20"/>
                <w:szCs w:val="20"/>
              </w:rPr>
            </w:pPr>
            <w:r>
              <w:rPr>
                <w:b/>
                <w:bCs/>
                <w:sz w:val="20"/>
                <w:szCs w:val="20"/>
              </w:rPr>
              <w:t>Net Loss</w:t>
            </w:r>
          </w:p>
        </w:tc>
        <w:tc>
          <w:tcPr>
            <w:tcW w:w="50" w:type="pct"/>
            <w:shd w:val="clear" w:color="auto" w:fill="CCEEFF"/>
            <w:vAlign w:val="bottom"/>
            <w:hideMark/>
          </w:tcPr>
          <w:p w14:paraId="58F19F3B"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87692EB"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7EF1E36" w14:textId="77777777" w:rsidR="00000000" w:rsidRDefault="007E65A2">
            <w:pPr>
              <w:jc w:val="right"/>
              <w:rPr>
                <w:rFonts w:eastAsia="Times New Roman"/>
                <w:sz w:val="20"/>
                <w:szCs w:val="20"/>
              </w:rPr>
            </w:pPr>
            <w:r>
              <w:rPr>
                <w:rFonts w:eastAsia="Times New Roman"/>
                <w:sz w:val="20"/>
                <w:szCs w:val="20"/>
              </w:rPr>
              <w:t>(1,064,810</w:t>
            </w:r>
          </w:p>
        </w:tc>
        <w:tc>
          <w:tcPr>
            <w:tcW w:w="50" w:type="pct"/>
            <w:shd w:val="clear" w:color="auto" w:fill="CCEEFF"/>
            <w:tcMar>
              <w:top w:w="0" w:type="dxa"/>
              <w:left w:w="0" w:type="dxa"/>
              <w:bottom w:w="45" w:type="dxa"/>
              <w:right w:w="0" w:type="dxa"/>
            </w:tcMar>
            <w:vAlign w:val="bottom"/>
            <w:hideMark/>
          </w:tcPr>
          <w:p w14:paraId="7B66B31D"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2DF253E6"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4897BD7"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960C669" w14:textId="77777777" w:rsidR="00000000" w:rsidRDefault="007E65A2">
            <w:pPr>
              <w:jc w:val="right"/>
              <w:rPr>
                <w:rFonts w:eastAsia="Times New Roman"/>
                <w:sz w:val="20"/>
                <w:szCs w:val="20"/>
              </w:rPr>
            </w:pPr>
            <w:r>
              <w:rPr>
                <w:rFonts w:eastAsia="Times New Roman"/>
                <w:sz w:val="20"/>
                <w:szCs w:val="20"/>
              </w:rPr>
              <w:t>(1,994,256</w:t>
            </w:r>
          </w:p>
        </w:tc>
        <w:tc>
          <w:tcPr>
            <w:tcW w:w="50" w:type="pct"/>
            <w:shd w:val="clear" w:color="auto" w:fill="CCEEFF"/>
            <w:tcMar>
              <w:top w:w="0" w:type="dxa"/>
              <w:left w:w="0" w:type="dxa"/>
              <w:bottom w:w="45" w:type="dxa"/>
              <w:right w:w="0" w:type="dxa"/>
            </w:tcMar>
            <w:vAlign w:val="bottom"/>
            <w:hideMark/>
          </w:tcPr>
          <w:p w14:paraId="40A8AC25" w14:textId="77777777" w:rsidR="00000000" w:rsidRDefault="007E65A2">
            <w:pPr>
              <w:jc w:val="both"/>
              <w:rPr>
                <w:rFonts w:eastAsia="Times New Roman"/>
                <w:sz w:val="20"/>
                <w:szCs w:val="20"/>
              </w:rPr>
            </w:pPr>
            <w:r>
              <w:rPr>
                <w:rFonts w:eastAsia="Times New Roman"/>
                <w:sz w:val="20"/>
                <w:szCs w:val="20"/>
              </w:rPr>
              <w:t>)</w:t>
            </w:r>
          </w:p>
        </w:tc>
      </w:tr>
      <w:tr w:rsidR="00000000" w14:paraId="6E821CD3" w14:textId="77777777">
        <w:trPr>
          <w:divId w:val="911279972"/>
          <w:tblCellSpacing w:w="0" w:type="dxa"/>
        </w:trPr>
        <w:tc>
          <w:tcPr>
            <w:tcW w:w="0" w:type="auto"/>
            <w:shd w:val="clear" w:color="auto" w:fill="FFFFFF"/>
            <w:vAlign w:val="center"/>
            <w:hideMark/>
          </w:tcPr>
          <w:p w14:paraId="4C06EF2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1109C3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545613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1AF4B27"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CE2FEA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4FD3D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07F898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7CC858B"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C2BFC7C" w14:textId="77777777" w:rsidR="00000000" w:rsidRDefault="007E65A2">
            <w:pPr>
              <w:pStyle w:val="a3"/>
              <w:spacing w:before="0" w:beforeAutospacing="0" w:after="0" w:afterAutospacing="0"/>
              <w:jc w:val="both"/>
              <w:rPr>
                <w:sz w:val="20"/>
                <w:szCs w:val="20"/>
              </w:rPr>
            </w:pPr>
            <w:r>
              <w:rPr>
                <w:sz w:val="20"/>
                <w:szCs w:val="20"/>
              </w:rPr>
              <w:t> </w:t>
            </w:r>
          </w:p>
        </w:tc>
      </w:tr>
      <w:tr w:rsidR="00000000" w14:paraId="431CF065" w14:textId="77777777">
        <w:trPr>
          <w:divId w:val="911279972"/>
          <w:tblCellSpacing w:w="0" w:type="dxa"/>
        </w:trPr>
        <w:tc>
          <w:tcPr>
            <w:tcW w:w="0" w:type="auto"/>
            <w:shd w:val="clear" w:color="auto" w:fill="CCEEFF"/>
            <w:hideMark/>
          </w:tcPr>
          <w:p w14:paraId="1098CD8E" w14:textId="77777777" w:rsidR="00000000" w:rsidRDefault="007E65A2">
            <w:pPr>
              <w:pStyle w:val="a3"/>
              <w:spacing w:before="0" w:beforeAutospacing="0" w:after="0" w:afterAutospacing="0"/>
              <w:jc w:val="both"/>
              <w:rPr>
                <w:sz w:val="20"/>
                <w:szCs w:val="20"/>
              </w:rPr>
            </w:pPr>
            <w:r>
              <w:rPr>
                <w:b/>
                <w:bCs/>
                <w:sz w:val="20"/>
                <w:szCs w:val="20"/>
              </w:rPr>
              <w:t>Net Loss Per Common Share: Basic and Diluted</w:t>
            </w:r>
          </w:p>
        </w:tc>
        <w:tc>
          <w:tcPr>
            <w:tcW w:w="50" w:type="pct"/>
            <w:shd w:val="clear" w:color="auto" w:fill="CCEEFF"/>
            <w:vAlign w:val="bottom"/>
            <w:hideMark/>
          </w:tcPr>
          <w:p w14:paraId="511280A6"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DDE45C2"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326FB11" w14:textId="77777777" w:rsidR="00000000" w:rsidRDefault="007E65A2">
            <w:pPr>
              <w:jc w:val="right"/>
              <w:rPr>
                <w:rFonts w:eastAsia="Times New Roman"/>
                <w:sz w:val="20"/>
                <w:szCs w:val="20"/>
              </w:rPr>
            </w:pPr>
            <w:r>
              <w:rPr>
                <w:rFonts w:eastAsia="Times New Roman"/>
                <w:sz w:val="20"/>
                <w:szCs w:val="20"/>
              </w:rPr>
              <w:t>(0.00</w:t>
            </w:r>
          </w:p>
        </w:tc>
        <w:tc>
          <w:tcPr>
            <w:tcW w:w="50" w:type="pct"/>
            <w:shd w:val="clear" w:color="auto" w:fill="CCEEFF"/>
            <w:tcMar>
              <w:top w:w="0" w:type="dxa"/>
              <w:left w:w="0" w:type="dxa"/>
              <w:bottom w:w="45" w:type="dxa"/>
              <w:right w:w="0" w:type="dxa"/>
            </w:tcMar>
            <w:vAlign w:val="bottom"/>
            <w:hideMark/>
          </w:tcPr>
          <w:p w14:paraId="697AA1FA"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20A4D5C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6EA91019"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6DB77C1" w14:textId="77777777" w:rsidR="00000000" w:rsidRDefault="007E65A2">
            <w:pPr>
              <w:jc w:val="right"/>
              <w:rPr>
                <w:rFonts w:eastAsia="Times New Roman"/>
                <w:sz w:val="20"/>
                <w:szCs w:val="20"/>
              </w:rPr>
            </w:pPr>
            <w:r>
              <w:rPr>
                <w:rFonts w:eastAsia="Times New Roman"/>
                <w:sz w:val="20"/>
                <w:szCs w:val="20"/>
              </w:rPr>
              <w:t>(0.00</w:t>
            </w:r>
          </w:p>
        </w:tc>
        <w:tc>
          <w:tcPr>
            <w:tcW w:w="50" w:type="pct"/>
            <w:shd w:val="clear" w:color="auto" w:fill="CCEEFF"/>
            <w:tcMar>
              <w:top w:w="0" w:type="dxa"/>
              <w:left w:w="0" w:type="dxa"/>
              <w:bottom w:w="45" w:type="dxa"/>
              <w:right w:w="0" w:type="dxa"/>
            </w:tcMar>
            <w:vAlign w:val="bottom"/>
            <w:hideMark/>
          </w:tcPr>
          <w:p w14:paraId="0C8E1DE1" w14:textId="77777777" w:rsidR="00000000" w:rsidRDefault="007E65A2">
            <w:pPr>
              <w:jc w:val="both"/>
              <w:rPr>
                <w:rFonts w:eastAsia="Times New Roman"/>
                <w:sz w:val="20"/>
                <w:szCs w:val="20"/>
              </w:rPr>
            </w:pPr>
            <w:r>
              <w:rPr>
                <w:rFonts w:eastAsia="Times New Roman"/>
                <w:sz w:val="20"/>
                <w:szCs w:val="20"/>
              </w:rPr>
              <w:t>)</w:t>
            </w:r>
          </w:p>
        </w:tc>
      </w:tr>
      <w:tr w:rsidR="00000000" w14:paraId="500758F9" w14:textId="77777777">
        <w:trPr>
          <w:divId w:val="911279972"/>
          <w:tblCellSpacing w:w="0" w:type="dxa"/>
        </w:trPr>
        <w:tc>
          <w:tcPr>
            <w:tcW w:w="0" w:type="auto"/>
            <w:shd w:val="clear" w:color="auto" w:fill="FFFFFF"/>
            <w:vAlign w:val="center"/>
            <w:hideMark/>
          </w:tcPr>
          <w:p w14:paraId="483F1A3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7DECEA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9A9FE5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98EE8C9"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A851BB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F8449B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10DBBD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6EBFB66"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6185F27" w14:textId="77777777" w:rsidR="00000000" w:rsidRDefault="007E65A2">
            <w:pPr>
              <w:pStyle w:val="a3"/>
              <w:spacing w:before="0" w:beforeAutospacing="0" w:after="0" w:afterAutospacing="0"/>
              <w:jc w:val="both"/>
              <w:rPr>
                <w:sz w:val="20"/>
                <w:szCs w:val="20"/>
              </w:rPr>
            </w:pPr>
            <w:r>
              <w:rPr>
                <w:sz w:val="20"/>
                <w:szCs w:val="20"/>
              </w:rPr>
              <w:t> </w:t>
            </w:r>
          </w:p>
        </w:tc>
      </w:tr>
      <w:tr w:rsidR="00000000" w14:paraId="36C61483" w14:textId="77777777">
        <w:trPr>
          <w:divId w:val="911279972"/>
          <w:tblCellSpacing w:w="0" w:type="dxa"/>
        </w:trPr>
        <w:tc>
          <w:tcPr>
            <w:tcW w:w="0" w:type="auto"/>
            <w:shd w:val="clear" w:color="auto" w:fill="CCEEFF"/>
            <w:hideMark/>
          </w:tcPr>
          <w:p w14:paraId="44ED2152" w14:textId="77777777" w:rsidR="00000000" w:rsidRDefault="007E65A2">
            <w:pPr>
              <w:pStyle w:val="a3"/>
              <w:spacing w:before="0" w:beforeAutospacing="0" w:after="0" w:afterAutospacing="0"/>
              <w:jc w:val="both"/>
              <w:rPr>
                <w:sz w:val="20"/>
                <w:szCs w:val="20"/>
              </w:rPr>
            </w:pPr>
            <w:r>
              <w:rPr>
                <w:b/>
                <w:bCs/>
                <w:sz w:val="20"/>
                <w:szCs w:val="20"/>
              </w:rPr>
              <w:t>Weighted Average Number of Common Shares Outstanding: Basic and Diluted</w:t>
            </w:r>
          </w:p>
        </w:tc>
        <w:tc>
          <w:tcPr>
            <w:tcW w:w="50" w:type="pct"/>
            <w:shd w:val="clear" w:color="auto" w:fill="CCEEFF"/>
            <w:vAlign w:val="bottom"/>
            <w:hideMark/>
          </w:tcPr>
          <w:p w14:paraId="582430F6"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7F7735F7"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double" w:sz="6" w:space="0" w:color="000000"/>
            </w:tcBorders>
            <w:shd w:val="clear" w:color="auto" w:fill="CCEEFF"/>
            <w:vAlign w:val="bottom"/>
            <w:hideMark/>
          </w:tcPr>
          <w:p w14:paraId="1B5E3473" w14:textId="77777777" w:rsidR="00000000" w:rsidRDefault="007E65A2">
            <w:pPr>
              <w:jc w:val="right"/>
              <w:rPr>
                <w:rFonts w:eastAsia="Times New Roman"/>
                <w:sz w:val="20"/>
                <w:szCs w:val="20"/>
              </w:rPr>
            </w:pPr>
            <w:r>
              <w:rPr>
                <w:rFonts w:eastAsia="Times New Roman"/>
                <w:sz w:val="20"/>
                <w:szCs w:val="20"/>
              </w:rPr>
              <w:t>2,411,256,185</w:t>
            </w:r>
          </w:p>
        </w:tc>
        <w:tc>
          <w:tcPr>
            <w:tcW w:w="50" w:type="pct"/>
            <w:shd w:val="clear" w:color="auto" w:fill="CCEEFF"/>
            <w:tcMar>
              <w:top w:w="0" w:type="dxa"/>
              <w:left w:w="0" w:type="dxa"/>
              <w:bottom w:w="45" w:type="dxa"/>
              <w:right w:w="0" w:type="dxa"/>
            </w:tcMar>
            <w:vAlign w:val="bottom"/>
            <w:hideMark/>
          </w:tcPr>
          <w:p w14:paraId="080EF30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08DFF74"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228DC98D"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double" w:sz="6" w:space="0" w:color="000000"/>
            </w:tcBorders>
            <w:shd w:val="clear" w:color="auto" w:fill="CCEEFF"/>
            <w:vAlign w:val="bottom"/>
            <w:hideMark/>
          </w:tcPr>
          <w:p w14:paraId="3479F9D8" w14:textId="77777777" w:rsidR="00000000" w:rsidRDefault="007E65A2">
            <w:pPr>
              <w:jc w:val="right"/>
              <w:rPr>
                <w:rFonts w:eastAsia="Times New Roman"/>
                <w:sz w:val="20"/>
                <w:szCs w:val="20"/>
              </w:rPr>
            </w:pPr>
            <w:r>
              <w:rPr>
                <w:rFonts w:eastAsia="Times New Roman"/>
                <w:sz w:val="20"/>
                <w:szCs w:val="20"/>
              </w:rPr>
              <w:t>988,229,338</w:t>
            </w:r>
          </w:p>
        </w:tc>
        <w:tc>
          <w:tcPr>
            <w:tcW w:w="50" w:type="pct"/>
            <w:shd w:val="clear" w:color="auto" w:fill="CCEEFF"/>
            <w:tcMar>
              <w:top w:w="0" w:type="dxa"/>
              <w:left w:w="0" w:type="dxa"/>
              <w:bottom w:w="45" w:type="dxa"/>
              <w:right w:w="0" w:type="dxa"/>
            </w:tcMar>
            <w:vAlign w:val="bottom"/>
            <w:hideMark/>
          </w:tcPr>
          <w:p w14:paraId="4672A238" w14:textId="77777777" w:rsidR="00000000" w:rsidRDefault="007E65A2">
            <w:pPr>
              <w:pStyle w:val="a3"/>
              <w:spacing w:before="0" w:beforeAutospacing="0" w:after="0" w:afterAutospacing="0"/>
              <w:jc w:val="both"/>
              <w:rPr>
                <w:sz w:val="20"/>
                <w:szCs w:val="20"/>
              </w:rPr>
            </w:pPr>
            <w:r>
              <w:rPr>
                <w:sz w:val="20"/>
                <w:szCs w:val="20"/>
              </w:rPr>
              <w:t> </w:t>
            </w:r>
          </w:p>
        </w:tc>
      </w:tr>
    </w:tbl>
    <w:p w14:paraId="680DBB15" w14:textId="77777777" w:rsidR="00000000" w:rsidRDefault="007E65A2">
      <w:pPr>
        <w:pStyle w:val="a3"/>
        <w:spacing w:before="0" w:beforeAutospacing="0" w:after="0" w:afterAutospacing="0"/>
        <w:jc w:val="center"/>
        <w:divId w:val="911279972"/>
        <w:rPr>
          <w:sz w:val="20"/>
          <w:szCs w:val="20"/>
        </w:rPr>
      </w:pPr>
      <w:r>
        <w:rPr>
          <w:sz w:val="20"/>
          <w:szCs w:val="20"/>
        </w:rPr>
        <w:t> </w:t>
      </w:r>
    </w:p>
    <w:p w14:paraId="71CEF822" w14:textId="77777777" w:rsidR="00000000" w:rsidRDefault="007E65A2">
      <w:pPr>
        <w:pStyle w:val="a3"/>
        <w:spacing w:before="0" w:beforeAutospacing="0" w:after="0" w:afterAutospacing="0"/>
        <w:jc w:val="center"/>
        <w:divId w:val="911279972"/>
        <w:rPr>
          <w:sz w:val="20"/>
          <w:szCs w:val="20"/>
        </w:rPr>
      </w:pPr>
      <w:r>
        <w:rPr>
          <w:sz w:val="20"/>
          <w:szCs w:val="20"/>
        </w:rPr>
        <w:t>See accompanying notes to consolidated financial statements.</w:t>
      </w:r>
    </w:p>
    <w:p w14:paraId="2C121296"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FE4EDFA" w14:textId="77777777">
        <w:trPr>
          <w:divId w:val="911279972"/>
          <w:tblCellSpacing w:w="0" w:type="dxa"/>
        </w:trPr>
        <w:tc>
          <w:tcPr>
            <w:tcW w:w="0" w:type="auto"/>
            <w:vAlign w:val="center"/>
            <w:hideMark/>
          </w:tcPr>
          <w:p w14:paraId="4C5FBD10" w14:textId="77777777" w:rsidR="00000000" w:rsidRDefault="007E65A2">
            <w:pPr>
              <w:rPr>
                <w:rFonts w:eastAsia="Times New Roman"/>
                <w:sz w:val="20"/>
                <w:szCs w:val="20"/>
              </w:rPr>
            </w:pPr>
            <w:r>
              <w:rPr>
                <w:rFonts w:eastAsia="Times New Roman"/>
                <w:sz w:val="20"/>
                <w:szCs w:val="20"/>
              </w:rPr>
              <w:t> </w:t>
            </w:r>
          </w:p>
        </w:tc>
      </w:tr>
      <w:tr w:rsidR="00000000" w14:paraId="3D72E13C" w14:textId="77777777">
        <w:trPr>
          <w:divId w:val="911279972"/>
          <w:tblCellSpacing w:w="0" w:type="dxa"/>
        </w:trPr>
        <w:tc>
          <w:tcPr>
            <w:tcW w:w="0" w:type="auto"/>
            <w:tcBorders>
              <w:bottom w:val="single" w:sz="6" w:space="0" w:color="000000"/>
            </w:tcBorders>
            <w:vAlign w:val="center"/>
            <w:hideMark/>
          </w:tcPr>
          <w:p w14:paraId="5C8A3728" w14:textId="77777777" w:rsidR="00000000" w:rsidRDefault="007E65A2">
            <w:pPr>
              <w:jc w:val="center"/>
              <w:rPr>
                <w:rFonts w:eastAsia="Times New Roman"/>
                <w:sz w:val="20"/>
                <w:szCs w:val="20"/>
              </w:rPr>
            </w:pPr>
            <w:r>
              <w:rPr>
                <w:rFonts w:eastAsia="Times New Roman"/>
                <w:sz w:val="20"/>
                <w:szCs w:val="20"/>
              </w:rPr>
              <w:t>F-4</w:t>
            </w:r>
          </w:p>
        </w:tc>
      </w:tr>
      <w:tr w:rsidR="00000000" w14:paraId="1ACD2B3D" w14:textId="77777777">
        <w:trPr>
          <w:divId w:val="911279972"/>
          <w:tblCellSpacing w:w="0" w:type="dxa"/>
        </w:trPr>
        <w:tc>
          <w:tcPr>
            <w:tcW w:w="0" w:type="auto"/>
            <w:vAlign w:val="center"/>
            <w:hideMark/>
          </w:tcPr>
          <w:p w14:paraId="7B377D41" w14:textId="77777777" w:rsidR="00000000" w:rsidRDefault="007E65A2">
            <w:pPr>
              <w:rPr>
                <w:rFonts w:eastAsia="Times New Roman"/>
                <w:sz w:val="20"/>
                <w:szCs w:val="20"/>
              </w:rPr>
            </w:pPr>
            <w:r>
              <w:rPr>
                <w:rFonts w:eastAsia="Times New Roman"/>
                <w:sz w:val="20"/>
                <w:szCs w:val="20"/>
              </w:rPr>
              <w:t> </w:t>
            </w:r>
          </w:p>
        </w:tc>
      </w:tr>
      <w:tr w:rsidR="00000000" w14:paraId="4BBF7B43" w14:textId="77777777">
        <w:trPr>
          <w:divId w:val="911279972"/>
          <w:tblCellSpacing w:w="0" w:type="dxa"/>
        </w:trPr>
        <w:tc>
          <w:tcPr>
            <w:tcW w:w="0" w:type="auto"/>
            <w:vAlign w:val="center"/>
            <w:hideMark/>
          </w:tcPr>
          <w:p w14:paraId="4C008A1E"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0BE8956E"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p w14:paraId="74B95980" w14:textId="77777777" w:rsidR="00000000" w:rsidRDefault="007E65A2">
      <w:pPr>
        <w:pStyle w:val="a3"/>
        <w:spacing w:before="0" w:beforeAutospacing="0" w:after="0" w:afterAutospacing="0"/>
        <w:jc w:val="center"/>
        <w:divId w:val="911279972"/>
        <w:rPr>
          <w:sz w:val="20"/>
          <w:szCs w:val="20"/>
        </w:rPr>
      </w:pPr>
      <w:r>
        <w:rPr>
          <w:b/>
          <w:bCs/>
          <w:sz w:val="20"/>
          <w:szCs w:val="20"/>
        </w:rPr>
        <w:t>APPYEA, INC.</w:t>
      </w:r>
    </w:p>
    <w:p w14:paraId="05AB7AB7" w14:textId="77777777" w:rsidR="00000000" w:rsidRDefault="007E65A2">
      <w:pPr>
        <w:pStyle w:val="a3"/>
        <w:spacing w:before="0" w:beforeAutospacing="0" w:after="0" w:afterAutospacing="0"/>
        <w:jc w:val="center"/>
        <w:divId w:val="911279972"/>
        <w:rPr>
          <w:sz w:val="20"/>
          <w:szCs w:val="20"/>
        </w:rPr>
      </w:pPr>
      <w:bookmarkStart w:id="18" w:name="CONSOLIDATED_STATEMENTS_OF_CHANGES_IN_ST"/>
      <w:r>
        <w:rPr>
          <w:b/>
          <w:bCs/>
          <w:sz w:val="20"/>
          <w:szCs w:val="20"/>
        </w:rPr>
        <w:t>CONSOLIDATED STATEMENTS OF CHANGES IN STOCKHOLDERS’ DEFICIT</w:t>
      </w:r>
      <w:bookmarkEnd w:id="18"/>
    </w:p>
    <w:p w14:paraId="1E8F71A9" w14:textId="77777777" w:rsidR="00000000" w:rsidRDefault="007E65A2">
      <w:pPr>
        <w:pStyle w:val="a3"/>
        <w:spacing w:before="0" w:beforeAutospacing="0" w:after="0" w:afterAutospacing="0"/>
        <w:jc w:val="center"/>
        <w:divId w:val="911279972"/>
        <w:rPr>
          <w:sz w:val="20"/>
          <w:szCs w:val="20"/>
        </w:rPr>
      </w:pPr>
      <w:r>
        <w:rPr>
          <w:b/>
          <w:bCs/>
          <w:sz w:val="20"/>
          <w:szCs w:val="20"/>
        </w:rPr>
        <w:t>For the Years Ended June 30, 2019 and 2018</w:t>
      </w:r>
    </w:p>
    <w:p w14:paraId="00081633"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45"/>
        <w:gridCol w:w="50"/>
        <w:gridCol w:w="50"/>
        <w:gridCol w:w="800"/>
        <w:gridCol w:w="50"/>
        <w:gridCol w:w="50"/>
        <w:gridCol w:w="117"/>
        <w:gridCol w:w="584"/>
        <w:gridCol w:w="50"/>
        <w:gridCol w:w="50"/>
        <w:gridCol w:w="50"/>
        <w:gridCol w:w="1150"/>
        <w:gridCol w:w="50"/>
        <w:gridCol w:w="50"/>
        <w:gridCol w:w="100"/>
        <w:gridCol w:w="650"/>
        <w:gridCol w:w="50"/>
        <w:gridCol w:w="50"/>
        <w:gridCol w:w="152"/>
        <w:gridCol w:w="800"/>
        <w:gridCol w:w="50"/>
        <w:gridCol w:w="50"/>
        <w:gridCol w:w="100"/>
        <w:gridCol w:w="650"/>
        <w:gridCol w:w="67"/>
        <w:gridCol w:w="50"/>
        <w:gridCol w:w="189"/>
        <w:gridCol w:w="945"/>
        <w:gridCol w:w="67"/>
        <w:gridCol w:w="50"/>
        <w:gridCol w:w="100"/>
        <w:gridCol w:w="867"/>
        <w:gridCol w:w="67"/>
      </w:tblGrid>
      <w:tr w:rsidR="00000000" w14:paraId="1601215E" w14:textId="77777777">
        <w:trPr>
          <w:divId w:val="911279972"/>
          <w:tblCellSpacing w:w="0" w:type="dxa"/>
        </w:trPr>
        <w:tc>
          <w:tcPr>
            <w:tcW w:w="0" w:type="auto"/>
            <w:vAlign w:val="bottom"/>
            <w:hideMark/>
          </w:tcPr>
          <w:p w14:paraId="51483FAC"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5BBF9C93"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60E69AE0" w14:textId="77777777" w:rsidR="00000000" w:rsidRDefault="007E65A2">
            <w:pPr>
              <w:pStyle w:val="a3"/>
              <w:spacing w:before="0" w:beforeAutospacing="0" w:after="0" w:afterAutospacing="0"/>
              <w:jc w:val="center"/>
              <w:rPr>
                <w:sz w:val="20"/>
                <w:szCs w:val="20"/>
              </w:rPr>
            </w:pPr>
            <w:r>
              <w:rPr>
                <w:b/>
                <w:bCs/>
                <w:sz w:val="20"/>
                <w:szCs w:val="20"/>
              </w:rPr>
              <w:t>Convertible</w:t>
            </w:r>
          </w:p>
        </w:tc>
        <w:tc>
          <w:tcPr>
            <w:tcW w:w="0" w:type="auto"/>
            <w:vAlign w:val="bottom"/>
            <w:hideMark/>
          </w:tcPr>
          <w:p w14:paraId="09D07DA9"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1E7180A8"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036172B8"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4C7AAD79"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195DD061"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3F0FCF69" w14:textId="77777777" w:rsidR="00000000" w:rsidRDefault="007E65A2">
            <w:pPr>
              <w:pStyle w:val="a3"/>
              <w:spacing w:before="0" w:beforeAutospacing="0" w:after="0" w:afterAutospacing="0"/>
              <w:jc w:val="center"/>
              <w:rPr>
                <w:sz w:val="20"/>
                <w:szCs w:val="20"/>
              </w:rPr>
            </w:pPr>
            <w:r>
              <w:rPr>
                <w:b/>
                <w:bCs/>
                <w:sz w:val="20"/>
                <w:szCs w:val="20"/>
              </w:rPr>
              <w:t>Additional</w:t>
            </w:r>
          </w:p>
        </w:tc>
        <w:tc>
          <w:tcPr>
            <w:tcW w:w="0" w:type="auto"/>
            <w:vAlign w:val="bottom"/>
            <w:hideMark/>
          </w:tcPr>
          <w:p w14:paraId="5C94D57F"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54CF479F"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2EFB7A7A"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00965A63"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2316470E"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28B0BBAE"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1F1CCE27"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2F1D7863"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18A0315E"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5492923D" w14:textId="77777777" w:rsidR="00000000" w:rsidRDefault="007E65A2">
            <w:pPr>
              <w:pStyle w:val="a3"/>
              <w:spacing w:before="0" w:beforeAutospacing="0" w:after="0" w:afterAutospacing="0"/>
              <w:jc w:val="both"/>
              <w:rPr>
                <w:sz w:val="20"/>
                <w:szCs w:val="20"/>
              </w:rPr>
            </w:pPr>
            <w:r>
              <w:rPr>
                <w:sz w:val="20"/>
                <w:szCs w:val="20"/>
              </w:rPr>
              <w:t> </w:t>
            </w:r>
          </w:p>
        </w:tc>
      </w:tr>
      <w:tr w:rsidR="00000000" w14:paraId="337F0DBF" w14:textId="77777777">
        <w:trPr>
          <w:divId w:val="911279972"/>
          <w:tblCellSpacing w:w="0" w:type="dxa"/>
        </w:trPr>
        <w:tc>
          <w:tcPr>
            <w:tcW w:w="0" w:type="auto"/>
            <w:vAlign w:val="bottom"/>
            <w:hideMark/>
          </w:tcPr>
          <w:p w14:paraId="4469BDDC"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27A568EE"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0FB73B4B" w14:textId="77777777" w:rsidR="00000000" w:rsidRDefault="007E65A2">
            <w:pPr>
              <w:pStyle w:val="a3"/>
              <w:spacing w:before="0" w:beforeAutospacing="0" w:after="0" w:afterAutospacing="0"/>
              <w:jc w:val="center"/>
              <w:rPr>
                <w:sz w:val="20"/>
                <w:szCs w:val="20"/>
              </w:rPr>
            </w:pPr>
            <w:r>
              <w:rPr>
                <w:b/>
                <w:bCs/>
                <w:sz w:val="20"/>
                <w:szCs w:val="20"/>
              </w:rPr>
              <w:t>Preferred Stock</w:t>
            </w:r>
          </w:p>
        </w:tc>
        <w:tc>
          <w:tcPr>
            <w:tcW w:w="0" w:type="auto"/>
            <w:vAlign w:val="bottom"/>
            <w:hideMark/>
          </w:tcPr>
          <w:p w14:paraId="036A7501"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26176927"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6B29C313" w14:textId="77777777" w:rsidR="00000000" w:rsidRDefault="007E65A2">
            <w:pPr>
              <w:pStyle w:val="a3"/>
              <w:spacing w:before="0" w:beforeAutospacing="0" w:after="0" w:afterAutospacing="0"/>
              <w:jc w:val="center"/>
              <w:rPr>
                <w:sz w:val="20"/>
                <w:szCs w:val="20"/>
              </w:rPr>
            </w:pPr>
            <w:r>
              <w:rPr>
                <w:b/>
                <w:bCs/>
                <w:sz w:val="20"/>
                <w:szCs w:val="20"/>
              </w:rPr>
              <w:t>Common stock</w:t>
            </w:r>
          </w:p>
        </w:tc>
        <w:tc>
          <w:tcPr>
            <w:tcW w:w="0" w:type="auto"/>
            <w:vAlign w:val="bottom"/>
            <w:hideMark/>
          </w:tcPr>
          <w:p w14:paraId="3C2D9BCD"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3CBED087"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7F52A8B3" w14:textId="77777777" w:rsidR="00000000" w:rsidRDefault="007E65A2">
            <w:pPr>
              <w:pStyle w:val="a3"/>
              <w:spacing w:before="0" w:beforeAutospacing="0" w:after="0" w:afterAutospacing="0"/>
              <w:jc w:val="center"/>
              <w:rPr>
                <w:sz w:val="20"/>
                <w:szCs w:val="20"/>
              </w:rPr>
            </w:pPr>
            <w:r>
              <w:rPr>
                <w:b/>
                <w:bCs/>
                <w:sz w:val="20"/>
                <w:szCs w:val="20"/>
              </w:rPr>
              <w:t>paid-in</w:t>
            </w:r>
          </w:p>
        </w:tc>
        <w:tc>
          <w:tcPr>
            <w:tcW w:w="0" w:type="auto"/>
            <w:vAlign w:val="bottom"/>
            <w:hideMark/>
          </w:tcPr>
          <w:p w14:paraId="211EDD2E"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3817F4D2"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0A17DE3B" w14:textId="77777777" w:rsidR="00000000" w:rsidRDefault="007E65A2">
            <w:pPr>
              <w:pStyle w:val="a3"/>
              <w:spacing w:before="0" w:beforeAutospacing="0" w:after="0" w:afterAutospacing="0"/>
              <w:jc w:val="center"/>
              <w:rPr>
                <w:sz w:val="20"/>
                <w:szCs w:val="20"/>
              </w:rPr>
            </w:pPr>
            <w:r>
              <w:rPr>
                <w:b/>
                <w:bCs/>
                <w:sz w:val="20"/>
                <w:szCs w:val="20"/>
              </w:rPr>
              <w:t>Stock</w:t>
            </w:r>
          </w:p>
        </w:tc>
        <w:tc>
          <w:tcPr>
            <w:tcW w:w="0" w:type="auto"/>
            <w:vAlign w:val="bottom"/>
            <w:hideMark/>
          </w:tcPr>
          <w:p w14:paraId="50B52AEA"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513C36A9"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0E09E191" w14:textId="77777777" w:rsidR="00000000" w:rsidRDefault="007E65A2">
            <w:pPr>
              <w:pStyle w:val="a3"/>
              <w:spacing w:before="0" w:beforeAutospacing="0" w:after="0" w:afterAutospacing="0"/>
              <w:jc w:val="center"/>
              <w:rPr>
                <w:sz w:val="20"/>
                <w:szCs w:val="20"/>
              </w:rPr>
            </w:pPr>
            <w:r>
              <w:rPr>
                <w:b/>
                <w:bCs/>
                <w:sz w:val="20"/>
                <w:szCs w:val="20"/>
              </w:rPr>
              <w:t>Accumulated</w:t>
            </w:r>
          </w:p>
        </w:tc>
        <w:tc>
          <w:tcPr>
            <w:tcW w:w="0" w:type="auto"/>
            <w:vAlign w:val="bottom"/>
            <w:hideMark/>
          </w:tcPr>
          <w:p w14:paraId="2C1F27EE"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424BAE67"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6C6E7032"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63D312A4" w14:textId="77777777" w:rsidR="00000000" w:rsidRDefault="007E65A2">
            <w:pPr>
              <w:pStyle w:val="a3"/>
              <w:spacing w:before="0" w:beforeAutospacing="0" w:after="0" w:afterAutospacing="0"/>
              <w:jc w:val="both"/>
              <w:rPr>
                <w:sz w:val="20"/>
                <w:szCs w:val="20"/>
              </w:rPr>
            </w:pPr>
            <w:r>
              <w:rPr>
                <w:sz w:val="20"/>
                <w:szCs w:val="20"/>
              </w:rPr>
              <w:t> </w:t>
            </w:r>
          </w:p>
        </w:tc>
      </w:tr>
      <w:tr w:rsidR="00000000" w14:paraId="04754725" w14:textId="77777777">
        <w:trPr>
          <w:divId w:val="911279972"/>
          <w:tblCellSpacing w:w="0" w:type="dxa"/>
        </w:trPr>
        <w:tc>
          <w:tcPr>
            <w:tcW w:w="0" w:type="auto"/>
            <w:vAlign w:val="bottom"/>
            <w:hideMark/>
          </w:tcPr>
          <w:p w14:paraId="2C3F2F01"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0EFB124E"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000000"/>
            </w:tcBorders>
            <w:vAlign w:val="bottom"/>
            <w:hideMark/>
          </w:tcPr>
          <w:p w14:paraId="50FA051D" w14:textId="77777777" w:rsidR="00000000" w:rsidRDefault="007E65A2">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22A30E0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45D792E"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000000"/>
            </w:tcBorders>
            <w:vAlign w:val="bottom"/>
            <w:hideMark/>
          </w:tcPr>
          <w:p w14:paraId="70FECFB8" w14:textId="77777777" w:rsidR="00000000" w:rsidRDefault="007E65A2">
            <w:pPr>
              <w:pStyle w:val="a3"/>
              <w:spacing w:before="0" w:beforeAutospacing="0" w:after="0" w:afterAutospacing="0"/>
              <w:jc w:val="center"/>
              <w:rPr>
                <w:sz w:val="20"/>
                <w:szCs w:val="20"/>
              </w:rPr>
            </w:pPr>
            <w:r>
              <w:rPr>
                <w:b/>
                <w:bCs/>
                <w:sz w:val="20"/>
                <w:szCs w:val="20"/>
              </w:rPr>
              <w:t>Amount</w:t>
            </w:r>
          </w:p>
        </w:tc>
        <w:tc>
          <w:tcPr>
            <w:tcW w:w="0" w:type="auto"/>
            <w:tcMar>
              <w:top w:w="0" w:type="dxa"/>
              <w:left w:w="0" w:type="dxa"/>
              <w:bottom w:w="15" w:type="dxa"/>
              <w:right w:w="0" w:type="dxa"/>
            </w:tcMar>
            <w:vAlign w:val="bottom"/>
            <w:hideMark/>
          </w:tcPr>
          <w:p w14:paraId="7A73C94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46FD269F"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000000"/>
            </w:tcBorders>
            <w:vAlign w:val="bottom"/>
            <w:hideMark/>
          </w:tcPr>
          <w:p w14:paraId="78BF7168" w14:textId="77777777" w:rsidR="00000000" w:rsidRDefault="007E65A2">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636EA63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26EB09CF"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000000"/>
            </w:tcBorders>
            <w:vAlign w:val="bottom"/>
            <w:hideMark/>
          </w:tcPr>
          <w:p w14:paraId="21E419C6" w14:textId="77777777" w:rsidR="00000000" w:rsidRDefault="007E65A2">
            <w:pPr>
              <w:pStyle w:val="a3"/>
              <w:spacing w:before="0" w:beforeAutospacing="0" w:after="0" w:afterAutospacing="0"/>
              <w:jc w:val="center"/>
              <w:rPr>
                <w:sz w:val="20"/>
                <w:szCs w:val="20"/>
              </w:rPr>
            </w:pPr>
            <w:r>
              <w:rPr>
                <w:b/>
                <w:bCs/>
                <w:sz w:val="20"/>
                <w:szCs w:val="20"/>
              </w:rPr>
              <w:t>Amount</w:t>
            </w:r>
          </w:p>
        </w:tc>
        <w:tc>
          <w:tcPr>
            <w:tcW w:w="0" w:type="auto"/>
            <w:tcMar>
              <w:top w:w="0" w:type="dxa"/>
              <w:left w:w="0" w:type="dxa"/>
              <w:bottom w:w="15" w:type="dxa"/>
              <w:right w:w="0" w:type="dxa"/>
            </w:tcMar>
            <w:vAlign w:val="bottom"/>
            <w:hideMark/>
          </w:tcPr>
          <w:p w14:paraId="46BD9706"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2578FB4"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000000"/>
            </w:tcBorders>
            <w:vAlign w:val="bottom"/>
            <w:hideMark/>
          </w:tcPr>
          <w:p w14:paraId="2430D405" w14:textId="77777777" w:rsidR="00000000" w:rsidRDefault="007E65A2">
            <w:pPr>
              <w:pStyle w:val="a3"/>
              <w:spacing w:before="0" w:beforeAutospacing="0" w:after="0" w:afterAutospacing="0"/>
              <w:jc w:val="center"/>
              <w:rPr>
                <w:sz w:val="20"/>
                <w:szCs w:val="20"/>
              </w:rPr>
            </w:pPr>
            <w:r>
              <w:rPr>
                <w:b/>
                <w:bCs/>
                <w:sz w:val="20"/>
                <w:szCs w:val="20"/>
              </w:rPr>
              <w:t>capital</w:t>
            </w:r>
          </w:p>
        </w:tc>
        <w:tc>
          <w:tcPr>
            <w:tcW w:w="0" w:type="auto"/>
            <w:tcMar>
              <w:top w:w="0" w:type="dxa"/>
              <w:left w:w="0" w:type="dxa"/>
              <w:bottom w:w="15" w:type="dxa"/>
              <w:right w:w="0" w:type="dxa"/>
            </w:tcMar>
            <w:vAlign w:val="bottom"/>
            <w:hideMark/>
          </w:tcPr>
          <w:p w14:paraId="00427F63"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121DBBF4"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000000"/>
            </w:tcBorders>
            <w:vAlign w:val="bottom"/>
            <w:hideMark/>
          </w:tcPr>
          <w:p w14:paraId="19C041F5" w14:textId="77777777" w:rsidR="00000000" w:rsidRDefault="007E65A2">
            <w:pPr>
              <w:pStyle w:val="a3"/>
              <w:spacing w:before="0" w:beforeAutospacing="0" w:after="0" w:afterAutospacing="0"/>
              <w:jc w:val="center"/>
              <w:rPr>
                <w:sz w:val="20"/>
                <w:szCs w:val="20"/>
              </w:rPr>
            </w:pPr>
            <w:r>
              <w:rPr>
                <w:b/>
                <w:bCs/>
                <w:sz w:val="20"/>
                <w:szCs w:val="20"/>
              </w:rPr>
              <w:t>payable</w:t>
            </w:r>
          </w:p>
        </w:tc>
        <w:tc>
          <w:tcPr>
            <w:tcW w:w="0" w:type="auto"/>
            <w:tcMar>
              <w:top w:w="0" w:type="dxa"/>
              <w:left w:w="0" w:type="dxa"/>
              <w:bottom w:w="15" w:type="dxa"/>
              <w:right w:w="0" w:type="dxa"/>
            </w:tcMar>
            <w:vAlign w:val="bottom"/>
            <w:hideMark/>
          </w:tcPr>
          <w:p w14:paraId="7FAF0C5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978EAFA"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000000"/>
            </w:tcBorders>
            <w:vAlign w:val="bottom"/>
            <w:hideMark/>
          </w:tcPr>
          <w:p w14:paraId="2EDB83F7" w14:textId="77777777" w:rsidR="00000000" w:rsidRDefault="007E65A2">
            <w:pPr>
              <w:pStyle w:val="a3"/>
              <w:spacing w:before="0" w:beforeAutospacing="0" w:after="0" w:afterAutospacing="0"/>
              <w:jc w:val="center"/>
              <w:rPr>
                <w:sz w:val="20"/>
                <w:szCs w:val="20"/>
              </w:rPr>
            </w:pPr>
            <w:r>
              <w:rPr>
                <w:b/>
                <w:bCs/>
                <w:sz w:val="20"/>
                <w:szCs w:val="20"/>
              </w:rPr>
              <w:t>Deficit</w:t>
            </w:r>
          </w:p>
        </w:tc>
        <w:tc>
          <w:tcPr>
            <w:tcW w:w="0" w:type="auto"/>
            <w:tcMar>
              <w:top w:w="0" w:type="dxa"/>
              <w:left w:w="0" w:type="dxa"/>
              <w:bottom w:w="15" w:type="dxa"/>
              <w:right w:w="0" w:type="dxa"/>
            </w:tcMar>
            <w:vAlign w:val="bottom"/>
            <w:hideMark/>
          </w:tcPr>
          <w:p w14:paraId="36625A0C"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625447D"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000000"/>
            </w:tcBorders>
            <w:vAlign w:val="bottom"/>
            <w:hideMark/>
          </w:tcPr>
          <w:p w14:paraId="0EC17037" w14:textId="77777777" w:rsidR="00000000" w:rsidRDefault="007E65A2">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2DFAAAC0" w14:textId="77777777" w:rsidR="00000000" w:rsidRDefault="007E65A2">
            <w:pPr>
              <w:pStyle w:val="a3"/>
              <w:spacing w:before="0" w:beforeAutospacing="0" w:after="0" w:afterAutospacing="0"/>
              <w:jc w:val="both"/>
              <w:rPr>
                <w:sz w:val="20"/>
                <w:szCs w:val="20"/>
              </w:rPr>
            </w:pPr>
            <w:r>
              <w:rPr>
                <w:sz w:val="20"/>
                <w:szCs w:val="20"/>
              </w:rPr>
              <w:t> </w:t>
            </w:r>
          </w:p>
        </w:tc>
      </w:tr>
      <w:tr w:rsidR="00000000" w14:paraId="5F720D34" w14:textId="77777777">
        <w:trPr>
          <w:divId w:val="911279972"/>
          <w:tblCellSpacing w:w="0" w:type="dxa"/>
        </w:trPr>
        <w:tc>
          <w:tcPr>
            <w:tcW w:w="0" w:type="auto"/>
            <w:vAlign w:val="center"/>
            <w:hideMark/>
          </w:tcPr>
          <w:p w14:paraId="2236FD2E"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329BA408"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17F083FA" w14:textId="77777777" w:rsidR="00000000" w:rsidRDefault="007E65A2">
            <w:pPr>
              <w:pStyle w:val="a3"/>
              <w:spacing w:before="0" w:beforeAutospacing="0" w:after="0" w:afterAutospacing="0"/>
              <w:jc w:val="right"/>
              <w:rPr>
                <w:sz w:val="20"/>
                <w:szCs w:val="20"/>
              </w:rPr>
            </w:pPr>
            <w:r>
              <w:rPr>
                <w:sz w:val="20"/>
                <w:szCs w:val="20"/>
              </w:rPr>
              <w:t> </w:t>
            </w:r>
          </w:p>
        </w:tc>
        <w:tc>
          <w:tcPr>
            <w:tcW w:w="0" w:type="auto"/>
            <w:vAlign w:val="bottom"/>
            <w:hideMark/>
          </w:tcPr>
          <w:p w14:paraId="0103C2B9"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0851EFD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4A6A4978"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A916170"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653E9F1"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3C429DBD"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2AA37A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2"/>
            <w:vAlign w:val="bottom"/>
            <w:hideMark/>
          </w:tcPr>
          <w:p w14:paraId="37269D6C" w14:textId="77777777" w:rsidR="00000000" w:rsidRDefault="007E65A2">
            <w:pPr>
              <w:pStyle w:val="a3"/>
              <w:spacing w:before="0" w:beforeAutospacing="0" w:after="0" w:afterAutospacing="0"/>
              <w:jc w:val="both"/>
              <w:rPr>
                <w:sz w:val="20"/>
                <w:szCs w:val="20"/>
              </w:rPr>
            </w:pPr>
            <w:r>
              <w:rPr>
                <w:sz w:val="20"/>
                <w:szCs w:val="20"/>
              </w:rPr>
              <w:t> </w:t>
            </w:r>
          </w:p>
        </w:tc>
      </w:tr>
      <w:tr w:rsidR="007E65A2" w14:paraId="72CECAF2" w14:textId="77777777">
        <w:trPr>
          <w:divId w:val="911279972"/>
          <w:tblCellSpacing w:w="0" w:type="dxa"/>
        </w:trPr>
        <w:tc>
          <w:tcPr>
            <w:tcW w:w="0" w:type="auto"/>
            <w:shd w:val="clear" w:color="auto" w:fill="CCEEFF"/>
            <w:hideMark/>
          </w:tcPr>
          <w:p w14:paraId="35715CFB" w14:textId="77777777" w:rsidR="00000000" w:rsidRDefault="007E65A2">
            <w:pPr>
              <w:pStyle w:val="a3"/>
              <w:spacing w:before="0" w:beforeAutospacing="0" w:after="0" w:afterAutospacing="0"/>
              <w:jc w:val="both"/>
              <w:rPr>
                <w:sz w:val="20"/>
                <w:szCs w:val="20"/>
              </w:rPr>
            </w:pPr>
            <w:r>
              <w:rPr>
                <w:b/>
                <w:bCs/>
                <w:sz w:val="20"/>
                <w:szCs w:val="20"/>
              </w:rPr>
              <w:t>Balance, June 30, 2017</w:t>
            </w:r>
          </w:p>
        </w:tc>
        <w:tc>
          <w:tcPr>
            <w:tcW w:w="50" w:type="pct"/>
            <w:shd w:val="clear" w:color="auto" w:fill="CCEEFF"/>
            <w:vAlign w:val="bottom"/>
            <w:hideMark/>
          </w:tcPr>
          <w:p w14:paraId="5908E1E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4CF10CB" w14:textId="77777777" w:rsidR="00000000" w:rsidRDefault="007E65A2">
            <w:pPr>
              <w:pStyle w:val="a3"/>
              <w:spacing w:before="0" w:beforeAutospacing="0" w:after="0" w:afterAutospacing="0"/>
              <w:jc w:val="both"/>
              <w:rPr>
                <w:sz w:val="20"/>
                <w:szCs w:val="20"/>
              </w:rPr>
            </w:pPr>
            <w:r>
              <w:rPr>
                <w:sz w:val="20"/>
                <w:szCs w:val="20"/>
              </w:rPr>
              <w:t> </w:t>
            </w:r>
          </w:p>
        </w:tc>
        <w:tc>
          <w:tcPr>
            <w:tcW w:w="250" w:type="pct"/>
            <w:shd w:val="clear" w:color="auto" w:fill="CCEEFF"/>
            <w:vAlign w:val="bottom"/>
            <w:hideMark/>
          </w:tcPr>
          <w:p w14:paraId="56C40639" w14:textId="77777777" w:rsidR="00000000" w:rsidRDefault="007E65A2">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14:paraId="392FA7A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440720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7649DF6" w14:textId="77777777" w:rsidR="00000000" w:rsidRDefault="007E65A2">
            <w:pPr>
              <w:jc w:val="both"/>
              <w:rPr>
                <w:rFonts w:eastAsia="Times New Roman"/>
                <w:sz w:val="20"/>
                <w:szCs w:val="20"/>
              </w:rPr>
            </w:pPr>
            <w:r>
              <w:rPr>
                <w:rFonts w:eastAsia="Times New Roman"/>
                <w:sz w:val="20"/>
                <w:szCs w:val="20"/>
              </w:rPr>
              <w:t>$</w:t>
            </w:r>
          </w:p>
        </w:tc>
        <w:tc>
          <w:tcPr>
            <w:tcW w:w="250" w:type="pct"/>
            <w:shd w:val="clear" w:color="auto" w:fill="CCEEFF"/>
            <w:vAlign w:val="bottom"/>
            <w:hideMark/>
          </w:tcPr>
          <w:p w14:paraId="1A0CD198" w14:textId="77777777" w:rsidR="00000000" w:rsidRDefault="007E65A2">
            <w:pPr>
              <w:jc w:val="right"/>
              <w:rPr>
                <w:rFonts w:eastAsia="Times New Roman"/>
                <w:sz w:val="20"/>
                <w:szCs w:val="20"/>
              </w:rPr>
            </w:pPr>
            <w:r>
              <w:rPr>
                <w:rFonts w:eastAsia="Times New Roman"/>
                <w:sz w:val="20"/>
                <w:szCs w:val="20"/>
              </w:rPr>
              <w:t>500</w:t>
            </w:r>
          </w:p>
        </w:tc>
        <w:tc>
          <w:tcPr>
            <w:tcW w:w="50" w:type="pct"/>
            <w:shd w:val="clear" w:color="auto" w:fill="CCEEFF"/>
            <w:vAlign w:val="bottom"/>
            <w:hideMark/>
          </w:tcPr>
          <w:p w14:paraId="78D164E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4198E2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36E13C1" w14:textId="77777777" w:rsidR="00000000" w:rsidRDefault="007E65A2">
            <w:pPr>
              <w:pStyle w:val="a3"/>
              <w:spacing w:before="0" w:beforeAutospacing="0" w:after="0" w:afterAutospacing="0"/>
              <w:jc w:val="both"/>
              <w:rPr>
                <w:sz w:val="20"/>
                <w:szCs w:val="20"/>
              </w:rPr>
            </w:pPr>
            <w:r>
              <w:rPr>
                <w:sz w:val="20"/>
                <w:szCs w:val="20"/>
              </w:rPr>
              <w:t> </w:t>
            </w:r>
          </w:p>
        </w:tc>
        <w:tc>
          <w:tcPr>
            <w:tcW w:w="250" w:type="pct"/>
            <w:shd w:val="clear" w:color="auto" w:fill="CCEEFF"/>
            <w:vAlign w:val="bottom"/>
            <w:hideMark/>
          </w:tcPr>
          <w:p w14:paraId="20F89A72" w14:textId="77777777" w:rsidR="00000000" w:rsidRDefault="007E65A2">
            <w:pPr>
              <w:jc w:val="right"/>
              <w:rPr>
                <w:rFonts w:eastAsia="Times New Roman"/>
                <w:sz w:val="20"/>
                <w:szCs w:val="20"/>
              </w:rPr>
            </w:pPr>
            <w:r>
              <w:rPr>
                <w:rFonts w:eastAsia="Times New Roman"/>
                <w:sz w:val="20"/>
                <w:szCs w:val="20"/>
              </w:rPr>
              <w:t>519,973,313</w:t>
            </w:r>
          </w:p>
        </w:tc>
        <w:tc>
          <w:tcPr>
            <w:tcW w:w="50" w:type="pct"/>
            <w:shd w:val="clear" w:color="auto" w:fill="CCEEFF"/>
            <w:vAlign w:val="bottom"/>
            <w:hideMark/>
          </w:tcPr>
          <w:p w14:paraId="7C49DE4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8E0517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0A1DA6F" w14:textId="77777777" w:rsidR="00000000" w:rsidRDefault="007E65A2">
            <w:pPr>
              <w:jc w:val="both"/>
              <w:rPr>
                <w:rFonts w:eastAsia="Times New Roman"/>
                <w:sz w:val="20"/>
                <w:szCs w:val="20"/>
              </w:rPr>
            </w:pPr>
            <w:r>
              <w:rPr>
                <w:rFonts w:eastAsia="Times New Roman"/>
                <w:sz w:val="20"/>
                <w:szCs w:val="20"/>
              </w:rPr>
              <w:t>$</w:t>
            </w:r>
          </w:p>
        </w:tc>
        <w:tc>
          <w:tcPr>
            <w:tcW w:w="250" w:type="pct"/>
            <w:shd w:val="clear" w:color="auto" w:fill="CCEEFF"/>
            <w:vAlign w:val="bottom"/>
            <w:hideMark/>
          </w:tcPr>
          <w:p w14:paraId="2C45A180" w14:textId="77777777" w:rsidR="00000000" w:rsidRDefault="007E65A2">
            <w:pPr>
              <w:jc w:val="right"/>
              <w:rPr>
                <w:rFonts w:eastAsia="Times New Roman"/>
                <w:sz w:val="20"/>
                <w:szCs w:val="20"/>
              </w:rPr>
            </w:pPr>
            <w:r>
              <w:rPr>
                <w:rFonts w:eastAsia="Times New Roman"/>
                <w:sz w:val="20"/>
                <w:szCs w:val="20"/>
              </w:rPr>
              <w:t>51,997</w:t>
            </w:r>
          </w:p>
        </w:tc>
        <w:tc>
          <w:tcPr>
            <w:tcW w:w="50" w:type="pct"/>
            <w:shd w:val="clear" w:color="auto" w:fill="CCEEFF"/>
            <w:vAlign w:val="bottom"/>
            <w:hideMark/>
          </w:tcPr>
          <w:p w14:paraId="065188C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0F9665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AD78026" w14:textId="77777777" w:rsidR="00000000" w:rsidRDefault="007E65A2">
            <w:pPr>
              <w:jc w:val="both"/>
              <w:rPr>
                <w:rFonts w:eastAsia="Times New Roman"/>
                <w:sz w:val="20"/>
                <w:szCs w:val="20"/>
              </w:rPr>
            </w:pPr>
            <w:r>
              <w:rPr>
                <w:rFonts w:eastAsia="Times New Roman"/>
                <w:sz w:val="20"/>
                <w:szCs w:val="20"/>
              </w:rPr>
              <w:t>$</w:t>
            </w:r>
          </w:p>
        </w:tc>
        <w:tc>
          <w:tcPr>
            <w:tcW w:w="250" w:type="pct"/>
            <w:shd w:val="clear" w:color="auto" w:fill="CCEEFF"/>
            <w:vAlign w:val="bottom"/>
            <w:hideMark/>
          </w:tcPr>
          <w:p w14:paraId="385C37A1" w14:textId="77777777" w:rsidR="00000000" w:rsidRDefault="007E65A2">
            <w:pPr>
              <w:jc w:val="right"/>
              <w:rPr>
                <w:rFonts w:eastAsia="Times New Roman"/>
                <w:sz w:val="20"/>
                <w:szCs w:val="20"/>
              </w:rPr>
            </w:pPr>
            <w:r>
              <w:rPr>
                <w:rFonts w:eastAsia="Times New Roman"/>
                <w:sz w:val="20"/>
                <w:szCs w:val="20"/>
              </w:rPr>
              <w:t>4,210,156</w:t>
            </w:r>
          </w:p>
        </w:tc>
        <w:tc>
          <w:tcPr>
            <w:tcW w:w="50" w:type="pct"/>
            <w:shd w:val="clear" w:color="auto" w:fill="CCEEFF"/>
            <w:vAlign w:val="bottom"/>
            <w:hideMark/>
          </w:tcPr>
          <w:p w14:paraId="44CEEA3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0FCFC5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468F803" w14:textId="77777777" w:rsidR="00000000" w:rsidRDefault="007E65A2">
            <w:pPr>
              <w:jc w:val="both"/>
              <w:rPr>
                <w:rFonts w:eastAsia="Times New Roman"/>
                <w:sz w:val="20"/>
                <w:szCs w:val="20"/>
              </w:rPr>
            </w:pPr>
            <w:r>
              <w:rPr>
                <w:rFonts w:eastAsia="Times New Roman"/>
                <w:sz w:val="20"/>
                <w:szCs w:val="20"/>
              </w:rPr>
              <w:t>$</w:t>
            </w:r>
          </w:p>
        </w:tc>
        <w:tc>
          <w:tcPr>
            <w:tcW w:w="250" w:type="pct"/>
            <w:shd w:val="clear" w:color="auto" w:fill="CCEEFF"/>
            <w:vAlign w:val="bottom"/>
            <w:hideMark/>
          </w:tcPr>
          <w:p w14:paraId="19FF483C" w14:textId="77777777" w:rsidR="00000000" w:rsidRDefault="007E65A2">
            <w:pPr>
              <w:jc w:val="right"/>
              <w:rPr>
                <w:rFonts w:eastAsia="Times New Roman"/>
                <w:sz w:val="20"/>
                <w:szCs w:val="20"/>
              </w:rPr>
            </w:pPr>
            <w:r>
              <w:rPr>
                <w:rFonts w:eastAsia="Times New Roman"/>
                <w:sz w:val="20"/>
                <w:szCs w:val="20"/>
              </w:rPr>
              <w:t>105,000</w:t>
            </w:r>
          </w:p>
        </w:tc>
        <w:tc>
          <w:tcPr>
            <w:tcW w:w="50" w:type="pct"/>
            <w:shd w:val="clear" w:color="auto" w:fill="CCEEFF"/>
            <w:vAlign w:val="bottom"/>
            <w:hideMark/>
          </w:tcPr>
          <w:p w14:paraId="7182E1A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518159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0226BD" w14:textId="77777777" w:rsidR="00000000" w:rsidRDefault="007E65A2">
            <w:pPr>
              <w:jc w:val="both"/>
              <w:rPr>
                <w:rFonts w:eastAsia="Times New Roman"/>
                <w:sz w:val="20"/>
                <w:szCs w:val="20"/>
              </w:rPr>
            </w:pPr>
            <w:r>
              <w:rPr>
                <w:rFonts w:eastAsia="Times New Roman"/>
                <w:sz w:val="20"/>
                <w:szCs w:val="20"/>
              </w:rPr>
              <w:t>$</w:t>
            </w:r>
          </w:p>
        </w:tc>
        <w:tc>
          <w:tcPr>
            <w:tcW w:w="250" w:type="pct"/>
            <w:shd w:val="clear" w:color="auto" w:fill="CCEEFF"/>
            <w:vAlign w:val="bottom"/>
            <w:hideMark/>
          </w:tcPr>
          <w:p w14:paraId="1595006C" w14:textId="77777777" w:rsidR="00000000" w:rsidRDefault="007E65A2">
            <w:pPr>
              <w:jc w:val="right"/>
              <w:rPr>
                <w:rFonts w:eastAsia="Times New Roman"/>
                <w:sz w:val="20"/>
                <w:szCs w:val="20"/>
              </w:rPr>
            </w:pPr>
            <w:r>
              <w:rPr>
                <w:rFonts w:eastAsia="Times New Roman"/>
                <w:sz w:val="20"/>
                <w:szCs w:val="20"/>
              </w:rPr>
              <w:t>(4,782,863</w:t>
            </w:r>
          </w:p>
        </w:tc>
        <w:tc>
          <w:tcPr>
            <w:tcW w:w="50" w:type="pct"/>
            <w:shd w:val="clear" w:color="auto" w:fill="CCEEFF"/>
            <w:vAlign w:val="bottom"/>
            <w:hideMark/>
          </w:tcPr>
          <w:p w14:paraId="103DE7F5"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31F868B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1D6E01F" w14:textId="77777777" w:rsidR="00000000" w:rsidRDefault="007E65A2">
            <w:pPr>
              <w:jc w:val="both"/>
              <w:rPr>
                <w:rFonts w:eastAsia="Times New Roman"/>
                <w:sz w:val="20"/>
                <w:szCs w:val="20"/>
              </w:rPr>
            </w:pPr>
            <w:r>
              <w:rPr>
                <w:rFonts w:eastAsia="Times New Roman"/>
                <w:sz w:val="20"/>
                <w:szCs w:val="20"/>
              </w:rPr>
              <w:t>$</w:t>
            </w:r>
          </w:p>
        </w:tc>
        <w:tc>
          <w:tcPr>
            <w:tcW w:w="250" w:type="pct"/>
            <w:shd w:val="clear" w:color="auto" w:fill="CCEEFF"/>
            <w:vAlign w:val="bottom"/>
            <w:hideMark/>
          </w:tcPr>
          <w:p w14:paraId="4B60C759" w14:textId="77777777" w:rsidR="00000000" w:rsidRDefault="007E65A2">
            <w:pPr>
              <w:jc w:val="right"/>
              <w:rPr>
                <w:rFonts w:eastAsia="Times New Roman"/>
                <w:sz w:val="20"/>
                <w:szCs w:val="20"/>
              </w:rPr>
            </w:pPr>
            <w:r>
              <w:rPr>
                <w:rFonts w:eastAsia="Times New Roman"/>
                <w:sz w:val="20"/>
                <w:szCs w:val="20"/>
              </w:rPr>
              <w:t>(415,210</w:t>
            </w:r>
          </w:p>
        </w:tc>
        <w:tc>
          <w:tcPr>
            <w:tcW w:w="50" w:type="pct"/>
            <w:shd w:val="clear" w:color="auto" w:fill="CCEEFF"/>
            <w:vAlign w:val="bottom"/>
            <w:hideMark/>
          </w:tcPr>
          <w:p w14:paraId="5ACC831D" w14:textId="77777777" w:rsidR="00000000" w:rsidRDefault="007E65A2">
            <w:pPr>
              <w:jc w:val="both"/>
              <w:rPr>
                <w:rFonts w:eastAsia="Times New Roman"/>
                <w:sz w:val="20"/>
                <w:szCs w:val="20"/>
              </w:rPr>
            </w:pPr>
            <w:r>
              <w:rPr>
                <w:rFonts w:eastAsia="Times New Roman"/>
                <w:sz w:val="20"/>
                <w:szCs w:val="20"/>
              </w:rPr>
              <w:t>)</w:t>
            </w:r>
          </w:p>
        </w:tc>
      </w:tr>
      <w:tr w:rsidR="007E65A2" w14:paraId="36DABDB1" w14:textId="77777777">
        <w:trPr>
          <w:divId w:val="911279972"/>
          <w:tblCellSpacing w:w="0" w:type="dxa"/>
        </w:trPr>
        <w:tc>
          <w:tcPr>
            <w:tcW w:w="0" w:type="auto"/>
            <w:shd w:val="clear" w:color="auto" w:fill="FFFFFF"/>
            <w:vAlign w:val="center"/>
            <w:hideMark/>
          </w:tcPr>
          <w:p w14:paraId="024C96D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F43390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0EF9E9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3A481B7"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3911286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24849A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A3EF2D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BF649FE"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228157B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70FA58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E4F25C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D684FE8"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75CE353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2DD940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985420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8433D85"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269BF78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873563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BBEB4C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E2AE0E2"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3E0211B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06EB4F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220F12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4D0FAA1"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002BBD9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9143DA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88E825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E2C2FAE"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602E16C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32BBD3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00684F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527514B"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40667D1E" w14:textId="77777777" w:rsidR="00000000" w:rsidRDefault="007E65A2">
            <w:pPr>
              <w:pStyle w:val="a3"/>
              <w:spacing w:before="0" w:beforeAutospacing="0" w:after="0" w:afterAutospacing="0"/>
              <w:jc w:val="both"/>
              <w:rPr>
                <w:sz w:val="20"/>
                <w:szCs w:val="20"/>
              </w:rPr>
            </w:pPr>
            <w:r>
              <w:rPr>
                <w:sz w:val="20"/>
                <w:szCs w:val="20"/>
              </w:rPr>
              <w:t> </w:t>
            </w:r>
          </w:p>
        </w:tc>
      </w:tr>
      <w:tr w:rsidR="007E65A2" w14:paraId="5A1ABB6E" w14:textId="77777777">
        <w:trPr>
          <w:divId w:val="911279972"/>
          <w:tblCellSpacing w:w="0" w:type="dxa"/>
        </w:trPr>
        <w:tc>
          <w:tcPr>
            <w:tcW w:w="0" w:type="auto"/>
            <w:shd w:val="clear" w:color="auto" w:fill="CCEEFF"/>
            <w:hideMark/>
          </w:tcPr>
          <w:p w14:paraId="00AC0852" w14:textId="77777777" w:rsidR="00000000" w:rsidRDefault="007E65A2">
            <w:pPr>
              <w:pStyle w:val="a3"/>
              <w:spacing w:before="0" w:beforeAutospacing="0" w:after="0" w:afterAutospacing="0"/>
              <w:jc w:val="both"/>
              <w:rPr>
                <w:sz w:val="20"/>
                <w:szCs w:val="20"/>
              </w:rPr>
            </w:pPr>
            <w:r>
              <w:rPr>
                <w:sz w:val="20"/>
                <w:szCs w:val="20"/>
              </w:rPr>
              <w:t>Common stock issued for services</w:t>
            </w:r>
          </w:p>
        </w:tc>
        <w:tc>
          <w:tcPr>
            <w:tcW w:w="0" w:type="auto"/>
            <w:shd w:val="clear" w:color="auto" w:fill="CCEEFF"/>
            <w:vAlign w:val="bottom"/>
            <w:hideMark/>
          </w:tcPr>
          <w:p w14:paraId="62C7DD2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87CC15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5122289"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3C3CC3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97F44A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278DA1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15352BD"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499E0D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E53A38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9B60CF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81C8180" w14:textId="77777777" w:rsidR="00000000" w:rsidRDefault="007E65A2">
            <w:pPr>
              <w:jc w:val="right"/>
              <w:rPr>
                <w:rFonts w:eastAsia="Times New Roman"/>
                <w:sz w:val="20"/>
                <w:szCs w:val="20"/>
              </w:rPr>
            </w:pPr>
            <w:r>
              <w:rPr>
                <w:rFonts w:eastAsia="Times New Roman"/>
                <w:sz w:val="20"/>
                <w:szCs w:val="20"/>
              </w:rPr>
              <w:t>30,000,000</w:t>
            </w:r>
          </w:p>
        </w:tc>
        <w:tc>
          <w:tcPr>
            <w:tcW w:w="0" w:type="auto"/>
            <w:shd w:val="clear" w:color="auto" w:fill="CCEEFF"/>
            <w:vAlign w:val="bottom"/>
            <w:hideMark/>
          </w:tcPr>
          <w:p w14:paraId="28A0EB8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079A18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5372E1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0F0AF22" w14:textId="77777777" w:rsidR="00000000" w:rsidRDefault="007E65A2">
            <w:pPr>
              <w:jc w:val="right"/>
              <w:rPr>
                <w:rFonts w:eastAsia="Times New Roman"/>
                <w:sz w:val="20"/>
                <w:szCs w:val="20"/>
              </w:rPr>
            </w:pPr>
            <w:r>
              <w:rPr>
                <w:rFonts w:eastAsia="Times New Roman"/>
                <w:sz w:val="20"/>
                <w:szCs w:val="20"/>
              </w:rPr>
              <w:t>3,000</w:t>
            </w:r>
          </w:p>
        </w:tc>
        <w:tc>
          <w:tcPr>
            <w:tcW w:w="0" w:type="auto"/>
            <w:shd w:val="clear" w:color="auto" w:fill="CCEEFF"/>
            <w:vAlign w:val="bottom"/>
            <w:hideMark/>
          </w:tcPr>
          <w:p w14:paraId="2C7B5F5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405DBC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FCD761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837234F" w14:textId="77777777" w:rsidR="00000000" w:rsidRDefault="007E65A2">
            <w:pPr>
              <w:jc w:val="right"/>
              <w:rPr>
                <w:rFonts w:eastAsia="Times New Roman"/>
                <w:sz w:val="20"/>
                <w:szCs w:val="20"/>
              </w:rPr>
            </w:pPr>
            <w:r>
              <w:rPr>
                <w:rFonts w:eastAsia="Times New Roman"/>
                <w:sz w:val="20"/>
                <w:szCs w:val="20"/>
              </w:rPr>
              <w:t>14,000</w:t>
            </w:r>
          </w:p>
        </w:tc>
        <w:tc>
          <w:tcPr>
            <w:tcW w:w="0" w:type="auto"/>
            <w:shd w:val="clear" w:color="auto" w:fill="CCEEFF"/>
            <w:vAlign w:val="bottom"/>
            <w:hideMark/>
          </w:tcPr>
          <w:p w14:paraId="0652679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25DCAA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335241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8B76180" w14:textId="77777777" w:rsidR="00000000" w:rsidRDefault="007E65A2">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14:paraId="1E2433B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DE181A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F387D2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526EB29"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118463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B4A2F9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8100FD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B3B909A" w14:textId="77777777" w:rsidR="00000000" w:rsidRDefault="007E65A2">
            <w:pPr>
              <w:jc w:val="right"/>
              <w:rPr>
                <w:rFonts w:eastAsia="Times New Roman"/>
                <w:sz w:val="20"/>
                <w:szCs w:val="20"/>
              </w:rPr>
            </w:pPr>
            <w:r>
              <w:rPr>
                <w:rFonts w:eastAsia="Times New Roman"/>
                <w:sz w:val="20"/>
                <w:szCs w:val="20"/>
              </w:rPr>
              <w:t>32,000</w:t>
            </w:r>
          </w:p>
        </w:tc>
        <w:tc>
          <w:tcPr>
            <w:tcW w:w="0" w:type="auto"/>
            <w:shd w:val="clear" w:color="auto" w:fill="CCEEFF"/>
            <w:vAlign w:val="bottom"/>
            <w:hideMark/>
          </w:tcPr>
          <w:p w14:paraId="17274F52" w14:textId="77777777" w:rsidR="00000000" w:rsidRDefault="007E65A2">
            <w:pPr>
              <w:pStyle w:val="a3"/>
              <w:spacing w:before="0" w:beforeAutospacing="0" w:after="0" w:afterAutospacing="0"/>
              <w:jc w:val="both"/>
              <w:rPr>
                <w:sz w:val="20"/>
                <w:szCs w:val="20"/>
              </w:rPr>
            </w:pPr>
            <w:r>
              <w:rPr>
                <w:sz w:val="20"/>
                <w:szCs w:val="20"/>
              </w:rPr>
              <w:t> </w:t>
            </w:r>
          </w:p>
        </w:tc>
      </w:tr>
      <w:tr w:rsidR="007E65A2" w14:paraId="16A827AE" w14:textId="77777777">
        <w:trPr>
          <w:divId w:val="911279972"/>
          <w:tblCellSpacing w:w="0" w:type="dxa"/>
        </w:trPr>
        <w:tc>
          <w:tcPr>
            <w:tcW w:w="0" w:type="auto"/>
            <w:shd w:val="clear" w:color="auto" w:fill="FFFFFF"/>
            <w:hideMark/>
          </w:tcPr>
          <w:p w14:paraId="4E953F1B" w14:textId="77777777" w:rsidR="00000000" w:rsidRDefault="007E65A2">
            <w:pPr>
              <w:pStyle w:val="a3"/>
              <w:spacing w:before="0" w:beforeAutospacing="0" w:after="0" w:afterAutospacing="0"/>
              <w:jc w:val="both"/>
              <w:rPr>
                <w:sz w:val="20"/>
                <w:szCs w:val="20"/>
              </w:rPr>
            </w:pPr>
            <w:r>
              <w:rPr>
                <w:sz w:val="20"/>
                <w:szCs w:val="20"/>
              </w:rPr>
              <w:t xml:space="preserve">Common stock issued for the settlement of agreement </w:t>
            </w:r>
          </w:p>
        </w:tc>
        <w:tc>
          <w:tcPr>
            <w:tcW w:w="0" w:type="auto"/>
            <w:shd w:val="clear" w:color="auto" w:fill="FFFFFF"/>
            <w:vAlign w:val="bottom"/>
            <w:hideMark/>
          </w:tcPr>
          <w:p w14:paraId="4EA2C7F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5DE7B2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326EC31"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740050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E0D55E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0A5448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F42BF11"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EA8C8B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C28F0A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9A4AD7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D9F07DF" w14:textId="77777777" w:rsidR="00000000" w:rsidRDefault="007E65A2">
            <w:pPr>
              <w:jc w:val="right"/>
              <w:rPr>
                <w:rFonts w:eastAsia="Times New Roman"/>
                <w:sz w:val="20"/>
                <w:szCs w:val="20"/>
              </w:rPr>
            </w:pPr>
            <w:r>
              <w:rPr>
                <w:rFonts w:eastAsia="Times New Roman"/>
                <w:sz w:val="20"/>
                <w:szCs w:val="20"/>
              </w:rPr>
              <w:t>75,000,000</w:t>
            </w:r>
          </w:p>
        </w:tc>
        <w:tc>
          <w:tcPr>
            <w:tcW w:w="0" w:type="auto"/>
            <w:shd w:val="clear" w:color="auto" w:fill="FFFFFF"/>
            <w:vAlign w:val="bottom"/>
            <w:hideMark/>
          </w:tcPr>
          <w:p w14:paraId="28FDA97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65BF21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062E90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D92330A" w14:textId="77777777" w:rsidR="00000000" w:rsidRDefault="007E65A2">
            <w:pPr>
              <w:jc w:val="right"/>
              <w:rPr>
                <w:rFonts w:eastAsia="Times New Roman"/>
                <w:sz w:val="20"/>
                <w:szCs w:val="20"/>
              </w:rPr>
            </w:pPr>
            <w:r>
              <w:rPr>
                <w:rFonts w:eastAsia="Times New Roman"/>
                <w:sz w:val="20"/>
                <w:szCs w:val="20"/>
              </w:rPr>
              <w:t>7,500</w:t>
            </w:r>
          </w:p>
        </w:tc>
        <w:tc>
          <w:tcPr>
            <w:tcW w:w="0" w:type="auto"/>
            <w:shd w:val="clear" w:color="auto" w:fill="FFFFFF"/>
            <w:vAlign w:val="bottom"/>
            <w:hideMark/>
          </w:tcPr>
          <w:p w14:paraId="4CBCF8C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89FA9B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03F257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18CA7A9" w14:textId="77777777" w:rsidR="00000000" w:rsidRDefault="007E65A2">
            <w:pPr>
              <w:jc w:val="right"/>
              <w:rPr>
                <w:rFonts w:eastAsia="Times New Roman"/>
                <w:sz w:val="20"/>
                <w:szCs w:val="20"/>
              </w:rPr>
            </w:pPr>
            <w:r>
              <w:rPr>
                <w:rFonts w:eastAsia="Times New Roman"/>
                <w:sz w:val="20"/>
                <w:szCs w:val="20"/>
              </w:rPr>
              <w:t>60,000</w:t>
            </w:r>
          </w:p>
        </w:tc>
        <w:tc>
          <w:tcPr>
            <w:tcW w:w="0" w:type="auto"/>
            <w:shd w:val="clear" w:color="auto" w:fill="FFFFFF"/>
            <w:vAlign w:val="bottom"/>
            <w:hideMark/>
          </w:tcPr>
          <w:p w14:paraId="4C08D40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9BB4EB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1C7761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C0AC96C"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4DDDF0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EC191C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302DD7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FF69AA3"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2971D7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A52E65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95BEF6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6FBFAB0" w14:textId="77777777" w:rsidR="00000000" w:rsidRDefault="007E65A2">
            <w:pPr>
              <w:jc w:val="right"/>
              <w:rPr>
                <w:rFonts w:eastAsia="Times New Roman"/>
                <w:sz w:val="20"/>
                <w:szCs w:val="20"/>
              </w:rPr>
            </w:pPr>
            <w:r>
              <w:rPr>
                <w:rFonts w:eastAsia="Times New Roman"/>
                <w:sz w:val="20"/>
                <w:szCs w:val="20"/>
              </w:rPr>
              <w:t>67,500</w:t>
            </w:r>
          </w:p>
        </w:tc>
        <w:tc>
          <w:tcPr>
            <w:tcW w:w="0" w:type="auto"/>
            <w:shd w:val="clear" w:color="auto" w:fill="FFFFFF"/>
            <w:vAlign w:val="bottom"/>
            <w:hideMark/>
          </w:tcPr>
          <w:p w14:paraId="4BCD1B96" w14:textId="77777777" w:rsidR="00000000" w:rsidRDefault="007E65A2">
            <w:pPr>
              <w:pStyle w:val="a3"/>
              <w:spacing w:before="0" w:beforeAutospacing="0" w:after="0" w:afterAutospacing="0"/>
              <w:jc w:val="both"/>
              <w:rPr>
                <w:sz w:val="20"/>
                <w:szCs w:val="20"/>
              </w:rPr>
            </w:pPr>
            <w:r>
              <w:rPr>
                <w:sz w:val="20"/>
                <w:szCs w:val="20"/>
              </w:rPr>
              <w:t> </w:t>
            </w:r>
          </w:p>
        </w:tc>
      </w:tr>
      <w:tr w:rsidR="007E65A2" w14:paraId="5BC34BCC" w14:textId="77777777">
        <w:trPr>
          <w:divId w:val="911279972"/>
          <w:tblCellSpacing w:w="0" w:type="dxa"/>
        </w:trPr>
        <w:tc>
          <w:tcPr>
            <w:tcW w:w="0" w:type="auto"/>
            <w:shd w:val="clear" w:color="auto" w:fill="CCEEFF"/>
            <w:hideMark/>
          </w:tcPr>
          <w:p w14:paraId="4C06FE0D" w14:textId="77777777" w:rsidR="00000000" w:rsidRDefault="007E65A2">
            <w:pPr>
              <w:pStyle w:val="a3"/>
              <w:spacing w:before="0" w:beforeAutospacing="0" w:after="0" w:afterAutospacing="0"/>
              <w:jc w:val="both"/>
              <w:rPr>
                <w:sz w:val="20"/>
                <w:szCs w:val="20"/>
              </w:rPr>
            </w:pPr>
            <w:r>
              <w:rPr>
                <w:sz w:val="20"/>
                <w:szCs w:val="20"/>
              </w:rPr>
              <w:t>Common stock issued exchanged for common stock payable</w:t>
            </w:r>
          </w:p>
        </w:tc>
        <w:tc>
          <w:tcPr>
            <w:tcW w:w="0" w:type="auto"/>
            <w:shd w:val="clear" w:color="auto" w:fill="CCEEFF"/>
            <w:vAlign w:val="bottom"/>
            <w:hideMark/>
          </w:tcPr>
          <w:p w14:paraId="434D094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D69800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361257E"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0E83F5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8D2F45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FF5E5C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77E156F"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B0917F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6EA4ED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5DFEA6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A2FFF6D" w14:textId="77777777" w:rsidR="00000000" w:rsidRDefault="007E65A2">
            <w:pPr>
              <w:jc w:val="right"/>
              <w:rPr>
                <w:rFonts w:eastAsia="Times New Roman"/>
                <w:sz w:val="20"/>
                <w:szCs w:val="20"/>
              </w:rPr>
            </w:pPr>
            <w:r>
              <w:rPr>
                <w:rFonts w:eastAsia="Times New Roman"/>
                <w:sz w:val="20"/>
                <w:szCs w:val="20"/>
              </w:rPr>
              <w:t>30,000,000</w:t>
            </w:r>
          </w:p>
        </w:tc>
        <w:tc>
          <w:tcPr>
            <w:tcW w:w="0" w:type="auto"/>
            <w:shd w:val="clear" w:color="auto" w:fill="CCEEFF"/>
            <w:vAlign w:val="bottom"/>
            <w:hideMark/>
          </w:tcPr>
          <w:p w14:paraId="4E66F78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F32C45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9A336B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575EC28" w14:textId="77777777" w:rsidR="00000000" w:rsidRDefault="007E65A2">
            <w:pPr>
              <w:jc w:val="right"/>
              <w:rPr>
                <w:rFonts w:eastAsia="Times New Roman"/>
                <w:sz w:val="20"/>
                <w:szCs w:val="20"/>
              </w:rPr>
            </w:pPr>
            <w:r>
              <w:rPr>
                <w:rFonts w:eastAsia="Times New Roman"/>
                <w:sz w:val="20"/>
                <w:szCs w:val="20"/>
              </w:rPr>
              <w:t>3,000</w:t>
            </w:r>
          </w:p>
        </w:tc>
        <w:tc>
          <w:tcPr>
            <w:tcW w:w="0" w:type="auto"/>
            <w:shd w:val="clear" w:color="auto" w:fill="CCEEFF"/>
            <w:vAlign w:val="bottom"/>
            <w:hideMark/>
          </w:tcPr>
          <w:p w14:paraId="57F19BC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AF2656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02821A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E9F5D87" w14:textId="77777777" w:rsidR="00000000" w:rsidRDefault="007E65A2">
            <w:pPr>
              <w:jc w:val="right"/>
              <w:rPr>
                <w:rFonts w:eastAsia="Times New Roman"/>
                <w:sz w:val="20"/>
                <w:szCs w:val="20"/>
              </w:rPr>
            </w:pPr>
            <w:r>
              <w:rPr>
                <w:rFonts w:eastAsia="Times New Roman"/>
                <w:sz w:val="20"/>
                <w:szCs w:val="20"/>
              </w:rPr>
              <w:t>54,473</w:t>
            </w:r>
          </w:p>
        </w:tc>
        <w:tc>
          <w:tcPr>
            <w:tcW w:w="0" w:type="auto"/>
            <w:shd w:val="clear" w:color="auto" w:fill="CCEEFF"/>
            <w:vAlign w:val="bottom"/>
            <w:hideMark/>
          </w:tcPr>
          <w:p w14:paraId="52D3F2D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818D49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B9F6EB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E66D9CB" w14:textId="77777777" w:rsidR="00000000" w:rsidRDefault="007E65A2">
            <w:pPr>
              <w:jc w:val="right"/>
              <w:rPr>
                <w:rFonts w:eastAsia="Times New Roman"/>
                <w:sz w:val="20"/>
                <w:szCs w:val="20"/>
              </w:rPr>
            </w:pPr>
            <w:r>
              <w:rPr>
                <w:rFonts w:eastAsia="Times New Roman"/>
                <w:sz w:val="20"/>
                <w:szCs w:val="20"/>
              </w:rPr>
              <w:t>(57,273</w:t>
            </w:r>
          </w:p>
        </w:tc>
        <w:tc>
          <w:tcPr>
            <w:tcW w:w="0" w:type="auto"/>
            <w:shd w:val="clear" w:color="auto" w:fill="CCEEFF"/>
            <w:vAlign w:val="bottom"/>
            <w:hideMark/>
          </w:tcPr>
          <w:p w14:paraId="1ABDF187"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03E7850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3E77E9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2EF416A"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FAD56F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7ED812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D802C6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9343B97" w14:textId="77777777" w:rsidR="00000000" w:rsidRDefault="007E65A2">
            <w:pPr>
              <w:jc w:val="right"/>
              <w:rPr>
                <w:rFonts w:eastAsia="Times New Roman"/>
                <w:sz w:val="20"/>
                <w:szCs w:val="20"/>
              </w:rPr>
            </w:pPr>
            <w:r>
              <w:rPr>
                <w:rFonts w:eastAsia="Times New Roman"/>
                <w:sz w:val="20"/>
                <w:szCs w:val="20"/>
              </w:rPr>
              <w:t>200</w:t>
            </w:r>
          </w:p>
        </w:tc>
        <w:tc>
          <w:tcPr>
            <w:tcW w:w="0" w:type="auto"/>
            <w:shd w:val="clear" w:color="auto" w:fill="CCEEFF"/>
            <w:vAlign w:val="bottom"/>
            <w:hideMark/>
          </w:tcPr>
          <w:p w14:paraId="43DEF755" w14:textId="77777777" w:rsidR="00000000" w:rsidRDefault="007E65A2">
            <w:pPr>
              <w:pStyle w:val="a3"/>
              <w:spacing w:before="0" w:beforeAutospacing="0" w:after="0" w:afterAutospacing="0"/>
              <w:jc w:val="both"/>
              <w:rPr>
                <w:sz w:val="20"/>
                <w:szCs w:val="20"/>
              </w:rPr>
            </w:pPr>
            <w:r>
              <w:rPr>
                <w:sz w:val="20"/>
                <w:szCs w:val="20"/>
              </w:rPr>
              <w:t> </w:t>
            </w:r>
          </w:p>
        </w:tc>
      </w:tr>
      <w:tr w:rsidR="007E65A2" w14:paraId="5E159418" w14:textId="77777777">
        <w:trPr>
          <w:divId w:val="911279972"/>
          <w:tblCellSpacing w:w="0" w:type="dxa"/>
        </w:trPr>
        <w:tc>
          <w:tcPr>
            <w:tcW w:w="0" w:type="auto"/>
            <w:shd w:val="clear" w:color="auto" w:fill="FFFFFF"/>
            <w:hideMark/>
          </w:tcPr>
          <w:p w14:paraId="6E3FBBBB" w14:textId="77777777" w:rsidR="00000000" w:rsidRDefault="007E65A2">
            <w:pPr>
              <w:pStyle w:val="a3"/>
              <w:spacing w:before="0" w:beforeAutospacing="0" w:after="0" w:afterAutospacing="0"/>
              <w:jc w:val="both"/>
              <w:rPr>
                <w:sz w:val="20"/>
                <w:szCs w:val="20"/>
              </w:rPr>
            </w:pPr>
            <w:r>
              <w:rPr>
                <w:sz w:val="20"/>
                <w:szCs w:val="20"/>
              </w:rPr>
              <w:t>Common stock issued for conversion of debt and resolution of derivative liabilities</w:t>
            </w:r>
          </w:p>
        </w:tc>
        <w:tc>
          <w:tcPr>
            <w:tcW w:w="0" w:type="auto"/>
            <w:shd w:val="clear" w:color="auto" w:fill="FFFFFF"/>
            <w:vAlign w:val="bottom"/>
            <w:hideMark/>
          </w:tcPr>
          <w:p w14:paraId="1E11E0F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EF0D45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80E5781"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93FEA8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414D76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E98FB5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DEE0501"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F42C22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F1EC38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A410EA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CDCF8DB" w14:textId="77777777" w:rsidR="00000000" w:rsidRDefault="007E65A2">
            <w:pPr>
              <w:jc w:val="right"/>
              <w:rPr>
                <w:rFonts w:eastAsia="Times New Roman"/>
                <w:sz w:val="20"/>
                <w:szCs w:val="20"/>
              </w:rPr>
            </w:pPr>
            <w:r>
              <w:rPr>
                <w:rFonts w:eastAsia="Times New Roman"/>
                <w:sz w:val="20"/>
                <w:szCs w:val="20"/>
              </w:rPr>
              <w:t>585,503,747</w:t>
            </w:r>
          </w:p>
        </w:tc>
        <w:tc>
          <w:tcPr>
            <w:tcW w:w="0" w:type="auto"/>
            <w:shd w:val="clear" w:color="auto" w:fill="FFFFFF"/>
            <w:vAlign w:val="bottom"/>
            <w:hideMark/>
          </w:tcPr>
          <w:p w14:paraId="7443ECF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CE74A1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012971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43B50DA" w14:textId="77777777" w:rsidR="00000000" w:rsidRDefault="007E65A2">
            <w:pPr>
              <w:jc w:val="right"/>
              <w:rPr>
                <w:rFonts w:eastAsia="Times New Roman"/>
                <w:sz w:val="20"/>
                <w:szCs w:val="20"/>
              </w:rPr>
            </w:pPr>
            <w:r>
              <w:rPr>
                <w:rFonts w:eastAsia="Times New Roman"/>
                <w:sz w:val="20"/>
                <w:szCs w:val="20"/>
              </w:rPr>
              <w:t>58,550</w:t>
            </w:r>
          </w:p>
        </w:tc>
        <w:tc>
          <w:tcPr>
            <w:tcW w:w="0" w:type="auto"/>
            <w:shd w:val="clear" w:color="auto" w:fill="FFFFFF"/>
            <w:vAlign w:val="bottom"/>
            <w:hideMark/>
          </w:tcPr>
          <w:p w14:paraId="5299B2E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D7245F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3F368C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C0775EE" w14:textId="77777777" w:rsidR="00000000" w:rsidRDefault="007E65A2">
            <w:pPr>
              <w:jc w:val="right"/>
              <w:rPr>
                <w:rFonts w:eastAsia="Times New Roman"/>
                <w:sz w:val="20"/>
                <w:szCs w:val="20"/>
              </w:rPr>
            </w:pPr>
            <w:r>
              <w:rPr>
                <w:rFonts w:eastAsia="Times New Roman"/>
                <w:sz w:val="20"/>
                <w:szCs w:val="20"/>
              </w:rPr>
              <w:t>401,648</w:t>
            </w:r>
          </w:p>
        </w:tc>
        <w:tc>
          <w:tcPr>
            <w:tcW w:w="0" w:type="auto"/>
            <w:shd w:val="clear" w:color="auto" w:fill="FFFFFF"/>
            <w:vAlign w:val="bottom"/>
            <w:hideMark/>
          </w:tcPr>
          <w:p w14:paraId="05440AE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E63C2F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43A952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677FD51"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43DB65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E87E32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E21D23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28B5928"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6E83C0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654CDD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E69622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BE87DF0" w14:textId="77777777" w:rsidR="00000000" w:rsidRDefault="007E65A2">
            <w:pPr>
              <w:jc w:val="right"/>
              <w:rPr>
                <w:rFonts w:eastAsia="Times New Roman"/>
                <w:sz w:val="20"/>
                <w:szCs w:val="20"/>
              </w:rPr>
            </w:pPr>
            <w:r>
              <w:rPr>
                <w:rFonts w:eastAsia="Times New Roman"/>
                <w:sz w:val="20"/>
                <w:szCs w:val="20"/>
              </w:rPr>
              <w:t>460,198</w:t>
            </w:r>
          </w:p>
        </w:tc>
        <w:tc>
          <w:tcPr>
            <w:tcW w:w="0" w:type="auto"/>
            <w:shd w:val="clear" w:color="auto" w:fill="FFFFFF"/>
            <w:vAlign w:val="bottom"/>
            <w:hideMark/>
          </w:tcPr>
          <w:p w14:paraId="51344A5C" w14:textId="77777777" w:rsidR="00000000" w:rsidRDefault="007E65A2">
            <w:pPr>
              <w:pStyle w:val="a3"/>
              <w:spacing w:before="0" w:beforeAutospacing="0" w:after="0" w:afterAutospacing="0"/>
              <w:jc w:val="both"/>
              <w:rPr>
                <w:sz w:val="20"/>
                <w:szCs w:val="20"/>
              </w:rPr>
            </w:pPr>
            <w:r>
              <w:rPr>
                <w:sz w:val="20"/>
                <w:szCs w:val="20"/>
              </w:rPr>
              <w:t> </w:t>
            </w:r>
          </w:p>
        </w:tc>
      </w:tr>
      <w:tr w:rsidR="007E65A2" w14:paraId="600DCD67" w14:textId="77777777">
        <w:trPr>
          <w:divId w:val="911279972"/>
          <w:tblCellSpacing w:w="0" w:type="dxa"/>
        </w:trPr>
        <w:tc>
          <w:tcPr>
            <w:tcW w:w="0" w:type="auto"/>
            <w:shd w:val="clear" w:color="auto" w:fill="CCEEFF"/>
            <w:hideMark/>
          </w:tcPr>
          <w:p w14:paraId="7CDF5367" w14:textId="77777777" w:rsidR="00000000" w:rsidRDefault="007E65A2">
            <w:pPr>
              <w:pStyle w:val="a3"/>
              <w:spacing w:before="0" w:beforeAutospacing="0" w:after="0" w:afterAutospacing="0"/>
              <w:jc w:val="both"/>
              <w:rPr>
                <w:sz w:val="20"/>
                <w:szCs w:val="20"/>
              </w:rPr>
            </w:pPr>
            <w:r>
              <w:rPr>
                <w:sz w:val="20"/>
                <w:szCs w:val="20"/>
              </w:rPr>
              <w:t>Net loss for the period</w:t>
            </w:r>
          </w:p>
        </w:tc>
        <w:tc>
          <w:tcPr>
            <w:tcW w:w="0" w:type="auto"/>
            <w:shd w:val="clear" w:color="auto" w:fill="CCEEFF"/>
            <w:vAlign w:val="bottom"/>
            <w:hideMark/>
          </w:tcPr>
          <w:p w14:paraId="1E8F8BD5"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03F43623"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4ACD8254"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490DB16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D5B6A93"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27145F0C"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538F1A70"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33F614A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2841076"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1F7829A7"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5FE2BAA5"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181F27A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E411817"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2246362C"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7A990DB9"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5CB066F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66A2BC0"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621D5CC9"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1B7D6490"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34879E1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1C9820B"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3A8ED316"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1444CCD6"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2E72D90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6FDA11E"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4B1AA3C3"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58093B97" w14:textId="77777777" w:rsidR="00000000" w:rsidRDefault="007E65A2">
            <w:pPr>
              <w:jc w:val="right"/>
              <w:rPr>
                <w:rFonts w:eastAsia="Times New Roman"/>
                <w:sz w:val="20"/>
                <w:szCs w:val="20"/>
              </w:rPr>
            </w:pPr>
            <w:r>
              <w:rPr>
                <w:rFonts w:eastAsia="Times New Roman"/>
                <w:sz w:val="20"/>
                <w:szCs w:val="20"/>
              </w:rPr>
              <w:t>(1,994,256</w:t>
            </w:r>
          </w:p>
        </w:tc>
        <w:tc>
          <w:tcPr>
            <w:tcW w:w="0" w:type="auto"/>
            <w:shd w:val="clear" w:color="auto" w:fill="CCEEFF"/>
            <w:tcMar>
              <w:top w:w="0" w:type="dxa"/>
              <w:left w:w="0" w:type="dxa"/>
              <w:bottom w:w="15" w:type="dxa"/>
              <w:right w:w="0" w:type="dxa"/>
            </w:tcMar>
            <w:vAlign w:val="bottom"/>
            <w:hideMark/>
          </w:tcPr>
          <w:p w14:paraId="75400231"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33A1190C"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464AB5F4"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3B332E41" w14:textId="77777777" w:rsidR="00000000" w:rsidRDefault="007E65A2">
            <w:pPr>
              <w:jc w:val="right"/>
              <w:rPr>
                <w:rFonts w:eastAsia="Times New Roman"/>
                <w:sz w:val="20"/>
                <w:szCs w:val="20"/>
              </w:rPr>
            </w:pPr>
            <w:r>
              <w:rPr>
                <w:rFonts w:eastAsia="Times New Roman"/>
                <w:sz w:val="20"/>
                <w:szCs w:val="20"/>
              </w:rPr>
              <w:t>(1,994,256</w:t>
            </w:r>
          </w:p>
        </w:tc>
        <w:tc>
          <w:tcPr>
            <w:tcW w:w="0" w:type="auto"/>
            <w:shd w:val="clear" w:color="auto" w:fill="CCEEFF"/>
            <w:tcMar>
              <w:top w:w="0" w:type="dxa"/>
              <w:left w:w="0" w:type="dxa"/>
              <w:bottom w:w="15" w:type="dxa"/>
              <w:right w:w="0" w:type="dxa"/>
            </w:tcMar>
            <w:vAlign w:val="bottom"/>
            <w:hideMark/>
          </w:tcPr>
          <w:p w14:paraId="35823A92" w14:textId="77777777" w:rsidR="00000000" w:rsidRDefault="007E65A2">
            <w:pPr>
              <w:jc w:val="both"/>
              <w:rPr>
                <w:rFonts w:eastAsia="Times New Roman"/>
                <w:sz w:val="20"/>
                <w:szCs w:val="20"/>
              </w:rPr>
            </w:pPr>
            <w:r>
              <w:rPr>
                <w:rFonts w:eastAsia="Times New Roman"/>
                <w:sz w:val="20"/>
                <w:szCs w:val="20"/>
              </w:rPr>
              <w:t>)</w:t>
            </w:r>
          </w:p>
        </w:tc>
      </w:tr>
      <w:tr w:rsidR="007E65A2" w14:paraId="1A5BE4B5" w14:textId="77777777">
        <w:trPr>
          <w:divId w:val="911279972"/>
          <w:tblCellSpacing w:w="0" w:type="dxa"/>
        </w:trPr>
        <w:tc>
          <w:tcPr>
            <w:tcW w:w="0" w:type="auto"/>
            <w:shd w:val="clear" w:color="auto" w:fill="FFFFFF"/>
            <w:vAlign w:val="center"/>
            <w:hideMark/>
          </w:tcPr>
          <w:p w14:paraId="0C8DC48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5B86BC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F0B356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C0CFCF8"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4951B1C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E1EDB1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0C8D8F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438C8D0"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617C8CC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232B25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DF0CF4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A4DCE69"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25F4724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DD0E95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295208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E0E888D"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3E99866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2C6F18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52C40B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DBAF482"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1843052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E289E0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743409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A12D194"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4EFEEEF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52319A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E9D03C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8A69B6B"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2AA5459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16AA28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2E98FC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53E69E4"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66710F11" w14:textId="77777777" w:rsidR="00000000" w:rsidRDefault="007E65A2">
            <w:pPr>
              <w:pStyle w:val="a3"/>
              <w:spacing w:before="0" w:beforeAutospacing="0" w:after="0" w:afterAutospacing="0"/>
              <w:jc w:val="both"/>
              <w:rPr>
                <w:sz w:val="20"/>
                <w:szCs w:val="20"/>
              </w:rPr>
            </w:pPr>
            <w:r>
              <w:rPr>
                <w:sz w:val="20"/>
                <w:szCs w:val="20"/>
              </w:rPr>
              <w:t> </w:t>
            </w:r>
          </w:p>
        </w:tc>
      </w:tr>
      <w:tr w:rsidR="007E65A2" w14:paraId="66AE23A7" w14:textId="77777777">
        <w:trPr>
          <w:divId w:val="911279972"/>
          <w:tblCellSpacing w:w="0" w:type="dxa"/>
        </w:trPr>
        <w:tc>
          <w:tcPr>
            <w:tcW w:w="0" w:type="auto"/>
            <w:shd w:val="clear" w:color="auto" w:fill="CCEEFF"/>
            <w:hideMark/>
          </w:tcPr>
          <w:p w14:paraId="5261ABF3" w14:textId="77777777" w:rsidR="00000000" w:rsidRDefault="007E65A2">
            <w:pPr>
              <w:pStyle w:val="a3"/>
              <w:spacing w:before="0" w:beforeAutospacing="0" w:after="0" w:afterAutospacing="0"/>
              <w:jc w:val="both"/>
              <w:rPr>
                <w:sz w:val="20"/>
                <w:szCs w:val="20"/>
              </w:rPr>
            </w:pPr>
            <w:r>
              <w:rPr>
                <w:b/>
                <w:bCs/>
                <w:sz w:val="20"/>
                <w:szCs w:val="20"/>
              </w:rPr>
              <w:t>Balance, June 30, 2018</w:t>
            </w:r>
          </w:p>
        </w:tc>
        <w:tc>
          <w:tcPr>
            <w:tcW w:w="0" w:type="auto"/>
            <w:shd w:val="clear" w:color="auto" w:fill="CCEEFF"/>
            <w:vAlign w:val="bottom"/>
            <w:hideMark/>
          </w:tcPr>
          <w:p w14:paraId="080E6BF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C50785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6245487" w14:textId="77777777" w:rsidR="00000000" w:rsidRDefault="007E65A2">
            <w:pPr>
              <w:jc w:val="right"/>
              <w:rPr>
                <w:rFonts w:eastAsia="Times New Roman"/>
                <w:sz w:val="20"/>
                <w:szCs w:val="20"/>
              </w:rPr>
            </w:pPr>
            <w:r>
              <w:rPr>
                <w:rFonts w:eastAsia="Times New Roman"/>
                <w:sz w:val="20"/>
                <w:szCs w:val="20"/>
              </w:rPr>
              <w:t>5,000,000</w:t>
            </w:r>
          </w:p>
        </w:tc>
        <w:tc>
          <w:tcPr>
            <w:tcW w:w="0" w:type="auto"/>
            <w:shd w:val="clear" w:color="auto" w:fill="CCEEFF"/>
            <w:tcMar>
              <w:top w:w="0" w:type="dxa"/>
              <w:left w:w="0" w:type="dxa"/>
              <w:bottom w:w="15" w:type="dxa"/>
              <w:right w:w="0" w:type="dxa"/>
            </w:tcMar>
            <w:vAlign w:val="bottom"/>
            <w:hideMark/>
          </w:tcPr>
          <w:p w14:paraId="5ACB931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ED791B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EFE96BD"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47E9A867" w14:textId="77777777" w:rsidR="00000000" w:rsidRDefault="007E65A2">
            <w:pPr>
              <w:jc w:val="right"/>
              <w:rPr>
                <w:rFonts w:eastAsia="Times New Roman"/>
                <w:sz w:val="20"/>
                <w:szCs w:val="20"/>
              </w:rPr>
            </w:pPr>
            <w:r>
              <w:rPr>
                <w:rFonts w:eastAsia="Times New Roman"/>
                <w:sz w:val="20"/>
                <w:szCs w:val="20"/>
              </w:rPr>
              <w:t>500</w:t>
            </w:r>
          </w:p>
        </w:tc>
        <w:tc>
          <w:tcPr>
            <w:tcW w:w="0" w:type="auto"/>
            <w:shd w:val="clear" w:color="auto" w:fill="CCEEFF"/>
            <w:tcMar>
              <w:top w:w="0" w:type="dxa"/>
              <w:left w:w="0" w:type="dxa"/>
              <w:bottom w:w="15" w:type="dxa"/>
              <w:right w:w="0" w:type="dxa"/>
            </w:tcMar>
            <w:vAlign w:val="bottom"/>
            <w:hideMark/>
          </w:tcPr>
          <w:p w14:paraId="69EE45C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4F8566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618CA6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01A72DE" w14:textId="77777777" w:rsidR="00000000" w:rsidRDefault="007E65A2">
            <w:pPr>
              <w:jc w:val="right"/>
              <w:rPr>
                <w:rFonts w:eastAsia="Times New Roman"/>
                <w:sz w:val="20"/>
                <w:szCs w:val="20"/>
              </w:rPr>
            </w:pPr>
            <w:r>
              <w:rPr>
                <w:rFonts w:eastAsia="Times New Roman"/>
                <w:sz w:val="20"/>
                <w:szCs w:val="20"/>
              </w:rPr>
              <w:t>1,240,477,060</w:t>
            </w:r>
          </w:p>
        </w:tc>
        <w:tc>
          <w:tcPr>
            <w:tcW w:w="0" w:type="auto"/>
            <w:shd w:val="clear" w:color="auto" w:fill="CCEEFF"/>
            <w:tcMar>
              <w:top w:w="0" w:type="dxa"/>
              <w:left w:w="0" w:type="dxa"/>
              <w:bottom w:w="15" w:type="dxa"/>
              <w:right w:w="0" w:type="dxa"/>
            </w:tcMar>
            <w:vAlign w:val="bottom"/>
            <w:hideMark/>
          </w:tcPr>
          <w:p w14:paraId="01B57C3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A6A8A4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44829F3"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6F7E43CA" w14:textId="77777777" w:rsidR="00000000" w:rsidRDefault="007E65A2">
            <w:pPr>
              <w:jc w:val="right"/>
              <w:rPr>
                <w:rFonts w:eastAsia="Times New Roman"/>
                <w:sz w:val="20"/>
                <w:szCs w:val="20"/>
              </w:rPr>
            </w:pPr>
            <w:r>
              <w:rPr>
                <w:rFonts w:eastAsia="Times New Roman"/>
                <w:sz w:val="20"/>
                <w:szCs w:val="20"/>
              </w:rPr>
              <w:t>124,047</w:t>
            </w:r>
          </w:p>
        </w:tc>
        <w:tc>
          <w:tcPr>
            <w:tcW w:w="0" w:type="auto"/>
            <w:shd w:val="clear" w:color="auto" w:fill="CCEEFF"/>
            <w:tcMar>
              <w:top w:w="0" w:type="dxa"/>
              <w:left w:w="0" w:type="dxa"/>
              <w:bottom w:w="15" w:type="dxa"/>
              <w:right w:w="0" w:type="dxa"/>
            </w:tcMar>
            <w:vAlign w:val="bottom"/>
            <w:hideMark/>
          </w:tcPr>
          <w:p w14:paraId="59FB878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18B3CA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5A2C11C"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7FD74555" w14:textId="77777777" w:rsidR="00000000" w:rsidRDefault="007E65A2">
            <w:pPr>
              <w:jc w:val="right"/>
              <w:rPr>
                <w:rFonts w:eastAsia="Times New Roman"/>
                <w:sz w:val="20"/>
                <w:szCs w:val="20"/>
              </w:rPr>
            </w:pPr>
            <w:r>
              <w:rPr>
                <w:rFonts w:eastAsia="Times New Roman"/>
                <w:sz w:val="20"/>
                <w:szCs w:val="20"/>
              </w:rPr>
              <w:t>4,740,277</w:t>
            </w:r>
          </w:p>
        </w:tc>
        <w:tc>
          <w:tcPr>
            <w:tcW w:w="0" w:type="auto"/>
            <w:shd w:val="clear" w:color="auto" w:fill="CCEEFF"/>
            <w:tcMar>
              <w:top w:w="0" w:type="dxa"/>
              <w:left w:w="0" w:type="dxa"/>
              <w:bottom w:w="15" w:type="dxa"/>
              <w:right w:w="0" w:type="dxa"/>
            </w:tcMar>
            <w:vAlign w:val="bottom"/>
            <w:hideMark/>
          </w:tcPr>
          <w:p w14:paraId="008BB8F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B4331D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BDC1712"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356DC639" w14:textId="77777777" w:rsidR="00000000" w:rsidRDefault="007E65A2">
            <w:pPr>
              <w:jc w:val="right"/>
              <w:rPr>
                <w:rFonts w:eastAsia="Times New Roman"/>
                <w:sz w:val="20"/>
                <w:szCs w:val="20"/>
              </w:rPr>
            </w:pPr>
            <w:r>
              <w:rPr>
                <w:rFonts w:eastAsia="Times New Roman"/>
                <w:sz w:val="20"/>
                <w:szCs w:val="20"/>
              </w:rPr>
              <w:t>62,727</w:t>
            </w:r>
          </w:p>
        </w:tc>
        <w:tc>
          <w:tcPr>
            <w:tcW w:w="0" w:type="auto"/>
            <w:shd w:val="clear" w:color="auto" w:fill="CCEEFF"/>
            <w:tcMar>
              <w:top w:w="0" w:type="dxa"/>
              <w:left w:w="0" w:type="dxa"/>
              <w:bottom w:w="15" w:type="dxa"/>
              <w:right w:w="0" w:type="dxa"/>
            </w:tcMar>
            <w:vAlign w:val="bottom"/>
            <w:hideMark/>
          </w:tcPr>
          <w:p w14:paraId="4F5A4F2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69ACC6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B9F76D7"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7F9EC229" w14:textId="77777777" w:rsidR="00000000" w:rsidRDefault="007E65A2">
            <w:pPr>
              <w:jc w:val="right"/>
              <w:rPr>
                <w:rFonts w:eastAsia="Times New Roman"/>
                <w:sz w:val="20"/>
                <w:szCs w:val="20"/>
              </w:rPr>
            </w:pPr>
            <w:r>
              <w:rPr>
                <w:rFonts w:eastAsia="Times New Roman"/>
                <w:sz w:val="20"/>
                <w:szCs w:val="20"/>
              </w:rPr>
              <w:t>(6,777,119</w:t>
            </w:r>
          </w:p>
        </w:tc>
        <w:tc>
          <w:tcPr>
            <w:tcW w:w="0" w:type="auto"/>
            <w:shd w:val="clear" w:color="auto" w:fill="CCEEFF"/>
            <w:tcMar>
              <w:top w:w="0" w:type="dxa"/>
              <w:left w:w="0" w:type="dxa"/>
              <w:bottom w:w="15" w:type="dxa"/>
              <w:right w:w="0" w:type="dxa"/>
            </w:tcMar>
            <w:vAlign w:val="bottom"/>
            <w:hideMark/>
          </w:tcPr>
          <w:p w14:paraId="088B979C"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6E43E0C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D126F4F"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0744F4DB" w14:textId="77777777" w:rsidR="00000000" w:rsidRDefault="007E65A2">
            <w:pPr>
              <w:jc w:val="right"/>
              <w:rPr>
                <w:rFonts w:eastAsia="Times New Roman"/>
                <w:sz w:val="20"/>
                <w:szCs w:val="20"/>
              </w:rPr>
            </w:pPr>
            <w:r>
              <w:rPr>
                <w:rFonts w:eastAsia="Times New Roman"/>
                <w:sz w:val="20"/>
                <w:szCs w:val="20"/>
              </w:rPr>
              <w:t>(1,849,568</w:t>
            </w:r>
          </w:p>
        </w:tc>
        <w:tc>
          <w:tcPr>
            <w:tcW w:w="0" w:type="auto"/>
            <w:shd w:val="clear" w:color="auto" w:fill="CCEEFF"/>
            <w:tcMar>
              <w:top w:w="0" w:type="dxa"/>
              <w:left w:w="0" w:type="dxa"/>
              <w:bottom w:w="15" w:type="dxa"/>
              <w:right w:w="0" w:type="dxa"/>
            </w:tcMar>
            <w:vAlign w:val="bottom"/>
            <w:hideMark/>
          </w:tcPr>
          <w:p w14:paraId="7B723026" w14:textId="77777777" w:rsidR="00000000" w:rsidRDefault="007E65A2">
            <w:pPr>
              <w:jc w:val="both"/>
              <w:rPr>
                <w:rFonts w:eastAsia="Times New Roman"/>
                <w:sz w:val="20"/>
                <w:szCs w:val="20"/>
              </w:rPr>
            </w:pPr>
            <w:r>
              <w:rPr>
                <w:rFonts w:eastAsia="Times New Roman"/>
                <w:sz w:val="20"/>
                <w:szCs w:val="20"/>
              </w:rPr>
              <w:t>)</w:t>
            </w:r>
          </w:p>
        </w:tc>
      </w:tr>
      <w:tr w:rsidR="007E65A2" w14:paraId="7BC3A5A6" w14:textId="77777777">
        <w:trPr>
          <w:divId w:val="911279972"/>
          <w:tblCellSpacing w:w="0" w:type="dxa"/>
        </w:trPr>
        <w:tc>
          <w:tcPr>
            <w:tcW w:w="0" w:type="auto"/>
            <w:shd w:val="clear" w:color="auto" w:fill="FFFFFF"/>
            <w:vAlign w:val="center"/>
            <w:hideMark/>
          </w:tcPr>
          <w:p w14:paraId="419AB5A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736B3E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8A0C3F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A8BB2A8"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2C51802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DAEC0B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425320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1FD4428"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4C2C97E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5CC964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4AD999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2EB70AF"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5D4EB03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ECBAC4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69D591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D6FA8C3"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6FAA1FC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C91CE2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09EF60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D50489F"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6BFEE7C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D0FC73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159784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068B8C0"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7C847FF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22E9F1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19B212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752EA06"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52E8BC6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590753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1EC8E0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B106E7D"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406B9F1B" w14:textId="77777777" w:rsidR="00000000" w:rsidRDefault="007E65A2">
            <w:pPr>
              <w:pStyle w:val="a3"/>
              <w:spacing w:before="0" w:beforeAutospacing="0" w:after="0" w:afterAutospacing="0"/>
              <w:jc w:val="both"/>
              <w:rPr>
                <w:sz w:val="20"/>
                <w:szCs w:val="20"/>
              </w:rPr>
            </w:pPr>
            <w:r>
              <w:rPr>
                <w:sz w:val="20"/>
                <w:szCs w:val="20"/>
              </w:rPr>
              <w:t> </w:t>
            </w:r>
          </w:p>
        </w:tc>
      </w:tr>
      <w:tr w:rsidR="007E65A2" w14:paraId="72FAD0C1" w14:textId="77777777">
        <w:trPr>
          <w:divId w:val="911279972"/>
          <w:tblCellSpacing w:w="0" w:type="dxa"/>
        </w:trPr>
        <w:tc>
          <w:tcPr>
            <w:tcW w:w="0" w:type="auto"/>
            <w:shd w:val="clear" w:color="auto" w:fill="CCEEFF"/>
            <w:hideMark/>
          </w:tcPr>
          <w:p w14:paraId="1BB6BF27" w14:textId="77777777" w:rsidR="00000000" w:rsidRDefault="007E65A2">
            <w:pPr>
              <w:pStyle w:val="a3"/>
              <w:spacing w:before="0" w:beforeAutospacing="0" w:after="0" w:afterAutospacing="0"/>
              <w:jc w:val="both"/>
              <w:rPr>
                <w:sz w:val="20"/>
                <w:szCs w:val="20"/>
              </w:rPr>
            </w:pPr>
            <w:r>
              <w:rPr>
                <w:sz w:val="20"/>
                <w:szCs w:val="20"/>
              </w:rPr>
              <w:t>Preferred stock issued for settlement of debt - related party</w:t>
            </w:r>
          </w:p>
        </w:tc>
        <w:tc>
          <w:tcPr>
            <w:tcW w:w="0" w:type="auto"/>
            <w:shd w:val="clear" w:color="auto" w:fill="CCEEFF"/>
            <w:vAlign w:val="bottom"/>
            <w:hideMark/>
          </w:tcPr>
          <w:p w14:paraId="4CCFF9B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1AC6E7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F16F53E" w14:textId="77777777" w:rsidR="00000000" w:rsidRDefault="007E65A2">
            <w:pPr>
              <w:jc w:val="right"/>
              <w:rPr>
                <w:rFonts w:eastAsia="Times New Roman"/>
                <w:sz w:val="20"/>
                <w:szCs w:val="20"/>
              </w:rPr>
            </w:pPr>
            <w:r>
              <w:rPr>
                <w:rFonts w:eastAsia="Times New Roman"/>
                <w:sz w:val="20"/>
                <w:szCs w:val="20"/>
              </w:rPr>
              <w:t>4,750,000</w:t>
            </w:r>
          </w:p>
        </w:tc>
        <w:tc>
          <w:tcPr>
            <w:tcW w:w="0" w:type="auto"/>
            <w:shd w:val="clear" w:color="auto" w:fill="CCEEFF"/>
            <w:vAlign w:val="bottom"/>
            <w:hideMark/>
          </w:tcPr>
          <w:p w14:paraId="1ECB2AD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337090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161BDE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DBF7D5E" w14:textId="77777777" w:rsidR="00000000" w:rsidRDefault="007E65A2">
            <w:pPr>
              <w:jc w:val="right"/>
              <w:rPr>
                <w:rFonts w:eastAsia="Times New Roman"/>
                <w:sz w:val="20"/>
                <w:szCs w:val="20"/>
              </w:rPr>
            </w:pPr>
            <w:r>
              <w:rPr>
                <w:rFonts w:eastAsia="Times New Roman"/>
                <w:sz w:val="20"/>
                <w:szCs w:val="20"/>
              </w:rPr>
              <w:t>475</w:t>
            </w:r>
          </w:p>
        </w:tc>
        <w:tc>
          <w:tcPr>
            <w:tcW w:w="0" w:type="auto"/>
            <w:shd w:val="clear" w:color="auto" w:fill="CCEEFF"/>
            <w:vAlign w:val="bottom"/>
            <w:hideMark/>
          </w:tcPr>
          <w:p w14:paraId="7639644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2C9C00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0D9AA1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95ECF08"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53932D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E60EA4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70977A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13FCF74"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8067F2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C4948E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27F575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A462A4C" w14:textId="77777777" w:rsidR="00000000" w:rsidRDefault="007E65A2">
            <w:pPr>
              <w:jc w:val="right"/>
              <w:rPr>
                <w:rFonts w:eastAsia="Times New Roman"/>
                <w:sz w:val="20"/>
                <w:szCs w:val="20"/>
              </w:rPr>
            </w:pPr>
            <w:r>
              <w:rPr>
                <w:rFonts w:eastAsia="Times New Roman"/>
                <w:sz w:val="20"/>
                <w:szCs w:val="20"/>
              </w:rPr>
              <w:t>712,025</w:t>
            </w:r>
          </w:p>
        </w:tc>
        <w:tc>
          <w:tcPr>
            <w:tcW w:w="0" w:type="auto"/>
            <w:shd w:val="clear" w:color="auto" w:fill="CCEEFF"/>
            <w:vAlign w:val="bottom"/>
            <w:hideMark/>
          </w:tcPr>
          <w:p w14:paraId="50D19E5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4B37B2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488F01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470A463"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05F3C9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0A513E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7FA2A1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32E798C"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F9AF9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DD356B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FB21F9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F73BD45" w14:textId="77777777" w:rsidR="00000000" w:rsidRDefault="007E65A2">
            <w:pPr>
              <w:jc w:val="right"/>
              <w:rPr>
                <w:rFonts w:eastAsia="Times New Roman"/>
                <w:sz w:val="20"/>
                <w:szCs w:val="20"/>
              </w:rPr>
            </w:pPr>
            <w:r>
              <w:rPr>
                <w:rFonts w:eastAsia="Times New Roman"/>
                <w:sz w:val="20"/>
                <w:szCs w:val="20"/>
              </w:rPr>
              <w:t>712,500</w:t>
            </w:r>
          </w:p>
        </w:tc>
        <w:tc>
          <w:tcPr>
            <w:tcW w:w="0" w:type="auto"/>
            <w:shd w:val="clear" w:color="auto" w:fill="CCEEFF"/>
            <w:vAlign w:val="bottom"/>
            <w:hideMark/>
          </w:tcPr>
          <w:p w14:paraId="16310E35" w14:textId="77777777" w:rsidR="00000000" w:rsidRDefault="007E65A2">
            <w:pPr>
              <w:pStyle w:val="a3"/>
              <w:spacing w:before="0" w:beforeAutospacing="0" w:after="0" w:afterAutospacing="0"/>
              <w:jc w:val="both"/>
              <w:rPr>
                <w:sz w:val="20"/>
                <w:szCs w:val="20"/>
              </w:rPr>
            </w:pPr>
            <w:r>
              <w:rPr>
                <w:sz w:val="20"/>
                <w:szCs w:val="20"/>
              </w:rPr>
              <w:t> </w:t>
            </w:r>
          </w:p>
        </w:tc>
      </w:tr>
      <w:tr w:rsidR="007E65A2" w14:paraId="1A90A21C" w14:textId="77777777">
        <w:trPr>
          <w:divId w:val="911279972"/>
          <w:tblCellSpacing w:w="0" w:type="dxa"/>
        </w:trPr>
        <w:tc>
          <w:tcPr>
            <w:tcW w:w="0" w:type="auto"/>
            <w:shd w:val="clear" w:color="auto" w:fill="FFFFFF"/>
            <w:hideMark/>
          </w:tcPr>
          <w:p w14:paraId="1B278396" w14:textId="77777777" w:rsidR="00000000" w:rsidRDefault="007E65A2">
            <w:pPr>
              <w:pStyle w:val="a3"/>
              <w:spacing w:before="0" w:beforeAutospacing="0" w:after="0" w:afterAutospacing="0"/>
              <w:jc w:val="both"/>
              <w:rPr>
                <w:sz w:val="20"/>
                <w:szCs w:val="20"/>
              </w:rPr>
            </w:pPr>
            <w:r>
              <w:rPr>
                <w:sz w:val="20"/>
                <w:szCs w:val="20"/>
              </w:rPr>
              <w:t>Common stock issued in conjunction with convertible note</w:t>
            </w:r>
          </w:p>
        </w:tc>
        <w:tc>
          <w:tcPr>
            <w:tcW w:w="0" w:type="auto"/>
            <w:shd w:val="clear" w:color="auto" w:fill="FFFFFF"/>
            <w:vAlign w:val="bottom"/>
            <w:hideMark/>
          </w:tcPr>
          <w:p w14:paraId="55EFD48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CBA14D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9BF54DA"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C26FEB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F05C1C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AE8350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94734DE"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BC414F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C66472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AC3F50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A9B5221" w14:textId="77777777" w:rsidR="00000000" w:rsidRDefault="007E65A2">
            <w:pPr>
              <w:jc w:val="right"/>
              <w:rPr>
                <w:rFonts w:eastAsia="Times New Roman"/>
                <w:sz w:val="20"/>
                <w:szCs w:val="20"/>
              </w:rPr>
            </w:pPr>
            <w:r>
              <w:rPr>
                <w:rFonts w:eastAsia="Times New Roman"/>
                <w:sz w:val="20"/>
                <w:szCs w:val="20"/>
              </w:rPr>
              <w:t>50,000,000</w:t>
            </w:r>
          </w:p>
        </w:tc>
        <w:tc>
          <w:tcPr>
            <w:tcW w:w="0" w:type="auto"/>
            <w:shd w:val="clear" w:color="auto" w:fill="FFFFFF"/>
            <w:vAlign w:val="bottom"/>
            <w:hideMark/>
          </w:tcPr>
          <w:p w14:paraId="53AA6DE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C469C9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BF33C9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D68CCAA" w14:textId="77777777" w:rsidR="00000000" w:rsidRDefault="007E65A2">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14:paraId="4880851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57F0D2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627D79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187DBC8" w14:textId="77777777" w:rsidR="00000000" w:rsidRDefault="007E65A2">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14:paraId="04076C9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BDD83B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C13F44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48F22FB"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23DD34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8DEE0F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969814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F9266CC"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E7E9BA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A26B6D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A40B65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F9FDA7C" w14:textId="77777777" w:rsidR="00000000" w:rsidRDefault="007E65A2">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14:paraId="528D8769" w14:textId="77777777" w:rsidR="00000000" w:rsidRDefault="007E65A2">
            <w:pPr>
              <w:pStyle w:val="a3"/>
              <w:spacing w:before="0" w:beforeAutospacing="0" w:after="0" w:afterAutospacing="0"/>
              <w:jc w:val="both"/>
              <w:rPr>
                <w:sz w:val="20"/>
                <w:szCs w:val="20"/>
              </w:rPr>
            </w:pPr>
            <w:r>
              <w:rPr>
                <w:sz w:val="20"/>
                <w:szCs w:val="20"/>
              </w:rPr>
              <w:t> </w:t>
            </w:r>
          </w:p>
        </w:tc>
      </w:tr>
      <w:tr w:rsidR="007E65A2" w14:paraId="79E3B375" w14:textId="77777777">
        <w:trPr>
          <w:divId w:val="911279972"/>
          <w:tblCellSpacing w:w="0" w:type="dxa"/>
        </w:trPr>
        <w:tc>
          <w:tcPr>
            <w:tcW w:w="0" w:type="auto"/>
            <w:shd w:val="clear" w:color="auto" w:fill="CCEEFF"/>
            <w:hideMark/>
          </w:tcPr>
          <w:p w14:paraId="39A7D348" w14:textId="77777777" w:rsidR="00000000" w:rsidRDefault="007E65A2">
            <w:pPr>
              <w:pStyle w:val="a3"/>
              <w:spacing w:before="0" w:beforeAutospacing="0" w:after="0" w:afterAutospacing="0"/>
              <w:jc w:val="both"/>
              <w:rPr>
                <w:sz w:val="20"/>
                <w:szCs w:val="20"/>
              </w:rPr>
            </w:pPr>
            <w:r>
              <w:rPr>
                <w:sz w:val="20"/>
                <w:szCs w:val="20"/>
              </w:rPr>
              <w:t>Common stock issued exchanged for common stock payable</w:t>
            </w:r>
          </w:p>
        </w:tc>
        <w:tc>
          <w:tcPr>
            <w:tcW w:w="0" w:type="auto"/>
            <w:shd w:val="clear" w:color="auto" w:fill="CCEEFF"/>
            <w:vAlign w:val="bottom"/>
            <w:hideMark/>
          </w:tcPr>
          <w:p w14:paraId="7661331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9F1F39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219BF0B"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0C2D9C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E292D1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CB2982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A82F13F"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C6DCDD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B7E5D5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9CEA65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7D06777" w14:textId="77777777" w:rsidR="00000000" w:rsidRDefault="007E65A2">
            <w:pPr>
              <w:jc w:val="right"/>
              <w:rPr>
                <w:rFonts w:eastAsia="Times New Roman"/>
                <w:sz w:val="20"/>
                <w:szCs w:val="20"/>
              </w:rPr>
            </w:pPr>
            <w:r>
              <w:rPr>
                <w:rFonts w:eastAsia="Times New Roman"/>
                <w:sz w:val="20"/>
                <w:szCs w:val="20"/>
              </w:rPr>
              <w:t>30,000,000</w:t>
            </w:r>
          </w:p>
        </w:tc>
        <w:tc>
          <w:tcPr>
            <w:tcW w:w="0" w:type="auto"/>
            <w:shd w:val="clear" w:color="auto" w:fill="CCEEFF"/>
            <w:vAlign w:val="bottom"/>
            <w:hideMark/>
          </w:tcPr>
          <w:p w14:paraId="711E36D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F2AC48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6C3252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775DB8E" w14:textId="77777777" w:rsidR="00000000" w:rsidRDefault="007E65A2">
            <w:pPr>
              <w:jc w:val="right"/>
              <w:rPr>
                <w:rFonts w:eastAsia="Times New Roman"/>
                <w:sz w:val="20"/>
                <w:szCs w:val="20"/>
              </w:rPr>
            </w:pPr>
            <w:r>
              <w:rPr>
                <w:rFonts w:eastAsia="Times New Roman"/>
                <w:sz w:val="20"/>
                <w:szCs w:val="20"/>
              </w:rPr>
              <w:t>3,000</w:t>
            </w:r>
          </w:p>
        </w:tc>
        <w:tc>
          <w:tcPr>
            <w:tcW w:w="0" w:type="auto"/>
            <w:shd w:val="clear" w:color="auto" w:fill="CCEEFF"/>
            <w:vAlign w:val="bottom"/>
            <w:hideMark/>
          </w:tcPr>
          <w:p w14:paraId="5F74B6D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B984C2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CAE1E0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EC3C72A" w14:textId="77777777" w:rsidR="00000000" w:rsidRDefault="007E65A2">
            <w:pPr>
              <w:jc w:val="right"/>
              <w:rPr>
                <w:rFonts w:eastAsia="Times New Roman"/>
                <w:sz w:val="20"/>
                <w:szCs w:val="20"/>
              </w:rPr>
            </w:pPr>
            <w:r>
              <w:rPr>
                <w:rFonts w:eastAsia="Times New Roman"/>
                <w:sz w:val="20"/>
                <w:szCs w:val="20"/>
              </w:rPr>
              <w:t>12,000</w:t>
            </w:r>
          </w:p>
        </w:tc>
        <w:tc>
          <w:tcPr>
            <w:tcW w:w="0" w:type="auto"/>
            <w:shd w:val="clear" w:color="auto" w:fill="CCEEFF"/>
            <w:vAlign w:val="bottom"/>
            <w:hideMark/>
          </w:tcPr>
          <w:p w14:paraId="37BC8C6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763CFF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B2D400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1FECAA1" w14:textId="77777777" w:rsidR="00000000" w:rsidRDefault="007E65A2">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14:paraId="26B033CB"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50BFBA2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6555EF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429A3D7"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C7F551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BEFE8B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DBF5F1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1B0C2F0"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5333E23" w14:textId="77777777" w:rsidR="00000000" w:rsidRDefault="007E65A2">
            <w:pPr>
              <w:pStyle w:val="a3"/>
              <w:spacing w:before="0" w:beforeAutospacing="0" w:after="0" w:afterAutospacing="0"/>
              <w:jc w:val="both"/>
              <w:rPr>
                <w:sz w:val="20"/>
                <w:szCs w:val="20"/>
              </w:rPr>
            </w:pPr>
            <w:r>
              <w:rPr>
                <w:sz w:val="20"/>
                <w:szCs w:val="20"/>
              </w:rPr>
              <w:t> </w:t>
            </w:r>
          </w:p>
        </w:tc>
      </w:tr>
      <w:tr w:rsidR="007E65A2" w14:paraId="0777917D" w14:textId="77777777">
        <w:trPr>
          <w:divId w:val="911279972"/>
          <w:tblCellSpacing w:w="0" w:type="dxa"/>
        </w:trPr>
        <w:tc>
          <w:tcPr>
            <w:tcW w:w="0" w:type="auto"/>
            <w:shd w:val="clear" w:color="auto" w:fill="FFFFFF"/>
            <w:hideMark/>
          </w:tcPr>
          <w:p w14:paraId="2F687B2D" w14:textId="77777777" w:rsidR="00000000" w:rsidRDefault="007E65A2">
            <w:pPr>
              <w:pStyle w:val="a3"/>
              <w:spacing w:before="0" w:beforeAutospacing="0" w:after="0" w:afterAutospacing="0"/>
              <w:jc w:val="both"/>
              <w:rPr>
                <w:sz w:val="20"/>
                <w:szCs w:val="20"/>
              </w:rPr>
            </w:pPr>
            <w:r>
              <w:rPr>
                <w:sz w:val="20"/>
                <w:szCs w:val="20"/>
              </w:rPr>
              <w:t>Common stock issued for conversion of debt and resolution of derivative liabilities</w:t>
            </w:r>
          </w:p>
        </w:tc>
        <w:tc>
          <w:tcPr>
            <w:tcW w:w="0" w:type="auto"/>
            <w:shd w:val="clear" w:color="auto" w:fill="FFFFFF"/>
            <w:vAlign w:val="bottom"/>
            <w:hideMark/>
          </w:tcPr>
          <w:p w14:paraId="564A47E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AB68CD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8450478"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AC941A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5E8067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14C236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0F6CDAF"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73D6CF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A89468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F625F8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BF770A9" w14:textId="77777777" w:rsidR="00000000" w:rsidRDefault="007E65A2">
            <w:pPr>
              <w:jc w:val="right"/>
              <w:rPr>
                <w:rFonts w:eastAsia="Times New Roman"/>
                <w:sz w:val="20"/>
                <w:szCs w:val="20"/>
              </w:rPr>
            </w:pPr>
            <w:r>
              <w:rPr>
                <w:rFonts w:eastAsia="Times New Roman"/>
                <w:sz w:val="20"/>
                <w:szCs w:val="20"/>
              </w:rPr>
              <w:t>3,775,458,464</w:t>
            </w:r>
          </w:p>
        </w:tc>
        <w:tc>
          <w:tcPr>
            <w:tcW w:w="0" w:type="auto"/>
            <w:shd w:val="clear" w:color="auto" w:fill="FFFFFF"/>
            <w:vAlign w:val="bottom"/>
            <w:hideMark/>
          </w:tcPr>
          <w:p w14:paraId="4EA9BE8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0FE8D7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086F5D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490FAA3" w14:textId="77777777" w:rsidR="00000000" w:rsidRDefault="007E65A2">
            <w:pPr>
              <w:jc w:val="right"/>
              <w:rPr>
                <w:rFonts w:eastAsia="Times New Roman"/>
                <w:sz w:val="20"/>
                <w:szCs w:val="20"/>
              </w:rPr>
            </w:pPr>
            <w:r>
              <w:rPr>
                <w:rFonts w:eastAsia="Times New Roman"/>
                <w:sz w:val="20"/>
                <w:szCs w:val="20"/>
              </w:rPr>
              <w:t>377,546</w:t>
            </w:r>
          </w:p>
        </w:tc>
        <w:tc>
          <w:tcPr>
            <w:tcW w:w="0" w:type="auto"/>
            <w:shd w:val="clear" w:color="auto" w:fill="FFFFFF"/>
            <w:vAlign w:val="bottom"/>
            <w:hideMark/>
          </w:tcPr>
          <w:p w14:paraId="78EC236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616ADF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F1D83B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A532E9E" w14:textId="77777777" w:rsidR="00000000" w:rsidRDefault="007E65A2">
            <w:pPr>
              <w:jc w:val="right"/>
              <w:rPr>
                <w:rFonts w:eastAsia="Times New Roman"/>
                <w:sz w:val="20"/>
                <w:szCs w:val="20"/>
              </w:rPr>
            </w:pPr>
            <w:r>
              <w:rPr>
                <w:rFonts w:eastAsia="Times New Roman"/>
                <w:sz w:val="20"/>
                <w:szCs w:val="20"/>
              </w:rPr>
              <w:t>833,721</w:t>
            </w:r>
          </w:p>
        </w:tc>
        <w:tc>
          <w:tcPr>
            <w:tcW w:w="0" w:type="auto"/>
            <w:shd w:val="clear" w:color="auto" w:fill="FFFFFF"/>
            <w:vAlign w:val="bottom"/>
            <w:hideMark/>
          </w:tcPr>
          <w:p w14:paraId="5430382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8E6A7A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3B98A3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FF7C801"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FC0A36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C49ACD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17888D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826D762"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521895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29DC38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9635A2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3875069" w14:textId="77777777" w:rsidR="00000000" w:rsidRDefault="007E65A2">
            <w:pPr>
              <w:jc w:val="right"/>
              <w:rPr>
                <w:rFonts w:eastAsia="Times New Roman"/>
                <w:sz w:val="20"/>
                <w:szCs w:val="20"/>
              </w:rPr>
            </w:pPr>
            <w:r>
              <w:rPr>
                <w:rFonts w:eastAsia="Times New Roman"/>
                <w:sz w:val="20"/>
                <w:szCs w:val="20"/>
              </w:rPr>
              <w:t>1,211,267</w:t>
            </w:r>
          </w:p>
        </w:tc>
        <w:tc>
          <w:tcPr>
            <w:tcW w:w="0" w:type="auto"/>
            <w:shd w:val="clear" w:color="auto" w:fill="FFFFFF"/>
            <w:vAlign w:val="bottom"/>
            <w:hideMark/>
          </w:tcPr>
          <w:p w14:paraId="79247A5F" w14:textId="77777777" w:rsidR="00000000" w:rsidRDefault="007E65A2">
            <w:pPr>
              <w:pStyle w:val="a3"/>
              <w:spacing w:before="0" w:beforeAutospacing="0" w:after="0" w:afterAutospacing="0"/>
              <w:jc w:val="both"/>
              <w:rPr>
                <w:sz w:val="20"/>
                <w:szCs w:val="20"/>
              </w:rPr>
            </w:pPr>
            <w:r>
              <w:rPr>
                <w:sz w:val="20"/>
                <w:szCs w:val="20"/>
              </w:rPr>
              <w:t> </w:t>
            </w:r>
          </w:p>
        </w:tc>
      </w:tr>
      <w:tr w:rsidR="007E65A2" w14:paraId="7B19796D" w14:textId="77777777">
        <w:trPr>
          <w:divId w:val="911279972"/>
          <w:tblCellSpacing w:w="0" w:type="dxa"/>
        </w:trPr>
        <w:tc>
          <w:tcPr>
            <w:tcW w:w="0" w:type="auto"/>
            <w:shd w:val="clear" w:color="auto" w:fill="CCEEFF"/>
            <w:hideMark/>
          </w:tcPr>
          <w:p w14:paraId="11152F5F" w14:textId="77777777" w:rsidR="00000000" w:rsidRDefault="007E65A2">
            <w:pPr>
              <w:pStyle w:val="a3"/>
              <w:spacing w:before="0" w:beforeAutospacing="0" w:after="0" w:afterAutospacing="0"/>
              <w:jc w:val="both"/>
              <w:rPr>
                <w:sz w:val="20"/>
                <w:szCs w:val="20"/>
              </w:rPr>
            </w:pPr>
            <w:r>
              <w:rPr>
                <w:sz w:val="20"/>
                <w:szCs w:val="20"/>
              </w:rPr>
              <w:t>Net loss for the period</w:t>
            </w:r>
          </w:p>
        </w:tc>
        <w:tc>
          <w:tcPr>
            <w:tcW w:w="0" w:type="auto"/>
            <w:shd w:val="clear" w:color="auto" w:fill="CCEEFF"/>
            <w:vAlign w:val="bottom"/>
            <w:hideMark/>
          </w:tcPr>
          <w:p w14:paraId="74C70382"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11DE94AE"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22FA93D4"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020603D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BCDD7B9"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62D9A9C7"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53531268"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34F5F4D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ABE22B6"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4B4674B6"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68F846BA"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17BE3AE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7E61730"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51148EE3"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1CBA7D73"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396B563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5D7EAC6"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2756A9DD"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42BF4765"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3F22CBC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4F156B5"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2998326D"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4ED33CD0"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15" w:type="dxa"/>
              <w:right w:w="0" w:type="dxa"/>
            </w:tcMar>
            <w:vAlign w:val="bottom"/>
            <w:hideMark/>
          </w:tcPr>
          <w:p w14:paraId="18D0E0C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04B7395"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099DCD56"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05DB042F" w14:textId="77777777" w:rsidR="00000000" w:rsidRDefault="007E65A2">
            <w:pPr>
              <w:jc w:val="right"/>
              <w:rPr>
                <w:rFonts w:eastAsia="Times New Roman"/>
                <w:sz w:val="20"/>
                <w:szCs w:val="20"/>
              </w:rPr>
            </w:pPr>
            <w:r>
              <w:rPr>
                <w:rFonts w:eastAsia="Times New Roman"/>
                <w:sz w:val="20"/>
                <w:szCs w:val="20"/>
              </w:rPr>
              <w:t>(1,064,810</w:t>
            </w:r>
          </w:p>
        </w:tc>
        <w:tc>
          <w:tcPr>
            <w:tcW w:w="0" w:type="auto"/>
            <w:shd w:val="clear" w:color="auto" w:fill="CCEEFF"/>
            <w:tcMar>
              <w:top w:w="0" w:type="dxa"/>
              <w:left w:w="0" w:type="dxa"/>
              <w:bottom w:w="15" w:type="dxa"/>
              <w:right w:w="0" w:type="dxa"/>
            </w:tcMar>
            <w:vAlign w:val="bottom"/>
            <w:hideMark/>
          </w:tcPr>
          <w:p w14:paraId="3E3C2B6F"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255B092F"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307C0AF8"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21BD9D18" w14:textId="77777777" w:rsidR="00000000" w:rsidRDefault="007E65A2">
            <w:pPr>
              <w:jc w:val="right"/>
              <w:rPr>
                <w:rFonts w:eastAsia="Times New Roman"/>
                <w:sz w:val="20"/>
                <w:szCs w:val="20"/>
              </w:rPr>
            </w:pPr>
            <w:r>
              <w:rPr>
                <w:rFonts w:eastAsia="Times New Roman"/>
                <w:sz w:val="20"/>
                <w:szCs w:val="20"/>
              </w:rPr>
              <w:t>(1,064,810</w:t>
            </w:r>
          </w:p>
        </w:tc>
        <w:tc>
          <w:tcPr>
            <w:tcW w:w="0" w:type="auto"/>
            <w:shd w:val="clear" w:color="auto" w:fill="CCEEFF"/>
            <w:tcMar>
              <w:top w:w="0" w:type="dxa"/>
              <w:left w:w="0" w:type="dxa"/>
              <w:bottom w:w="15" w:type="dxa"/>
              <w:right w:w="0" w:type="dxa"/>
            </w:tcMar>
            <w:vAlign w:val="bottom"/>
            <w:hideMark/>
          </w:tcPr>
          <w:p w14:paraId="024062C3" w14:textId="77777777" w:rsidR="00000000" w:rsidRDefault="007E65A2">
            <w:pPr>
              <w:jc w:val="both"/>
              <w:rPr>
                <w:rFonts w:eastAsia="Times New Roman"/>
                <w:sz w:val="20"/>
                <w:szCs w:val="20"/>
              </w:rPr>
            </w:pPr>
            <w:r>
              <w:rPr>
                <w:rFonts w:eastAsia="Times New Roman"/>
                <w:sz w:val="20"/>
                <w:szCs w:val="20"/>
              </w:rPr>
              <w:t>)</w:t>
            </w:r>
          </w:p>
        </w:tc>
      </w:tr>
      <w:tr w:rsidR="007E65A2" w14:paraId="5DA832C1" w14:textId="77777777">
        <w:trPr>
          <w:divId w:val="911279972"/>
          <w:tblCellSpacing w:w="0" w:type="dxa"/>
        </w:trPr>
        <w:tc>
          <w:tcPr>
            <w:tcW w:w="0" w:type="auto"/>
            <w:shd w:val="clear" w:color="auto" w:fill="FFFFFF"/>
            <w:vAlign w:val="center"/>
            <w:hideMark/>
          </w:tcPr>
          <w:p w14:paraId="1B54395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928C15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B8E987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87C40AF"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41CA549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A1CD91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FC1EB5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D6EAFEB"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3A5F842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D5D34A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BB9501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F4189F3"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6055E6C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A8410C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785698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42D5C51"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0B3B833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524BAB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D1B654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F0A39FA"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565F012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5BC7DD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B33F21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2DC93BD"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331C728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562A01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3A3DC7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04E43E3"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258F0FD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C5F83A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74B2BC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9DB90D1" w14:textId="77777777" w:rsidR="00000000" w:rsidRDefault="007E65A2">
            <w:pPr>
              <w:pStyle w:val="a3"/>
              <w:spacing w:before="0" w:beforeAutospacing="0" w:after="0" w:afterAutospacing="0"/>
              <w:jc w:val="right"/>
              <w:rPr>
                <w:sz w:val="20"/>
                <w:szCs w:val="20"/>
              </w:rPr>
            </w:pPr>
            <w:r>
              <w:rPr>
                <w:sz w:val="20"/>
                <w:szCs w:val="20"/>
              </w:rPr>
              <w:t> </w:t>
            </w:r>
          </w:p>
        </w:tc>
        <w:tc>
          <w:tcPr>
            <w:tcW w:w="0" w:type="auto"/>
            <w:shd w:val="clear" w:color="auto" w:fill="FFFFFF"/>
            <w:vAlign w:val="bottom"/>
            <w:hideMark/>
          </w:tcPr>
          <w:p w14:paraId="174F70D4" w14:textId="77777777" w:rsidR="00000000" w:rsidRDefault="007E65A2">
            <w:pPr>
              <w:pStyle w:val="a3"/>
              <w:spacing w:before="0" w:beforeAutospacing="0" w:after="0" w:afterAutospacing="0"/>
              <w:jc w:val="both"/>
              <w:rPr>
                <w:sz w:val="20"/>
                <w:szCs w:val="20"/>
              </w:rPr>
            </w:pPr>
            <w:r>
              <w:rPr>
                <w:sz w:val="20"/>
                <w:szCs w:val="20"/>
              </w:rPr>
              <w:t> </w:t>
            </w:r>
          </w:p>
        </w:tc>
      </w:tr>
      <w:tr w:rsidR="007E65A2" w14:paraId="7F99C8CA" w14:textId="77777777">
        <w:trPr>
          <w:divId w:val="911279972"/>
          <w:tblCellSpacing w:w="0" w:type="dxa"/>
        </w:trPr>
        <w:tc>
          <w:tcPr>
            <w:tcW w:w="0" w:type="auto"/>
            <w:shd w:val="clear" w:color="auto" w:fill="CCEEFF"/>
            <w:hideMark/>
          </w:tcPr>
          <w:p w14:paraId="18B009BB" w14:textId="77777777" w:rsidR="00000000" w:rsidRDefault="007E65A2">
            <w:pPr>
              <w:pStyle w:val="a3"/>
              <w:spacing w:before="0" w:beforeAutospacing="0" w:after="0" w:afterAutospacing="0"/>
              <w:jc w:val="both"/>
              <w:rPr>
                <w:sz w:val="20"/>
                <w:szCs w:val="20"/>
              </w:rPr>
            </w:pPr>
            <w:r>
              <w:rPr>
                <w:b/>
                <w:bCs/>
                <w:sz w:val="20"/>
                <w:szCs w:val="20"/>
              </w:rPr>
              <w:t>Balance, June 30, 2019</w:t>
            </w:r>
          </w:p>
        </w:tc>
        <w:tc>
          <w:tcPr>
            <w:tcW w:w="0" w:type="auto"/>
            <w:shd w:val="clear" w:color="auto" w:fill="CCEEFF"/>
            <w:vAlign w:val="bottom"/>
            <w:hideMark/>
          </w:tcPr>
          <w:p w14:paraId="347208D3"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15C961D8"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69BB511D" w14:textId="77777777" w:rsidR="00000000" w:rsidRDefault="007E65A2">
            <w:pPr>
              <w:jc w:val="right"/>
              <w:rPr>
                <w:rFonts w:eastAsia="Times New Roman"/>
                <w:sz w:val="20"/>
                <w:szCs w:val="20"/>
              </w:rPr>
            </w:pPr>
            <w:r>
              <w:rPr>
                <w:rFonts w:eastAsia="Times New Roman"/>
                <w:sz w:val="20"/>
                <w:szCs w:val="20"/>
              </w:rPr>
              <w:t>9,750,000</w:t>
            </w:r>
          </w:p>
        </w:tc>
        <w:tc>
          <w:tcPr>
            <w:tcW w:w="0" w:type="auto"/>
            <w:shd w:val="clear" w:color="auto" w:fill="CCEEFF"/>
            <w:tcMar>
              <w:top w:w="0" w:type="dxa"/>
              <w:left w:w="0" w:type="dxa"/>
              <w:bottom w:w="45" w:type="dxa"/>
              <w:right w:w="0" w:type="dxa"/>
            </w:tcMar>
            <w:vAlign w:val="bottom"/>
            <w:hideMark/>
          </w:tcPr>
          <w:p w14:paraId="5223C7D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1B631B6"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059DEC36" w14:textId="77777777" w:rsidR="00000000" w:rsidRDefault="007E65A2">
            <w:pPr>
              <w:jc w:val="both"/>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67B85F9" w14:textId="77777777" w:rsidR="00000000" w:rsidRDefault="007E65A2">
            <w:pPr>
              <w:jc w:val="right"/>
              <w:rPr>
                <w:rFonts w:eastAsia="Times New Roman"/>
                <w:sz w:val="20"/>
                <w:szCs w:val="20"/>
              </w:rPr>
            </w:pPr>
            <w:r>
              <w:rPr>
                <w:rFonts w:eastAsia="Times New Roman"/>
                <w:sz w:val="20"/>
                <w:szCs w:val="20"/>
              </w:rPr>
              <w:t>975</w:t>
            </w:r>
          </w:p>
        </w:tc>
        <w:tc>
          <w:tcPr>
            <w:tcW w:w="0" w:type="auto"/>
            <w:shd w:val="clear" w:color="auto" w:fill="CCEEFF"/>
            <w:tcMar>
              <w:top w:w="0" w:type="dxa"/>
              <w:left w:w="0" w:type="dxa"/>
              <w:bottom w:w="45" w:type="dxa"/>
              <w:right w:w="0" w:type="dxa"/>
            </w:tcMar>
            <w:vAlign w:val="bottom"/>
            <w:hideMark/>
          </w:tcPr>
          <w:p w14:paraId="1BCF575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C56225B"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0F70EC08"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7A1BA2D4" w14:textId="77777777" w:rsidR="00000000" w:rsidRDefault="007E65A2">
            <w:pPr>
              <w:jc w:val="right"/>
              <w:rPr>
                <w:rFonts w:eastAsia="Times New Roman"/>
                <w:sz w:val="20"/>
                <w:szCs w:val="20"/>
              </w:rPr>
            </w:pPr>
            <w:r>
              <w:rPr>
                <w:rFonts w:eastAsia="Times New Roman"/>
                <w:sz w:val="20"/>
                <w:szCs w:val="20"/>
              </w:rPr>
              <w:t>5,095,935,524</w:t>
            </w:r>
          </w:p>
        </w:tc>
        <w:tc>
          <w:tcPr>
            <w:tcW w:w="0" w:type="auto"/>
            <w:shd w:val="clear" w:color="auto" w:fill="CCEEFF"/>
            <w:tcMar>
              <w:top w:w="0" w:type="dxa"/>
              <w:left w:w="0" w:type="dxa"/>
              <w:bottom w:w="45" w:type="dxa"/>
              <w:right w:w="0" w:type="dxa"/>
            </w:tcMar>
            <w:vAlign w:val="bottom"/>
            <w:hideMark/>
          </w:tcPr>
          <w:p w14:paraId="11429A8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32DE12A"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5223D8BB" w14:textId="77777777" w:rsidR="00000000" w:rsidRDefault="007E65A2">
            <w:pPr>
              <w:jc w:val="both"/>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43E5AEB" w14:textId="77777777" w:rsidR="00000000" w:rsidRDefault="007E65A2">
            <w:pPr>
              <w:jc w:val="right"/>
              <w:rPr>
                <w:rFonts w:eastAsia="Times New Roman"/>
                <w:sz w:val="20"/>
                <w:szCs w:val="20"/>
              </w:rPr>
            </w:pPr>
            <w:r>
              <w:rPr>
                <w:rFonts w:eastAsia="Times New Roman"/>
                <w:sz w:val="20"/>
                <w:szCs w:val="20"/>
              </w:rPr>
              <w:t>509,593</w:t>
            </w:r>
          </w:p>
        </w:tc>
        <w:tc>
          <w:tcPr>
            <w:tcW w:w="0" w:type="auto"/>
            <w:shd w:val="clear" w:color="auto" w:fill="CCEEFF"/>
            <w:tcMar>
              <w:top w:w="0" w:type="dxa"/>
              <w:left w:w="0" w:type="dxa"/>
              <w:bottom w:w="45" w:type="dxa"/>
              <w:right w:w="0" w:type="dxa"/>
            </w:tcMar>
            <w:vAlign w:val="bottom"/>
            <w:hideMark/>
          </w:tcPr>
          <w:p w14:paraId="2732D32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3DC04BE"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0AAECAFD" w14:textId="77777777" w:rsidR="00000000" w:rsidRDefault="007E65A2">
            <w:pPr>
              <w:jc w:val="both"/>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EADF6D7" w14:textId="77777777" w:rsidR="00000000" w:rsidRDefault="007E65A2">
            <w:pPr>
              <w:jc w:val="right"/>
              <w:rPr>
                <w:rFonts w:eastAsia="Times New Roman"/>
                <w:sz w:val="20"/>
                <w:szCs w:val="20"/>
              </w:rPr>
            </w:pPr>
            <w:r>
              <w:rPr>
                <w:rFonts w:eastAsia="Times New Roman"/>
                <w:sz w:val="20"/>
                <w:szCs w:val="20"/>
              </w:rPr>
              <w:t>6,308,023</w:t>
            </w:r>
          </w:p>
        </w:tc>
        <w:tc>
          <w:tcPr>
            <w:tcW w:w="0" w:type="auto"/>
            <w:shd w:val="clear" w:color="auto" w:fill="CCEEFF"/>
            <w:tcMar>
              <w:top w:w="0" w:type="dxa"/>
              <w:left w:w="0" w:type="dxa"/>
              <w:bottom w:w="45" w:type="dxa"/>
              <w:right w:w="0" w:type="dxa"/>
            </w:tcMar>
            <w:vAlign w:val="bottom"/>
            <w:hideMark/>
          </w:tcPr>
          <w:p w14:paraId="22E3996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0800112"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19B5D96C" w14:textId="77777777" w:rsidR="00000000" w:rsidRDefault="007E65A2">
            <w:pPr>
              <w:jc w:val="both"/>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062BB74" w14:textId="77777777" w:rsidR="00000000" w:rsidRDefault="007E65A2">
            <w:pPr>
              <w:jc w:val="right"/>
              <w:rPr>
                <w:rFonts w:eastAsia="Times New Roman"/>
                <w:sz w:val="20"/>
                <w:szCs w:val="20"/>
              </w:rPr>
            </w:pPr>
            <w:r>
              <w:rPr>
                <w:rFonts w:eastAsia="Times New Roman"/>
                <w:sz w:val="20"/>
                <w:szCs w:val="20"/>
              </w:rPr>
              <w:t>47,727</w:t>
            </w:r>
          </w:p>
        </w:tc>
        <w:tc>
          <w:tcPr>
            <w:tcW w:w="0" w:type="auto"/>
            <w:shd w:val="clear" w:color="auto" w:fill="CCEEFF"/>
            <w:tcMar>
              <w:top w:w="0" w:type="dxa"/>
              <w:left w:w="0" w:type="dxa"/>
              <w:bottom w:w="45" w:type="dxa"/>
              <w:right w:w="0" w:type="dxa"/>
            </w:tcMar>
            <w:vAlign w:val="bottom"/>
            <w:hideMark/>
          </w:tcPr>
          <w:p w14:paraId="16BE4C5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D82D74F"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3F8AAC4B" w14:textId="77777777" w:rsidR="00000000" w:rsidRDefault="007E65A2">
            <w:pPr>
              <w:jc w:val="both"/>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60094BC" w14:textId="77777777" w:rsidR="00000000" w:rsidRDefault="007E65A2">
            <w:pPr>
              <w:jc w:val="right"/>
              <w:rPr>
                <w:rFonts w:eastAsia="Times New Roman"/>
                <w:sz w:val="20"/>
                <w:szCs w:val="20"/>
              </w:rPr>
            </w:pPr>
            <w:r>
              <w:rPr>
                <w:rFonts w:eastAsia="Times New Roman"/>
                <w:sz w:val="20"/>
                <w:szCs w:val="20"/>
              </w:rPr>
              <w:t>(7,841,929</w:t>
            </w:r>
          </w:p>
        </w:tc>
        <w:tc>
          <w:tcPr>
            <w:tcW w:w="0" w:type="auto"/>
            <w:shd w:val="clear" w:color="auto" w:fill="CCEEFF"/>
            <w:tcMar>
              <w:top w:w="0" w:type="dxa"/>
              <w:left w:w="0" w:type="dxa"/>
              <w:bottom w:w="45" w:type="dxa"/>
              <w:right w:w="0" w:type="dxa"/>
            </w:tcMar>
            <w:vAlign w:val="bottom"/>
            <w:hideMark/>
          </w:tcPr>
          <w:p w14:paraId="1F56C1D2"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5E5660BE"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CCEEFF"/>
            <w:vAlign w:val="bottom"/>
            <w:hideMark/>
          </w:tcPr>
          <w:p w14:paraId="32CA2F7E" w14:textId="77777777" w:rsidR="00000000" w:rsidRDefault="007E65A2">
            <w:pPr>
              <w:jc w:val="both"/>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18CBFC8" w14:textId="77777777" w:rsidR="00000000" w:rsidRDefault="007E65A2">
            <w:pPr>
              <w:jc w:val="right"/>
              <w:rPr>
                <w:rFonts w:eastAsia="Times New Roman"/>
                <w:sz w:val="20"/>
                <w:szCs w:val="20"/>
              </w:rPr>
            </w:pPr>
            <w:r>
              <w:rPr>
                <w:rFonts w:eastAsia="Times New Roman"/>
                <w:sz w:val="20"/>
                <w:szCs w:val="20"/>
              </w:rPr>
              <w:t>(975,611</w:t>
            </w:r>
          </w:p>
        </w:tc>
        <w:tc>
          <w:tcPr>
            <w:tcW w:w="0" w:type="auto"/>
            <w:shd w:val="clear" w:color="auto" w:fill="CCEEFF"/>
            <w:tcMar>
              <w:top w:w="0" w:type="dxa"/>
              <w:left w:w="0" w:type="dxa"/>
              <w:bottom w:w="45" w:type="dxa"/>
              <w:right w:w="0" w:type="dxa"/>
            </w:tcMar>
            <w:vAlign w:val="bottom"/>
            <w:hideMark/>
          </w:tcPr>
          <w:p w14:paraId="5FA60850" w14:textId="77777777" w:rsidR="00000000" w:rsidRDefault="007E65A2">
            <w:pPr>
              <w:jc w:val="both"/>
              <w:rPr>
                <w:rFonts w:eastAsia="Times New Roman"/>
                <w:sz w:val="20"/>
                <w:szCs w:val="20"/>
              </w:rPr>
            </w:pPr>
            <w:r>
              <w:rPr>
                <w:rFonts w:eastAsia="Times New Roman"/>
                <w:sz w:val="20"/>
                <w:szCs w:val="20"/>
              </w:rPr>
              <w:t>)</w:t>
            </w:r>
          </w:p>
        </w:tc>
      </w:tr>
    </w:tbl>
    <w:p w14:paraId="49B8E485" w14:textId="77777777" w:rsidR="00000000" w:rsidRDefault="007E65A2">
      <w:pPr>
        <w:pStyle w:val="a3"/>
        <w:spacing w:before="0" w:beforeAutospacing="0" w:after="0" w:afterAutospacing="0"/>
        <w:jc w:val="both"/>
        <w:divId w:val="911279972"/>
        <w:rPr>
          <w:sz w:val="20"/>
          <w:szCs w:val="20"/>
        </w:rPr>
      </w:pPr>
      <w:r>
        <w:rPr>
          <w:sz w:val="20"/>
          <w:szCs w:val="20"/>
        </w:rPr>
        <w:t> </w:t>
      </w:r>
    </w:p>
    <w:p w14:paraId="552394F6" w14:textId="77777777" w:rsidR="00000000" w:rsidRDefault="007E65A2">
      <w:pPr>
        <w:pStyle w:val="a3"/>
        <w:spacing w:before="0" w:beforeAutospacing="0" w:after="0" w:afterAutospacing="0"/>
        <w:jc w:val="center"/>
        <w:divId w:val="911279972"/>
        <w:rPr>
          <w:sz w:val="20"/>
          <w:szCs w:val="20"/>
        </w:rPr>
      </w:pPr>
      <w:r>
        <w:rPr>
          <w:sz w:val="20"/>
          <w:szCs w:val="20"/>
        </w:rPr>
        <w:t>See accompanying notes to consolidated financial statements.</w:t>
      </w:r>
    </w:p>
    <w:p w14:paraId="5116889E"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A3874EB" w14:textId="77777777">
        <w:trPr>
          <w:divId w:val="911279972"/>
          <w:tblCellSpacing w:w="0" w:type="dxa"/>
        </w:trPr>
        <w:tc>
          <w:tcPr>
            <w:tcW w:w="0" w:type="auto"/>
            <w:vAlign w:val="center"/>
            <w:hideMark/>
          </w:tcPr>
          <w:p w14:paraId="6883FAC6" w14:textId="77777777" w:rsidR="00000000" w:rsidRDefault="007E65A2">
            <w:pPr>
              <w:rPr>
                <w:rFonts w:eastAsia="Times New Roman"/>
                <w:sz w:val="20"/>
                <w:szCs w:val="20"/>
              </w:rPr>
            </w:pPr>
            <w:r>
              <w:rPr>
                <w:rFonts w:eastAsia="Times New Roman"/>
                <w:sz w:val="20"/>
                <w:szCs w:val="20"/>
              </w:rPr>
              <w:t> </w:t>
            </w:r>
          </w:p>
        </w:tc>
      </w:tr>
      <w:tr w:rsidR="00000000" w14:paraId="7AD7CF04" w14:textId="77777777">
        <w:trPr>
          <w:divId w:val="911279972"/>
          <w:tblCellSpacing w:w="0" w:type="dxa"/>
        </w:trPr>
        <w:tc>
          <w:tcPr>
            <w:tcW w:w="0" w:type="auto"/>
            <w:tcBorders>
              <w:bottom w:val="single" w:sz="6" w:space="0" w:color="000000"/>
            </w:tcBorders>
            <w:vAlign w:val="center"/>
            <w:hideMark/>
          </w:tcPr>
          <w:p w14:paraId="52EA1FEE" w14:textId="77777777" w:rsidR="00000000" w:rsidRDefault="007E65A2">
            <w:pPr>
              <w:jc w:val="center"/>
              <w:rPr>
                <w:rFonts w:eastAsia="Times New Roman"/>
                <w:sz w:val="20"/>
                <w:szCs w:val="20"/>
              </w:rPr>
            </w:pPr>
            <w:r>
              <w:rPr>
                <w:rFonts w:eastAsia="Times New Roman"/>
                <w:sz w:val="20"/>
                <w:szCs w:val="20"/>
              </w:rPr>
              <w:t>F-5</w:t>
            </w:r>
          </w:p>
        </w:tc>
      </w:tr>
      <w:tr w:rsidR="00000000" w14:paraId="292B7C25" w14:textId="77777777">
        <w:trPr>
          <w:divId w:val="911279972"/>
          <w:tblCellSpacing w:w="0" w:type="dxa"/>
        </w:trPr>
        <w:tc>
          <w:tcPr>
            <w:tcW w:w="0" w:type="auto"/>
            <w:vAlign w:val="center"/>
            <w:hideMark/>
          </w:tcPr>
          <w:p w14:paraId="442DB953" w14:textId="77777777" w:rsidR="00000000" w:rsidRDefault="007E65A2">
            <w:pPr>
              <w:rPr>
                <w:rFonts w:eastAsia="Times New Roman"/>
                <w:sz w:val="20"/>
                <w:szCs w:val="20"/>
              </w:rPr>
            </w:pPr>
            <w:r>
              <w:rPr>
                <w:rFonts w:eastAsia="Times New Roman"/>
                <w:sz w:val="20"/>
                <w:szCs w:val="20"/>
              </w:rPr>
              <w:t> </w:t>
            </w:r>
          </w:p>
        </w:tc>
      </w:tr>
      <w:tr w:rsidR="00000000" w14:paraId="1CCB1076" w14:textId="77777777">
        <w:trPr>
          <w:divId w:val="911279972"/>
          <w:tblCellSpacing w:w="0" w:type="dxa"/>
        </w:trPr>
        <w:tc>
          <w:tcPr>
            <w:tcW w:w="0" w:type="auto"/>
            <w:vAlign w:val="center"/>
            <w:hideMark/>
          </w:tcPr>
          <w:p w14:paraId="04466CDD"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35433EDB"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p w14:paraId="6FCF360A" w14:textId="77777777" w:rsidR="00000000" w:rsidRDefault="007E65A2">
      <w:pPr>
        <w:pStyle w:val="a3"/>
        <w:spacing w:before="0" w:beforeAutospacing="0" w:after="0" w:afterAutospacing="0"/>
        <w:jc w:val="center"/>
        <w:divId w:val="911279972"/>
        <w:rPr>
          <w:sz w:val="20"/>
          <w:szCs w:val="20"/>
        </w:rPr>
      </w:pPr>
      <w:r>
        <w:rPr>
          <w:b/>
          <w:bCs/>
          <w:sz w:val="20"/>
          <w:szCs w:val="20"/>
        </w:rPr>
        <w:t>APPYEA, INC.</w:t>
      </w:r>
    </w:p>
    <w:p w14:paraId="7B591FB4" w14:textId="77777777" w:rsidR="00000000" w:rsidRDefault="007E65A2">
      <w:pPr>
        <w:pStyle w:val="a3"/>
        <w:spacing w:before="0" w:beforeAutospacing="0" w:after="0" w:afterAutospacing="0"/>
        <w:jc w:val="center"/>
        <w:divId w:val="911279972"/>
        <w:rPr>
          <w:sz w:val="20"/>
          <w:szCs w:val="20"/>
        </w:rPr>
      </w:pPr>
      <w:bookmarkStart w:id="19" w:name="CONSOLIDATED_STATEMENTS_OF_CASH_FLOWS"/>
      <w:r>
        <w:rPr>
          <w:b/>
          <w:bCs/>
          <w:sz w:val="20"/>
          <w:szCs w:val="20"/>
        </w:rPr>
        <w:t>CONSOLIDATED STATEMENTS OF CASH FLOWS</w:t>
      </w:r>
      <w:bookmarkEnd w:id="19"/>
    </w:p>
    <w:p w14:paraId="2522492F"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11"/>
        <w:gridCol w:w="64"/>
        <w:gridCol w:w="100"/>
        <w:gridCol w:w="867"/>
        <w:gridCol w:w="67"/>
        <w:gridCol w:w="63"/>
        <w:gridCol w:w="100"/>
        <w:gridCol w:w="867"/>
        <w:gridCol w:w="67"/>
      </w:tblGrid>
      <w:tr w:rsidR="00000000" w14:paraId="339A6D60" w14:textId="77777777">
        <w:trPr>
          <w:divId w:val="911279972"/>
          <w:tblCellSpacing w:w="0" w:type="dxa"/>
        </w:trPr>
        <w:tc>
          <w:tcPr>
            <w:tcW w:w="0" w:type="auto"/>
            <w:vAlign w:val="bottom"/>
            <w:hideMark/>
          </w:tcPr>
          <w:p w14:paraId="2F5E4F3D"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5012B5B8"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78D23685" w14:textId="77777777" w:rsidR="00000000" w:rsidRDefault="007E65A2">
            <w:pPr>
              <w:pStyle w:val="a3"/>
              <w:spacing w:before="0" w:beforeAutospacing="0" w:after="0" w:afterAutospacing="0"/>
              <w:jc w:val="center"/>
              <w:rPr>
                <w:sz w:val="20"/>
                <w:szCs w:val="20"/>
              </w:rPr>
            </w:pPr>
            <w:r>
              <w:rPr>
                <w:b/>
                <w:bCs/>
                <w:sz w:val="20"/>
                <w:szCs w:val="20"/>
              </w:rPr>
              <w:t xml:space="preserve">Year Ended </w:t>
            </w:r>
          </w:p>
        </w:tc>
        <w:tc>
          <w:tcPr>
            <w:tcW w:w="0" w:type="auto"/>
            <w:vAlign w:val="bottom"/>
            <w:hideMark/>
          </w:tcPr>
          <w:p w14:paraId="338294FD" w14:textId="77777777" w:rsidR="00000000" w:rsidRDefault="007E65A2">
            <w:pPr>
              <w:pStyle w:val="a3"/>
              <w:spacing w:before="0" w:beforeAutospacing="0" w:after="0" w:afterAutospacing="0"/>
              <w:jc w:val="both"/>
              <w:rPr>
                <w:sz w:val="20"/>
                <w:szCs w:val="20"/>
              </w:rPr>
            </w:pPr>
            <w:r>
              <w:rPr>
                <w:sz w:val="20"/>
                <w:szCs w:val="20"/>
              </w:rPr>
              <w:t> </w:t>
            </w:r>
          </w:p>
        </w:tc>
      </w:tr>
      <w:tr w:rsidR="00000000" w14:paraId="1700A2C4" w14:textId="77777777">
        <w:trPr>
          <w:divId w:val="911279972"/>
          <w:tblCellSpacing w:w="0" w:type="dxa"/>
        </w:trPr>
        <w:tc>
          <w:tcPr>
            <w:tcW w:w="0" w:type="auto"/>
            <w:vAlign w:val="bottom"/>
            <w:hideMark/>
          </w:tcPr>
          <w:p w14:paraId="4662CFF2"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57D0491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6C919AF9" w14:textId="77777777" w:rsidR="00000000" w:rsidRDefault="007E65A2">
            <w:pPr>
              <w:pStyle w:val="a3"/>
              <w:spacing w:before="0" w:beforeAutospacing="0" w:after="0" w:afterAutospacing="0"/>
              <w:jc w:val="center"/>
              <w:rPr>
                <w:sz w:val="20"/>
                <w:szCs w:val="20"/>
              </w:rPr>
            </w:pPr>
            <w:r>
              <w:rPr>
                <w:b/>
                <w:bCs/>
                <w:sz w:val="20"/>
                <w:szCs w:val="20"/>
              </w:rPr>
              <w:t xml:space="preserve">June 30, </w:t>
            </w:r>
          </w:p>
        </w:tc>
        <w:tc>
          <w:tcPr>
            <w:tcW w:w="0" w:type="auto"/>
            <w:vAlign w:val="bottom"/>
            <w:hideMark/>
          </w:tcPr>
          <w:p w14:paraId="28F34090" w14:textId="77777777" w:rsidR="00000000" w:rsidRDefault="007E65A2">
            <w:pPr>
              <w:pStyle w:val="a3"/>
              <w:spacing w:before="0" w:beforeAutospacing="0" w:after="0" w:afterAutospacing="0"/>
              <w:jc w:val="both"/>
              <w:rPr>
                <w:sz w:val="20"/>
                <w:szCs w:val="20"/>
              </w:rPr>
            </w:pPr>
            <w:r>
              <w:rPr>
                <w:sz w:val="20"/>
                <w:szCs w:val="20"/>
              </w:rPr>
              <w:t> </w:t>
            </w:r>
          </w:p>
        </w:tc>
      </w:tr>
      <w:tr w:rsidR="00000000" w14:paraId="45D2A1A1" w14:textId="77777777">
        <w:trPr>
          <w:divId w:val="911279972"/>
          <w:tblCellSpacing w:w="0" w:type="dxa"/>
        </w:trPr>
        <w:tc>
          <w:tcPr>
            <w:tcW w:w="0" w:type="auto"/>
            <w:vAlign w:val="bottom"/>
            <w:hideMark/>
          </w:tcPr>
          <w:p w14:paraId="0E70F380"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1E3A351E"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3A147B8B"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ED44D73"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1AC1954"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7254A293"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3EDD35F" w14:textId="77777777" w:rsidR="00000000" w:rsidRDefault="007E65A2">
            <w:pPr>
              <w:pStyle w:val="a3"/>
              <w:spacing w:before="0" w:beforeAutospacing="0" w:after="0" w:afterAutospacing="0"/>
              <w:jc w:val="both"/>
              <w:rPr>
                <w:sz w:val="20"/>
                <w:szCs w:val="20"/>
              </w:rPr>
            </w:pPr>
            <w:r>
              <w:rPr>
                <w:sz w:val="20"/>
                <w:szCs w:val="20"/>
              </w:rPr>
              <w:t> </w:t>
            </w:r>
          </w:p>
        </w:tc>
      </w:tr>
      <w:tr w:rsidR="00000000" w14:paraId="2B5DA8FB" w14:textId="77777777">
        <w:trPr>
          <w:divId w:val="911279972"/>
          <w:tblCellSpacing w:w="0" w:type="dxa"/>
        </w:trPr>
        <w:tc>
          <w:tcPr>
            <w:tcW w:w="0" w:type="auto"/>
            <w:hideMark/>
          </w:tcPr>
          <w:p w14:paraId="3C8F6738" w14:textId="77777777" w:rsidR="00000000" w:rsidRDefault="007E65A2">
            <w:pPr>
              <w:pStyle w:val="a3"/>
              <w:spacing w:before="0" w:beforeAutospacing="0" w:after="0" w:afterAutospacing="0"/>
              <w:jc w:val="both"/>
              <w:rPr>
                <w:sz w:val="20"/>
                <w:szCs w:val="20"/>
              </w:rPr>
            </w:pPr>
            <w:r>
              <w:rPr>
                <w:b/>
                <w:bCs/>
                <w:sz w:val="20"/>
                <w:szCs w:val="20"/>
              </w:rPr>
              <w:t>CASH FLOWS FROM OPERATING ACTIVITIES</w:t>
            </w:r>
          </w:p>
        </w:tc>
        <w:tc>
          <w:tcPr>
            <w:tcW w:w="50" w:type="pct"/>
            <w:vAlign w:val="bottom"/>
            <w:hideMark/>
          </w:tcPr>
          <w:p w14:paraId="64779EFE"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5C1B5355" w14:textId="77777777" w:rsidR="00000000" w:rsidRDefault="007E65A2">
            <w:pPr>
              <w:pStyle w:val="a3"/>
              <w:spacing w:before="0" w:beforeAutospacing="0" w:after="0" w:afterAutospacing="0"/>
              <w:jc w:val="right"/>
              <w:rPr>
                <w:sz w:val="20"/>
                <w:szCs w:val="20"/>
              </w:rPr>
            </w:pPr>
            <w:r>
              <w:rPr>
                <w:sz w:val="20"/>
                <w:szCs w:val="20"/>
              </w:rPr>
              <w:t> </w:t>
            </w:r>
          </w:p>
        </w:tc>
        <w:tc>
          <w:tcPr>
            <w:tcW w:w="50" w:type="pct"/>
            <w:vAlign w:val="bottom"/>
            <w:hideMark/>
          </w:tcPr>
          <w:p w14:paraId="1F58D4A6" w14:textId="77777777" w:rsidR="00000000" w:rsidRDefault="007E65A2">
            <w:pPr>
              <w:pStyle w:val="a3"/>
              <w:spacing w:before="0" w:beforeAutospacing="0" w:after="0" w:afterAutospacing="0"/>
              <w:jc w:val="both"/>
              <w:rPr>
                <w:sz w:val="20"/>
                <w:szCs w:val="20"/>
              </w:rPr>
            </w:pPr>
            <w:r>
              <w:rPr>
                <w:sz w:val="20"/>
                <w:szCs w:val="20"/>
              </w:rPr>
              <w:t> </w:t>
            </w:r>
          </w:p>
        </w:tc>
        <w:tc>
          <w:tcPr>
            <w:tcW w:w="50" w:type="pct"/>
            <w:vAlign w:val="bottom"/>
            <w:hideMark/>
          </w:tcPr>
          <w:p w14:paraId="2DE2A5F1"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6B04ECE2" w14:textId="77777777" w:rsidR="00000000" w:rsidRDefault="007E65A2">
            <w:pPr>
              <w:pStyle w:val="a3"/>
              <w:spacing w:before="0" w:beforeAutospacing="0" w:after="0" w:afterAutospacing="0"/>
              <w:jc w:val="right"/>
              <w:rPr>
                <w:sz w:val="20"/>
                <w:szCs w:val="20"/>
              </w:rPr>
            </w:pPr>
            <w:r>
              <w:rPr>
                <w:sz w:val="20"/>
                <w:szCs w:val="20"/>
              </w:rPr>
              <w:t> </w:t>
            </w:r>
          </w:p>
        </w:tc>
        <w:tc>
          <w:tcPr>
            <w:tcW w:w="50" w:type="pct"/>
            <w:vAlign w:val="bottom"/>
            <w:hideMark/>
          </w:tcPr>
          <w:p w14:paraId="37008E3E" w14:textId="77777777" w:rsidR="00000000" w:rsidRDefault="007E65A2">
            <w:pPr>
              <w:pStyle w:val="a3"/>
              <w:spacing w:before="0" w:beforeAutospacing="0" w:after="0" w:afterAutospacing="0"/>
              <w:jc w:val="both"/>
              <w:rPr>
                <w:sz w:val="20"/>
                <w:szCs w:val="20"/>
              </w:rPr>
            </w:pPr>
            <w:r>
              <w:rPr>
                <w:sz w:val="20"/>
                <w:szCs w:val="20"/>
              </w:rPr>
              <w:t> </w:t>
            </w:r>
          </w:p>
        </w:tc>
      </w:tr>
      <w:tr w:rsidR="00000000" w14:paraId="61F60064" w14:textId="77777777">
        <w:trPr>
          <w:divId w:val="911279972"/>
          <w:tblCellSpacing w:w="0" w:type="dxa"/>
        </w:trPr>
        <w:tc>
          <w:tcPr>
            <w:tcW w:w="0" w:type="auto"/>
            <w:shd w:val="clear" w:color="auto" w:fill="CCEEFF"/>
            <w:hideMark/>
          </w:tcPr>
          <w:p w14:paraId="43287176" w14:textId="77777777" w:rsidR="00000000" w:rsidRDefault="007E65A2">
            <w:pPr>
              <w:pStyle w:val="a3"/>
              <w:spacing w:before="0" w:beforeAutospacing="0" w:after="0" w:afterAutospacing="0"/>
              <w:ind w:left="225"/>
              <w:jc w:val="both"/>
              <w:rPr>
                <w:sz w:val="20"/>
                <w:szCs w:val="20"/>
              </w:rPr>
            </w:pPr>
            <w:r>
              <w:rPr>
                <w:sz w:val="20"/>
                <w:szCs w:val="20"/>
              </w:rPr>
              <w:t>Net loss</w:t>
            </w:r>
          </w:p>
        </w:tc>
        <w:tc>
          <w:tcPr>
            <w:tcW w:w="50" w:type="pct"/>
            <w:shd w:val="clear" w:color="auto" w:fill="CCEEFF"/>
            <w:vAlign w:val="bottom"/>
            <w:hideMark/>
          </w:tcPr>
          <w:p w14:paraId="0195924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218D85F"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E31B204" w14:textId="77777777" w:rsidR="00000000" w:rsidRDefault="007E65A2">
            <w:pPr>
              <w:jc w:val="right"/>
              <w:rPr>
                <w:rFonts w:eastAsia="Times New Roman"/>
                <w:sz w:val="20"/>
                <w:szCs w:val="20"/>
              </w:rPr>
            </w:pPr>
            <w:r>
              <w:rPr>
                <w:rFonts w:eastAsia="Times New Roman"/>
                <w:sz w:val="20"/>
                <w:szCs w:val="20"/>
              </w:rPr>
              <w:t>(1,064,810</w:t>
            </w:r>
          </w:p>
        </w:tc>
        <w:tc>
          <w:tcPr>
            <w:tcW w:w="50" w:type="pct"/>
            <w:shd w:val="clear" w:color="auto" w:fill="CCEEFF"/>
            <w:vAlign w:val="bottom"/>
            <w:hideMark/>
          </w:tcPr>
          <w:p w14:paraId="03873247"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74A073C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A869D04"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94288E2" w14:textId="77777777" w:rsidR="00000000" w:rsidRDefault="007E65A2">
            <w:pPr>
              <w:jc w:val="right"/>
              <w:rPr>
                <w:rFonts w:eastAsia="Times New Roman"/>
                <w:sz w:val="20"/>
                <w:szCs w:val="20"/>
              </w:rPr>
            </w:pPr>
            <w:r>
              <w:rPr>
                <w:rFonts w:eastAsia="Times New Roman"/>
                <w:sz w:val="20"/>
                <w:szCs w:val="20"/>
              </w:rPr>
              <w:t>(1,994,256</w:t>
            </w:r>
          </w:p>
        </w:tc>
        <w:tc>
          <w:tcPr>
            <w:tcW w:w="50" w:type="pct"/>
            <w:shd w:val="clear" w:color="auto" w:fill="CCEEFF"/>
            <w:vAlign w:val="bottom"/>
            <w:hideMark/>
          </w:tcPr>
          <w:p w14:paraId="788A0530" w14:textId="77777777" w:rsidR="00000000" w:rsidRDefault="007E65A2">
            <w:pPr>
              <w:jc w:val="both"/>
              <w:rPr>
                <w:rFonts w:eastAsia="Times New Roman"/>
                <w:sz w:val="20"/>
                <w:szCs w:val="20"/>
              </w:rPr>
            </w:pPr>
            <w:r>
              <w:rPr>
                <w:rFonts w:eastAsia="Times New Roman"/>
                <w:sz w:val="20"/>
                <w:szCs w:val="20"/>
              </w:rPr>
              <w:t>)</w:t>
            </w:r>
          </w:p>
        </w:tc>
      </w:tr>
      <w:tr w:rsidR="00000000" w14:paraId="68436A64" w14:textId="77777777">
        <w:trPr>
          <w:divId w:val="911279972"/>
          <w:tblCellSpacing w:w="0" w:type="dxa"/>
        </w:trPr>
        <w:tc>
          <w:tcPr>
            <w:tcW w:w="0" w:type="auto"/>
            <w:shd w:val="clear" w:color="auto" w:fill="FFFFFF"/>
            <w:hideMark/>
          </w:tcPr>
          <w:p w14:paraId="3579E335" w14:textId="77777777" w:rsidR="00000000" w:rsidRDefault="007E65A2">
            <w:pPr>
              <w:pStyle w:val="a3"/>
              <w:spacing w:before="0" w:beforeAutospacing="0" w:after="0" w:afterAutospacing="0"/>
              <w:ind w:left="225"/>
              <w:jc w:val="both"/>
              <w:rPr>
                <w:sz w:val="20"/>
                <w:szCs w:val="20"/>
              </w:rPr>
            </w:pPr>
            <w:r>
              <w:rPr>
                <w:sz w:val="20"/>
                <w:szCs w:val="20"/>
              </w:rPr>
              <w:t>Adjustments to reconcile net loss to net cash used in operating activities:</w:t>
            </w:r>
          </w:p>
        </w:tc>
        <w:tc>
          <w:tcPr>
            <w:tcW w:w="50" w:type="pct"/>
            <w:shd w:val="clear" w:color="auto" w:fill="FFFFFF"/>
            <w:vAlign w:val="bottom"/>
            <w:hideMark/>
          </w:tcPr>
          <w:p w14:paraId="200E2AC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A8C6C9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82F85B8"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229D70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A2A488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32D7D5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32D8C8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575EE4B" w14:textId="77777777" w:rsidR="00000000" w:rsidRDefault="007E65A2">
            <w:pPr>
              <w:pStyle w:val="a3"/>
              <w:spacing w:before="0" w:beforeAutospacing="0" w:after="0" w:afterAutospacing="0"/>
              <w:jc w:val="both"/>
              <w:rPr>
                <w:sz w:val="20"/>
                <w:szCs w:val="20"/>
              </w:rPr>
            </w:pPr>
            <w:r>
              <w:rPr>
                <w:sz w:val="20"/>
                <w:szCs w:val="20"/>
              </w:rPr>
              <w:t> </w:t>
            </w:r>
          </w:p>
        </w:tc>
      </w:tr>
      <w:tr w:rsidR="00000000" w14:paraId="6DAB3A6F" w14:textId="77777777">
        <w:trPr>
          <w:divId w:val="911279972"/>
          <w:tblCellSpacing w:w="0" w:type="dxa"/>
        </w:trPr>
        <w:tc>
          <w:tcPr>
            <w:tcW w:w="0" w:type="auto"/>
            <w:shd w:val="clear" w:color="auto" w:fill="CCEEFF"/>
            <w:hideMark/>
          </w:tcPr>
          <w:p w14:paraId="7D55728A" w14:textId="77777777" w:rsidR="00000000" w:rsidRDefault="007E65A2">
            <w:pPr>
              <w:pStyle w:val="a3"/>
              <w:spacing w:before="0" w:beforeAutospacing="0" w:after="0" w:afterAutospacing="0"/>
              <w:ind w:left="450"/>
              <w:jc w:val="both"/>
              <w:rPr>
                <w:sz w:val="20"/>
                <w:szCs w:val="20"/>
              </w:rPr>
            </w:pPr>
            <w:r>
              <w:rPr>
                <w:sz w:val="20"/>
                <w:szCs w:val="20"/>
              </w:rPr>
              <w:t>Depreciation expense</w:t>
            </w:r>
          </w:p>
        </w:tc>
        <w:tc>
          <w:tcPr>
            <w:tcW w:w="50" w:type="pct"/>
            <w:shd w:val="clear" w:color="auto" w:fill="CCEEFF"/>
            <w:vAlign w:val="bottom"/>
            <w:hideMark/>
          </w:tcPr>
          <w:p w14:paraId="52180DC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FD51F4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E1E938E" w14:textId="77777777" w:rsidR="00000000" w:rsidRDefault="007E65A2">
            <w:pPr>
              <w:jc w:val="right"/>
              <w:rPr>
                <w:rFonts w:eastAsia="Times New Roman"/>
                <w:sz w:val="20"/>
                <w:szCs w:val="20"/>
              </w:rPr>
            </w:pPr>
            <w:r>
              <w:rPr>
                <w:rFonts w:eastAsia="Times New Roman"/>
                <w:sz w:val="20"/>
                <w:szCs w:val="20"/>
              </w:rPr>
              <w:t>7,300</w:t>
            </w:r>
          </w:p>
        </w:tc>
        <w:tc>
          <w:tcPr>
            <w:tcW w:w="50" w:type="pct"/>
            <w:shd w:val="clear" w:color="auto" w:fill="CCEEFF"/>
            <w:vAlign w:val="bottom"/>
            <w:hideMark/>
          </w:tcPr>
          <w:p w14:paraId="660F8C9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D92880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9794D5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D989929" w14:textId="77777777" w:rsidR="00000000" w:rsidRDefault="007E65A2">
            <w:pPr>
              <w:jc w:val="right"/>
              <w:rPr>
                <w:rFonts w:eastAsia="Times New Roman"/>
                <w:sz w:val="20"/>
                <w:szCs w:val="20"/>
              </w:rPr>
            </w:pPr>
            <w:r>
              <w:rPr>
                <w:rFonts w:eastAsia="Times New Roman"/>
                <w:sz w:val="20"/>
                <w:szCs w:val="20"/>
              </w:rPr>
              <w:t>31,744</w:t>
            </w:r>
          </w:p>
        </w:tc>
        <w:tc>
          <w:tcPr>
            <w:tcW w:w="50" w:type="pct"/>
            <w:shd w:val="clear" w:color="auto" w:fill="CCEEFF"/>
            <w:vAlign w:val="bottom"/>
            <w:hideMark/>
          </w:tcPr>
          <w:p w14:paraId="2238874C" w14:textId="77777777" w:rsidR="00000000" w:rsidRDefault="007E65A2">
            <w:pPr>
              <w:pStyle w:val="a3"/>
              <w:spacing w:before="0" w:beforeAutospacing="0" w:after="0" w:afterAutospacing="0"/>
              <w:jc w:val="both"/>
              <w:rPr>
                <w:sz w:val="20"/>
                <w:szCs w:val="20"/>
              </w:rPr>
            </w:pPr>
            <w:r>
              <w:rPr>
                <w:sz w:val="20"/>
                <w:szCs w:val="20"/>
              </w:rPr>
              <w:t> </w:t>
            </w:r>
          </w:p>
        </w:tc>
      </w:tr>
      <w:tr w:rsidR="00000000" w14:paraId="5378B973" w14:textId="77777777">
        <w:trPr>
          <w:divId w:val="911279972"/>
          <w:tblCellSpacing w:w="0" w:type="dxa"/>
        </w:trPr>
        <w:tc>
          <w:tcPr>
            <w:tcW w:w="0" w:type="auto"/>
            <w:shd w:val="clear" w:color="auto" w:fill="FFFFFF"/>
            <w:hideMark/>
          </w:tcPr>
          <w:p w14:paraId="5CEDADA2" w14:textId="77777777" w:rsidR="00000000" w:rsidRDefault="007E65A2">
            <w:pPr>
              <w:pStyle w:val="a3"/>
              <w:spacing w:before="0" w:beforeAutospacing="0" w:after="0" w:afterAutospacing="0"/>
              <w:ind w:left="450"/>
              <w:jc w:val="both"/>
              <w:rPr>
                <w:sz w:val="20"/>
                <w:szCs w:val="20"/>
              </w:rPr>
            </w:pPr>
            <w:r>
              <w:rPr>
                <w:sz w:val="20"/>
                <w:szCs w:val="20"/>
              </w:rPr>
              <w:t>Common stock issued for services</w:t>
            </w:r>
          </w:p>
        </w:tc>
        <w:tc>
          <w:tcPr>
            <w:tcW w:w="50" w:type="pct"/>
            <w:shd w:val="clear" w:color="auto" w:fill="FFFFFF"/>
            <w:vAlign w:val="bottom"/>
            <w:hideMark/>
          </w:tcPr>
          <w:p w14:paraId="252AFCB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2CC7C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9F9D179"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FE5EC3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2A4E5D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B11F80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B6490FD" w14:textId="77777777" w:rsidR="00000000" w:rsidRDefault="007E65A2">
            <w:pPr>
              <w:jc w:val="right"/>
              <w:rPr>
                <w:rFonts w:eastAsia="Times New Roman"/>
                <w:sz w:val="20"/>
                <w:szCs w:val="20"/>
              </w:rPr>
            </w:pPr>
            <w:r>
              <w:rPr>
                <w:rFonts w:eastAsia="Times New Roman"/>
                <w:sz w:val="20"/>
                <w:szCs w:val="20"/>
              </w:rPr>
              <w:t>32,000</w:t>
            </w:r>
          </w:p>
        </w:tc>
        <w:tc>
          <w:tcPr>
            <w:tcW w:w="50" w:type="pct"/>
            <w:shd w:val="clear" w:color="auto" w:fill="FFFFFF"/>
            <w:vAlign w:val="bottom"/>
            <w:hideMark/>
          </w:tcPr>
          <w:p w14:paraId="1C1B0417" w14:textId="77777777" w:rsidR="00000000" w:rsidRDefault="007E65A2">
            <w:pPr>
              <w:pStyle w:val="a3"/>
              <w:spacing w:before="0" w:beforeAutospacing="0" w:after="0" w:afterAutospacing="0"/>
              <w:jc w:val="both"/>
              <w:rPr>
                <w:sz w:val="20"/>
                <w:szCs w:val="20"/>
              </w:rPr>
            </w:pPr>
            <w:r>
              <w:rPr>
                <w:sz w:val="20"/>
                <w:szCs w:val="20"/>
              </w:rPr>
              <w:t> </w:t>
            </w:r>
          </w:p>
        </w:tc>
      </w:tr>
      <w:tr w:rsidR="00000000" w14:paraId="4B3C4ACB" w14:textId="77777777">
        <w:trPr>
          <w:divId w:val="911279972"/>
          <w:tblCellSpacing w:w="0" w:type="dxa"/>
        </w:trPr>
        <w:tc>
          <w:tcPr>
            <w:tcW w:w="0" w:type="auto"/>
            <w:shd w:val="clear" w:color="auto" w:fill="CCEEFF"/>
            <w:hideMark/>
          </w:tcPr>
          <w:p w14:paraId="596F5B79" w14:textId="77777777" w:rsidR="00000000" w:rsidRDefault="007E65A2">
            <w:pPr>
              <w:pStyle w:val="a3"/>
              <w:spacing w:before="0" w:beforeAutospacing="0" w:after="0" w:afterAutospacing="0"/>
              <w:ind w:left="450"/>
              <w:jc w:val="both"/>
              <w:rPr>
                <w:sz w:val="20"/>
                <w:szCs w:val="20"/>
              </w:rPr>
            </w:pPr>
            <w:r>
              <w:rPr>
                <w:sz w:val="20"/>
                <w:szCs w:val="20"/>
              </w:rPr>
              <w:t>Common stock issued for settlement of agreement</w:t>
            </w:r>
          </w:p>
        </w:tc>
        <w:tc>
          <w:tcPr>
            <w:tcW w:w="50" w:type="pct"/>
            <w:shd w:val="clear" w:color="auto" w:fill="CCEEFF"/>
            <w:vAlign w:val="bottom"/>
            <w:hideMark/>
          </w:tcPr>
          <w:p w14:paraId="201523F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611DA5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5F19E4F"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15315B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B74DF3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DA4946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DDF0A11" w14:textId="77777777" w:rsidR="00000000" w:rsidRDefault="007E65A2">
            <w:pPr>
              <w:jc w:val="right"/>
              <w:rPr>
                <w:rFonts w:eastAsia="Times New Roman"/>
                <w:sz w:val="20"/>
                <w:szCs w:val="20"/>
              </w:rPr>
            </w:pPr>
            <w:r>
              <w:rPr>
                <w:rFonts w:eastAsia="Times New Roman"/>
                <w:sz w:val="20"/>
                <w:szCs w:val="20"/>
              </w:rPr>
              <w:t>67,500</w:t>
            </w:r>
          </w:p>
        </w:tc>
        <w:tc>
          <w:tcPr>
            <w:tcW w:w="50" w:type="pct"/>
            <w:shd w:val="clear" w:color="auto" w:fill="CCEEFF"/>
            <w:vAlign w:val="bottom"/>
            <w:hideMark/>
          </w:tcPr>
          <w:p w14:paraId="1091FA4E" w14:textId="77777777" w:rsidR="00000000" w:rsidRDefault="007E65A2">
            <w:pPr>
              <w:pStyle w:val="a3"/>
              <w:spacing w:before="0" w:beforeAutospacing="0" w:after="0" w:afterAutospacing="0"/>
              <w:jc w:val="both"/>
              <w:rPr>
                <w:sz w:val="20"/>
                <w:szCs w:val="20"/>
              </w:rPr>
            </w:pPr>
            <w:r>
              <w:rPr>
                <w:sz w:val="20"/>
                <w:szCs w:val="20"/>
              </w:rPr>
              <w:t> </w:t>
            </w:r>
          </w:p>
        </w:tc>
      </w:tr>
      <w:tr w:rsidR="00000000" w14:paraId="631606BD" w14:textId="77777777">
        <w:trPr>
          <w:divId w:val="911279972"/>
          <w:tblCellSpacing w:w="0" w:type="dxa"/>
        </w:trPr>
        <w:tc>
          <w:tcPr>
            <w:tcW w:w="0" w:type="auto"/>
            <w:shd w:val="clear" w:color="auto" w:fill="FFFFFF"/>
            <w:hideMark/>
          </w:tcPr>
          <w:p w14:paraId="630E1A05" w14:textId="77777777" w:rsidR="00000000" w:rsidRDefault="007E65A2">
            <w:pPr>
              <w:pStyle w:val="a3"/>
              <w:spacing w:before="0" w:beforeAutospacing="0" w:after="0" w:afterAutospacing="0"/>
              <w:ind w:left="450"/>
              <w:jc w:val="both"/>
              <w:rPr>
                <w:sz w:val="20"/>
                <w:szCs w:val="20"/>
              </w:rPr>
            </w:pPr>
            <w:r>
              <w:rPr>
                <w:sz w:val="20"/>
                <w:szCs w:val="20"/>
              </w:rPr>
              <w:t>Loss on settlement of debt</w:t>
            </w:r>
          </w:p>
        </w:tc>
        <w:tc>
          <w:tcPr>
            <w:tcW w:w="50" w:type="pct"/>
            <w:shd w:val="clear" w:color="auto" w:fill="FFFFFF"/>
            <w:vAlign w:val="bottom"/>
            <w:hideMark/>
          </w:tcPr>
          <w:p w14:paraId="2F092E9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E4C817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80E7CD5" w14:textId="77777777" w:rsidR="00000000" w:rsidRDefault="007E65A2">
            <w:pPr>
              <w:jc w:val="right"/>
              <w:rPr>
                <w:rFonts w:eastAsia="Times New Roman"/>
                <w:sz w:val="20"/>
                <w:szCs w:val="20"/>
              </w:rPr>
            </w:pPr>
            <w:r>
              <w:rPr>
                <w:rFonts w:eastAsia="Times New Roman"/>
                <w:sz w:val="20"/>
                <w:szCs w:val="20"/>
              </w:rPr>
              <w:t>197,250</w:t>
            </w:r>
          </w:p>
        </w:tc>
        <w:tc>
          <w:tcPr>
            <w:tcW w:w="50" w:type="pct"/>
            <w:shd w:val="clear" w:color="auto" w:fill="FFFFFF"/>
            <w:vAlign w:val="bottom"/>
            <w:hideMark/>
          </w:tcPr>
          <w:p w14:paraId="4ED7B45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42F74C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BA0E9E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73B73A2"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ECFC06D" w14:textId="77777777" w:rsidR="00000000" w:rsidRDefault="007E65A2">
            <w:pPr>
              <w:pStyle w:val="a3"/>
              <w:spacing w:before="0" w:beforeAutospacing="0" w:after="0" w:afterAutospacing="0"/>
              <w:jc w:val="both"/>
              <w:rPr>
                <w:sz w:val="20"/>
                <w:szCs w:val="20"/>
              </w:rPr>
            </w:pPr>
            <w:r>
              <w:rPr>
                <w:sz w:val="20"/>
                <w:szCs w:val="20"/>
              </w:rPr>
              <w:t> </w:t>
            </w:r>
          </w:p>
        </w:tc>
      </w:tr>
      <w:tr w:rsidR="00000000" w14:paraId="2CCAF0B0" w14:textId="77777777">
        <w:trPr>
          <w:divId w:val="911279972"/>
          <w:tblCellSpacing w:w="0" w:type="dxa"/>
        </w:trPr>
        <w:tc>
          <w:tcPr>
            <w:tcW w:w="0" w:type="auto"/>
            <w:shd w:val="clear" w:color="auto" w:fill="CCEEFF"/>
            <w:hideMark/>
          </w:tcPr>
          <w:p w14:paraId="5F0D6523" w14:textId="77777777" w:rsidR="00000000" w:rsidRDefault="007E65A2">
            <w:pPr>
              <w:pStyle w:val="a3"/>
              <w:spacing w:before="0" w:beforeAutospacing="0" w:after="0" w:afterAutospacing="0"/>
              <w:ind w:left="450"/>
              <w:jc w:val="both"/>
              <w:rPr>
                <w:sz w:val="20"/>
                <w:szCs w:val="20"/>
              </w:rPr>
            </w:pPr>
            <w:r>
              <w:rPr>
                <w:sz w:val="20"/>
                <w:szCs w:val="20"/>
              </w:rPr>
              <w:t>Impairment loss on investment in equity method investee</w:t>
            </w:r>
          </w:p>
        </w:tc>
        <w:tc>
          <w:tcPr>
            <w:tcW w:w="50" w:type="pct"/>
            <w:shd w:val="clear" w:color="auto" w:fill="CCEEFF"/>
            <w:vAlign w:val="bottom"/>
            <w:hideMark/>
          </w:tcPr>
          <w:p w14:paraId="1FEDDFC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3AFD7D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BF87CE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6DC279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6E7DA3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7AB74A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7A804FD" w14:textId="77777777" w:rsidR="00000000" w:rsidRDefault="007E65A2">
            <w:pPr>
              <w:jc w:val="right"/>
              <w:rPr>
                <w:rFonts w:eastAsia="Times New Roman"/>
                <w:sz w:val="20"/>
                <w:szCs w:val="20"/>
              </w:rPr>
            </w:pPr>
            <w:r>
              <w:rPr>
                <w:rFonts w:eastAsia="Times New Roman"/>
                <w:sz w:val="20"/>
                <w:szCs w:val="20"/>
              </w:rPr>
              <w:t>24,524</w:t>
            </w:r>
          </w:p>
        </w:tc>
        <w:tc>
          <w:tcPr>
            <w:tcW w:w="50" w:type="pct"/>
            <w:shd w:val="clear" w:color="auto" w:fill="CCEEFF"/>
            <w:vAlign w:val="bottom"/>
            <w:hideMark/>
          </w:tcPr>
          <w:p w14:paraId="73D42637" w14:textId="77777777" w:rsidR="00000000" w:rsidRDefault="007E65A2">
            <w:pPr>
              <w:pStyle w:val="a3"/>
              <w:spacing w:before="0" w:beforeAutospacing="0" w:after="0" w:afterAutospacing="0"/>
              <w:jc w:val="both"/>
              <w:rPr>
                <w:sz w:val="20"/>
                <w:szCs w:val="20"/>
              </w:rPr>
            </w:pPr>
            <w:r>
              <w:rPr>
                <w:sz w:val="20"/>
                <w:szCs w:val="20"/>
              </w:rPr>
              <w:t> </w:t>
            </w:r>
          </w:p>
        </w:tc>
      </w:tr>
      <w:tr w:rsidR="00000000" w14:paraId="2A2E257E" w14:textId="77777777">
        <w:trPr>
          <w:divId w:val="911279972"/>
          <w:tblCellSpacing w:w="0" w:type="dxa"/>
        </w:trPr>
        <w:tc>
          <w:tcPr>
            <w:tcW w:w="0" w:type="auto"/>
            <w:shd w:val="clear" w:color="auto" w:fill="FFFFFF"/>
            <w:hideMark/>
          </w:tcPr>
          <w:p w14:paraId="00804836" w14:textId="77777777" w:rsidR="00000000" w:rsidRDefault="007E65A2">
            <w:pPr>
              <w:pStyle w:val="a3"/>
              <w:spacing w:before="0" w:beforeAutospacing="0" w:after="0" w:afterAutospacing="0"/>
              <w:ind w:left="450"/>
              <w:jc w:val="both"/>
              <w:rPr>
                <w:sz w:val="20"/>
                <w:szCs w:val="20"/>
              </w:rPr>
            </w:pPr>
            <w:r>
              <w:rPr>
                <w:sz w:val="20"/>
                <w:szCs w:val="20"/>
              </w:rPr>
              <w:t>Amortization of debt discounts</w:t>
            </w:r>
          </w:p>
        </w:tc>
        <w:tc>
          <w:tcPr>
            <w:tcW w:w="50" w:type="pct"/>
            <w:shd w:val="clear" w:color="auto" w:fill="FFFFFF"/>
            <w:vAlign w:val="bottom"/>
            <w:hideMark/>
          </w:tcPr>
          <w:p w14:paraId="545F02E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BFF361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8CB751C" w14:textId="77777777" w:rsidR="00000000" w:rsidRDefault="007E65A2">
            <w:pPr>
              <w:jc w:val="right"/>
              <w:rPr>
                <w:rFonts w:eastAsia="Times New Roman"/>
                <w:sz w:val="20"/>
                <w:szCs w:val="20"/>
              </w:rPr>
            </w:pPr>
            <w:r>
              <w:rPr>
                <w:rFonts w:eastAsia="Times New Roman"/>
                <w:sz w:val="20"/>
                <w:szCs w:val="20"/>
              </w:rPr>
              <w:t>171,968</w:t>
            </w:r>
          </w:p>
        </w:tc>
        <w:tc>
          <w:tcPr>
            <w:tcW w:w="50" w:type="pct"/>
            <w:shd w:val="clear" w:color="auto" w:fill="FFFFFF"/>
            <w:vAlign w:val="bottom"/>
            <w:hideMark/>
          </w:tcPr>
          <w:p w14:paraId="6058A21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34E396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AFDB68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24F5DA2" w14:textId="77777777" w:rsidR="00000000" w:rsidRDefault="007E65A2">
            <w:pPr>
              <w:jc w:val="right"/>
              <w:rPr>
                <w:rFonts w:eastAsia="Times New Roman"/>
                <w:sz w:val="20"/>
                <w:szCs w:val="20"/>
              </w:rPr>
            </w:pPr>
            <w:r>
              <w:rPr>
                <w:rFonts w:eastAsia="Times New Roman"/>
                <w:sz w:val="20"/>
                <w:szCs w:val="20"/>
              </w:rPr>
              <w:t>329,219</w:t>
            </w:r>
          </w:p>
        </w:tc>
        <w:tc>
          <w:tcPr>
            <w:tcW w:w="50" w:type="pct"/>
            <w:shd w:val="clear" w:color="auto" w:fill="FFFFFF"/>
            <w:vAlign w:val="bottom"/>
            <w:hideMark/>
          </w:tcPr>
          <w:p w14:paraId="19C809D6" w14:textId="77777777" w:rsidR="00000000" w:rsidRDefault="007E65A2">
            <w:pPr>
              <w:pStyle w:val="a3"/>
              <w:spacing w:before="0" w:beforeAutospacing="0" w:after="0" w:afterAutospacing="0"/>
              <w:jc w:val="both"/>
              <w:rPr>
                <w:sz w:val="20"/>
                <w:szCs w:val="20"/>
              </w:rPr>
            </w:pPr>
            <w:r>
              <w:rPr>
                <w:sz w:val="20"/>
                <w:szCs w:val="20"/>
              </w:rPr>
              <w:t> </w:t>
            </w:r>
          </w:p>
        </w:tc>
      </w:tr>
      <w:tr w:rsidR="00000000" w14:paraId="337B320B" w14:textId="77777777">
        <w:trPr>
          <w:divId w:val="911279972"/>
          <w:tblCellSpacing w:w="0" w:type="dxa"/>
        </w:trPr>
        <w:tc>
          <w:tcPr>
            <w:tcW w:w="0" w:type="auto"/>
            <w:shd w:val="clear" w:color="auto" w:fill="CCEEFF"/>
            <w:hideMark/>
          </w:tcPr>
          <w:p w14:paraId="476128F1" w14:textId="77777777" w:rsidR="00000000" w:rsidRDefault="007E65A2">
            <w:pPr>
              <w:pStyle w:val="a3"/>
              <w:spacing w:before="0" w:beforeAutospacing="0" w:after="0" w:afterAutospacing="0"/>
              <w:ind w:left="450"/>
              <w:jc w:val="both"/>
              <w:rPr>
                <w:sz w:val="20"/>
                <w:szCs w:val="20"/>
              </w:rPr>
            </w:pPr>
            <w:r>
              <w:rPr>
                <w:sz w:val="20"/>
                <w:szCs w:val="20"/>
              </w:rPr>
              <w:t>Loss on investment in equity method investee</w:t>
            </w:r>
          </w:p>
        </w:tc>
        <w:tc>
          <w:tcPr>
            <w:tcW w:w="50" w:type="pct"/>
            <w:shd w:val="clear" w:color="auto" w:fill="CCEEFF"/>
            <w:vAlign w:val="bottom"/>
            <w:hideMark/>
          </w:tcPr>
          <w:p w14:paraId="756C7B0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DB9388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5B968B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4F3ACC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38BFF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3282C0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72D300D" w14:textId="77777777" w:rsidR="00000000" w:rsidRDefault="007E65A2">
            <w:pPr>
              <w:jc w:val="right"/>
              <w:rPr>
                <w:rFonts w:eastAsia="Times New Roman"/>
                <w:sz w:val="20"/>
                <w:szCs w:val="20"/>
              </w:rPr>
            </w:pPr>
            <w:r>
              <w:rPr>
                <w:rFonts w:eastAsia="Times New Roman"/>
                <w:sz w:val="20"/>
                <w:szCs w:val="20"/>
              </w:rPr>
              <w:t>476</w:t>
            </w:r>
          </w:p>
        </w:tc>
        <w:tc>
          <w:tcPr>
            <w:tcW w:w="50" w:type="pct"/>
            <w:shd w:val="clear" w:color="auto" w:fill="CCEEFF"/>
            <w:vAlign w:val="bottom"/>
            <w:hideMark/>
          </w:tcPr>
          <w:p w14:paraId="2B994F12" w14:textId="77777777" w:rsidR="00000000" w:rsidRDefault="007E65A2">
            <w:pPr>
              <w:pStyle w:val="a3"/>
              <w:spacing w:before="0" w:beforeAutospacing="0" w:after="0" w:afterAutospacing="0"/>
              <w:jc w:val="both"/>
              <w:rPr>
                <w:sz w:val="20"/>
                <w:szCs w:val="20"/>
              </w:rPr>
            </w:pPr>
            <w:r>
              <w:rPr>
                <w:sz w:val="20"/>
                <w:szCs w:val="20"/>
              </w:rPr>
              <w:t> </w:t>
            </w:r>
          </w:p>
        </w:tc>
      </w:tr>
      <w:tr w:rsidR="00000000" w14:paraId="0ACA4D50" w14:textId="77777777">
        <w:trPr>
          <w:divId w:val="911279972"/>
          <w:tblCellSpacing w:w="0" w:type="dxa"/>
        </w:trPr>
        <w:tc>
          <w:tcPr>
            <w:tcW w:w="0" w:type="auto"/>
            <w:shd w:val="clear" w:color="auto" w:fill="FFFFFF"/>
            <w:hideMark/>
          </w:tcPr>
          <w:p w14:paraId="183B94EF" w14:textId="77777777" w:rsidR="00000000" w:rsidRDefault="007E65A2">
            <w:pPr>
              <w:pStyle w:val="a3"/>
              <w:spacing w:before="0" w:beforeAutospacing="0" w:after="0" w:afterAutospacing="0"/>
              <w:ind w:left="450"/>
              <w:jc w:val="both"/>
              <w:rPr>
                <w:sz w:val="20"/>
                <w:szCs w:val="20"/>
              </w:rPr>
            </w:pPr>
            <w:r>
              <w:rPr>
                <w:sz w:val="20"/>
                <w:szCs w:val="20"/>
              </w:rPr>
              <w:t>Penalty of convertible note</w:t>
            </w:r>
          </w:p>
        </w:tc>
        <w:tc>
          <w:tcPr>
            <w:tcW w:w="50" w:type="pct"/>
            <w:shd w:val="clear" w:color="auto" w:fill="FFFFFF"/>
            <w:vAlign w:val="bottom"/>
            <w:hideMark/>
          </w:tcPr>
          <w:p w14:paraId="40CD4C7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EFC7C6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73D543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6D4587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B526D3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435130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328B091" w14:textId="77777777" w:rsidR="00000000" w:rsidRDefault="007E65A2">
            <w:pPr>
              <w:jc w:val="right"/>
              <w:rPr>
                <w:rFonts w:eastAsia="Times New Roman"/>
                <w:sz w:val="20"/>
                <w:szCs w:val="20"/>
              </w:rPr>
            </w:pPr>
            <w:r>
              <w:rPr>
                <w:rFonts w:eastAsia="Times New Roman"/>
                <w:sz w:val="20"/>
                <w:szCs w:val="20"/>
              </w:rPr>
              <w:t>15,000</w:t>
            </w:r>
          </w:p>
        </w:tc>
        <w:tc>
          <w:tcPr>
            <w:tcW w:w="50" w:type="pct"/>
            <w:shd w:val="clear" w:color="auto" w:fill="FFFFFF"/>
            <w:vAlign w:val="bottom"/>
            <w:hideMark/>
          </w:tcPr>
          <w:p w14:paraId="6B0A7228" w14:textId="77777777" w:rsidR="00000000" w:rsidRDefault="007E65A2">
            <w:pPr>
              <w:pStyle w:val="a3"/>
              <w:spacing w:before="0" w:beforeAutospacing="0" w:after="0" w:afterAutospacing="0"/>
              <w:jc w:val="both"/>
              <w:rPr>
                <w:sz w:val="20"/>
                <w:szCs w:val="20"/>
              </w:rPr>
            </w:pPr>
            <w:r>
              <w:rPr>
                <w:sz w:val="20"/>
                <w:szCs w:val="20"/>
              </w:rPr>
              <w:t> </w:t>
            </w:r>
          </w:p>
        </w:tc>
      </w:tr>
      <w:tr w:rsidR="00000000" w14:paraId="211267BF" w14:textId="77777777">
        <w:trPr>
          <w:divId w:val="911279972"/>
          <w:tblCellSpacing w:w="0" w:type="dxa"/>
        </w:trPr>
        <w:tc>
          <w:tcPr>
            <w:tcW w:w="0" w:type="auto"/>
            <w:shd w:val="clear" w:color="auto" w:fill="CCEEFF"/>
            <w:hideMark/>
          </w:tcPr>
          <w:p w14:paraId="0E04B561" w14:textId="77777777" w:rsidR="00000000" w:rsidRDefault="007E65A2">
            <w:pPr>
              <w:pStyle w:val="a3"/>
              <w:spacing w:before="0" w:beforeAutospacing="0" w:after="0" w:afterAutospacing="0"/>
              <w:ind w:left="225"/>
              <w:jc w:val="both"/>
              <w:rPr>
                <w:sz w:val="20"/>
                <w:szCs w:val="20"/>
              </w:rPr>
            </w:pPr>
            <w:r>
              <w:rPr>
                <w:sz w:val="20"/>
                <w:szCs w:val="20"/>
              </w:rPr>
              <w:t>Change in fair value of derivative liabilities</w:t>
            </w:r>
          </w:p>
        </w:tc>
        <w:tc>
          <w:tcPr>
            <w:tcW w:w="50" w:type="pct"/>
            <w:shd w:val="clear" w:color="auto" w:fill="CCEEFF"/>
            <w:vAlign w:val="bottom"/>
            <w:hideMark/>
          </w:tcPr>
          <w:p w14:paraId="65AF105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813E6F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E8FDB54" w14:textId="77777777" w:rsidR="00000000" w:rsidRDefault="007E65A2">
            <w:pPr>
              <w:jc w:val="right"/>
              <w:rPr>
                <w:rFonts w:eastAsia="Times New Roman"/>
                <w:sz w:val="20"/>
                <w:szCs w:val="20"/>
              </w:rPr>
            </w:pPr>
            <w:r>
              <w:rPr>
                <w:rFonts w:eastAsia="Times New Roman"/>
                <w:sz w:val="20"/>
                <w:szCs w:val="20"/>
              </w:rPr>
              <w:t>464,691</w:t>
            </w:r>
          </w:p>
        </w:tc>
        <w:tc>
          <w:tcPr>
            <w:tcW w:w="50" w:type="pct"/>
            <w:shd w:val="clear" w:color="auto" w:fill="CCEEFF"/>
            <w:vAlign w:val="bottom"/>
            <w:hideMark/>
          </w:tcPr>
          <w:p w14:paraId="6FDE2AA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9178D0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78B2F1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199AF57" w14:textId="77777777" w:rsidR="00000000" w:rsidRDefault="007E65A2">
            <w:pPr>
              <w:jc w:val="right"/>
              <w:rPr>
                <w:rFonts w:eastAsia="Times New Roman"/>
                <w:sz w:val="20"/>
                <w:szCs w:val="20"/>
              </w:rPr>
            </w:pPr>
            <w:r>
              <w:rPr>
                <w:rFonts w:eastAsia="Times New Roman"/>
                <w:sz w:val="20"/>
                <w:szCs w:val="20"/>
              </w:rPr>
              <w:t>912,590</w:t>
            </w:r>
          </w:p>
        </w:tc>
        <w:tc>
          <w:tcPr>
            <w:tcW w:w="50" w:type="pct"/>
            <w:shd w:val="clear" w:color="auto" w:fill="CCEEFF"/>
            <w:vAlign w:val="bottom"/>
            <w:hideMark/>
          </w:tcPr>
          <w:p w14:paraId="4FE8625D" w14:textId="77777777" w:rsidR="00000000" w:rsidRDefault="007E65A2">
            <w:pPr>
              <w:pStyle w:val="a3"/>
              <w:spacing w:before="0" w:beforeAutospacing="0" w:after="0" w:afterAutospacing="0"/>
              <w:jc w:val="both"/>
              <w:rPr>
                <w:sz w:val="20"/>
                <w:szCs w:val="20"/>
              </w:rPr>
            </w:pPr>
            <w:r>
              <w:rPr>
                <w:sz w:val="20"/>
                <w:szCs w:val="20"/>
              </w:rPr>
              <w:t> </w:t>
            </w:r>
          </w:p>
        </w:tc>
      </w:tr>
      <w:tr w:rsidR="00000000" w14:paraId="54C726E0" w14:textId="77777777">
        <w:trPr>
          <w:divId w:val="911279972"/>
          <w:tblCellSpacing w:w="0" w:type="dxa"/>
        </w:trPr>
        <w:tc>
          <w:tcPr>
            <w:tcW w:w="0" w:type="auto"/>
            <w:shd w:val="clear" w:color="auto" w:fill="FFFFFF"/>
            <w:hideMark/>
          </w:tcPr>
          <w:p w14:paraId="5A22DBAF" w14:textId="77777777" w:rsidR="00000000" w:rsidRDefault="007E65A2">
            <w:pPr>
              <w:pStyle w:val="a3"/>
              <w:spacing w:before="0" w:beforeAutospacing="0" w:after="0" w:afterAutospacing="0"/>
              <w:ind w:left="450"/>
              <w:jc w:val="both"/>
              <w:rPr>
                <w:sz w:val="20"/>
                <w:szCs w:val="20"/>
              </w:rPr>
            </w:pPr>
            <w:r>
              <w:rPr>
                <w:sz w:val="20"/>
                <w:szCs w:val="20"/>
              </w:rPr>
              <w:t>Changes in operating assets and liabilities:</w:t>
            </w:r>
          </w:p>
        </w:tc>
        <w:tc>
          <w:tcPr>
            <w:tcW w:w="50" w:type="pct"/>
            <w:shd w:val="clear" w:color="auto" w:fill="FFFFFF"/>
            <w:vAlign w:val="bottom"/>
            <w:hideMark/>
          </w:tcPr>
          <w:p w14:paraId="0652A57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A368E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6FB499E"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1440FF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B260B5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D8EE04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D3FCAE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358E7F4" w14:textId="77777777" w:rsidR="00000000" w:rsidRDefault="007E65A2">
            <w:pPr>
              <w:pStyle w:val="a3"/>
              <w:spacing w:before="0" w:beforeAutospacing="0" w:after="0" w:afterAutospacing="0"/>
              <w:jc w:val="both"/>
              <w:rPr>
                <w:sz w:val="20"/>
                <w:szCs w:val="20"/>
              </w:rPr>
            </w:pPr>
            <w:r>
              <w:rPr>
                <w:sz w:val="20"/>
                <w:szCs w:val="20"/>
              </w:rPr>
              <w:t> </w:t>
            </w:r>
          </w:p>
        </w:tc>
      </w:tr>
      <w:tr w:rsidR="00000000" w14:paraId="23AB0C34" w14:textId="77777777">
        <w:trPr>
          <w:divId w:val="911279972"/>
          <w:tblCellSpacing w:w="0" w:type="dxa"/>
        </w:trPr>
        <w:tc>
          <w:tcPr>
            <w:tcW w:w="0" w:type="auto"/>
            <w:shd w:val="clear" w:color="auto" w:fill="CCEEFF"/>
            <w:hideMark/>
          </w:tcPr>
          <w:p w14:paraId="772B31CB" w14:textId="77777777" w:rsidR="00000000" w:rsidRDefault="007E65A2">
            <w:pPr>
              <w:pStyle w:val="a3"/>
              <w:spacing w:before="0" w:beforeAutospacing="0" w:after="0" w:afterAutospacing="0"/>
              <w:ind w:left="450"/>
              <w:jc w:val="both"/>
              <w:rPr>
                <w:sz w:val="20"/>
                <w:szCs w:val="20"/>
              </w:rPr>
            </w:pPr>
            <w:r>
              <w:rPr>
                <w:sz w:val="20"/>
                <w:szCs w:val="20"/>
              </w:rPr>
              <w:t>Prepaid expenses</w:t>
            </w:r>
          </w:p>
        </w:tc>
        <w:tc>
          <w:tcPr>
            <w:tcW w:w="50" w:type="pct"/>
            <w:shd w:val="clear" w:color="auto" w:fill="CCEEFF"/>
            <w:vAlign w:val="bottom"/>
            <w:hideMark/>
          </w:tcPr>
          <w:p w14:paraId="4F22317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DD020F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48D2D78" w14:textId="77777777" w:rsidR="00000000" w:rsidRDefault="007E65A2">
            <w:pPr>
              <w:jc w:val="right"/>
              <w:rPr>
                <w:rFonts w:eastAsia="Times New Roman"/>
                <w:sz w:val="20"/>
                <w:szCs w:val="20"/>
              </w:rPr>
            </w:pPr>
            <w:r>
              <w:rPr>
                <w:rFonts w:eastAsia="Times New Roman"/>
                <w:sz w:val="20"/>
                <w:szCs w:val="20"/>
              </w:rPr>
              <w:t>(9,500</w:t>
            </w:r>
          </w:p>
        </w:tc>
        <w:tc>
          <w:tcPr>
            <w:tcW w:w="50" w:type="pct"/>
            <w:shd w:val="clear" w:color="auto" w:fill="CCEEFF"/>
            <w:vAlign w:val="bottom"/>
            <w:hideMark/>
          </w:tcPr>
          <w:p w14:paraId="1716461D"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4C8C812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542AA7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992DBD8"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208B8ED" w14:textId="77777777" w:rsidR="00000000" w:rsidRDefault="007E65A2">
            <w:pPr>
              <w:pStyle w:val="a3"/>
              <w:spacing w:before="0" w:beforeAutospacing="0" w:after="0" w:afterAutospacing="0"/>
              <w:jc w:val="both"/>
              <w:rPr>
                <w:sz w:val="20"/>
                <w:szCs w:val="20"/>
              </w:rPr>
            </w:pPr>
            <w:r>
              <w:rPr>
                <w:sz w:val="20"/>
                <w:szCs w:val="20"/>
              </w:rPr>
              <w:t> </w:t>
            </w:r>
          </w:p>
        </w:tc>
      </w:tr>
      <w:tr w:rsidR="00000000" w14:paraId="504DD2B6" w14:textId="77777777">
        <w:trPr>
          <w:divId w:val="911279972"/>
          <w:tblCellSpacing w:w="0" w:type="dxa"/>
        </w:trPr>
        <w:tc>
          <w:tcPr>
            <w:tcW w:w="0" w:type="auto"/>
            <w:shd w:val="clear" w:color="auto" w:fill="FFFFFF"/>
            <w:hideMark/>
          </w:tcPr>
          <w:p w14:paraId="73FFF1E5" w14:textId="77777777" w:rsidR="00000000" w:rsidRDefault="007E65A2">
            <w:pPr>
              <w:pStyle w:val="a3"/>
              <w:spacing w:before="0" w:beforeAutospacing="0" w:after="0" w:afterAutospacing="0"/>
              <w:ind w:left="450"/>
              <w:jc w:val="both"/>
              <w:rPr>
                <w:sz w:val="20"/>
                <w:szCs w:val="20"/>
              </w:rPr>
            </w:pPr>
            <w:r>
              <w:rPr>
                <w:sz w:val="20"/>
                <w:szCs w:val="20"/>
              </w:rPr>
              <w:t>Accounts payable and accrued liabilities</w:t>
            </w:r>
          </w:p>
        </w:tc>
        <w:tc>
          <w:tcPr>
            <w:tcW w:w="50" w:type="pct"/>
            <w:shd w:val="clear" w:color="auto" w:fill="FFFFFF"/>
            <w:vAlign w:val="bottom"/>
            <w:hideMark/>
          </w:tcPr>
          <w:p w14:paraId="3CEFC83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5E0C0B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A4E2B69" w14:textId="77777777" w:rsidR="00000000" w:rsidRDefault="007E65A2">
            <w:pPr>
              <w:jc w:val="right"/>
              <w:rPr>
                <w:rFonts w:eastAsia="Times New Roman"/>
                <w:sz w:val="20"/>
                <w:szCs w:val="20"/>
              </w:rPr>
            </w:pPr>
            <w:r>
              <w:rPr>
                <w:rFonts w:eastAsia="Times New Roman"/>
                <w:sz w:val="20"/>
                <w:szCs w:val="20"/>
              </w:rPr>
              <w:t>(669</w:t>
            </w:r>
          </w:p>
        </w:tc>
        <w:tc>
          <w:tcPr>
            <w:tcW w:w="50" w:type="pct"/>
            <w:shd w:val="clear" w:color="auto" w:fill="FFFFFF"/>
            <w:vAlign w:val="bottom"/>
            <w:hideMark/>
          </w:tcPr>
          <w:p w14:paraId="13E42973"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3316CD2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CC87F9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2D2E54D" w14:textId="77777777" w:rsidR="00000000" w:rsidRDefault="007E65A2">
            <w:pPr>
              <w:jc w:val="right"/>
              <w:rPr>
                <w:rFonts w:eastAsia="Times New Roman"/>
                <w:sz w:val="20"/>
                <w:szCs w:val="20"/>
              </w:rPr>
            </w:pPr>
            <w:r>
              <w:rPr>
                <w:rFonts w:eastAsia="Times New Roman"/>
                <w:sz w:val="20"/>
                <w:szCs w:val="20"/>
              </w:rPr>
              <w:t>269,319</w:t>
            </w:r>
          </w:p>
        </w:tc>
        <w:tc>
          <w:tcPr>
            <w:tcW w:w="50" w:type="pct"/>
            <w:shd w:val="clear" w:color="auto" w:fill="FFFFFF"/>
            <w:vAlign w:val="bottom"/>
            <w:hideMark/>
          </w:tcPr>
          <w:p w14:paraId="6FB3659B" w14:textId="77777777" w:rsidR="00000000" w:rsidRDefault="007E65A2">
            <w:pPr>
              <w:pStyle w:val="a3"/>
              <w:spacing w:before="0" w:beforeAutospacing="0" w:after="0" w:afterAutospacing="0"/>
              <w:jc w:val="both"/>
              <w:rPr>
                <w:sz w:val="20"/>
                <w:szCs w:val="20"/>
              </w:rPr>
            </w:pPr>
            <w:r>
              <w:rPr>
                <w:sz w:val="20"/>
                <w:szCs w:val="20"/>
              </w:rPr>
              <w:t> </w:t>
            </w:r>
          </w:p>
        </w:tc>
      </w:tr>
      <w:tr w:rsidR="00000000" w14:paraId="32FC29F6" w14:textId="77777777">
        <w:trPr>
          <w:divId w:val="911279972"/>
          <w:tblCellSpacing w:w="0" w:type="dxa"/>
        </w:trPr>
        <w:tc>
          <w:tcPr>
            <w:tcW w:w="0" w:type="auto"/>
            <w:shd w:val="clear" w:color="auto" w:fill="CCEEFF"/>
            <w:hideMark/>
          </w:tcPr>
          <w:p w14:paraId="54997425" w14:textId="77777777" w:rsidR="00000000" w:rsidRDefault="007E65A2">
            <w:pPr>
              <w:pStyle w:val="a3"/>
              <w:spacing w:before="0" w:beforeAutospacing="0" w:after="0" w:afterAutospacing="0"/>
              <w:ind w:left="450"/>
              <w:jc w:val="both"/>
              <w:rPr>
                <w:sz w:val="20"/>
                <w:szCs w:val="20"/>
              </w:rPr>
            </w:pPr>
            <w:r>
              <w:rPr>
                <w:sz w:val="20"/>
                <w:szCs w:val="20"/>
              </w:rPr>
              <w:t>Accrued salary</w:t>
            </w:r>
          </w:p>
        </w:tc>
        <w:tc>
          <w:tcPr>
            <w:tcW w:w="50" w:type="pct"/>
            <w:shd w:val="clear" w:color="auto" w:fill="CCEEFF"/>
            <w:vAlign w:val="bottom"/>
            <w:hideMark/>
          </w:tcPr>
          <w:p w14:paraId="1E099C1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1B5E05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96D50F6" w14:textId="77777777" w:rsidR="00000000" w:rsidRDefault="007E65A2">
            <w:pPr>
              <w:jc w:val="right"/>
              <w:rPr>
                <w:rFonts w:eastAsia="Times New Roman"/>
                <w:sz w:val="20"/>
                <w:szCs w:val="20"/>
              </w:rPr>
            </w:pPr>
            <w:r>
              <w:rPr>
                <w:rFonts w:eastAsia="Times New Roman"/>
                <w:sz w:val="20"/>
                <w:szCs w:val="20"/>
              </w:rPr>
              <w:t>64,506</w:t>
            </w:r>
          </w:p>
        </w:tc>
        <w:tc>
          <w:tcPr>
            <w:tcW w:w="50" w:type="pct"/>
            <w:shd w:val="clear" w:color="auto" w:fill="CCEEFF"/>
            <w:vAlign w:val="bottom"/>
            <w:hideMark/>
          </w:tcPr>
          <w:p w14:paraId="21C7CCE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90C841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034862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A0C570C" w14:textId="77777777" w:rsidR="00000000" w:rsidRDefault="007E65A2">
            <w:pPr>
              <w:jc w:val="right"/>
              <w:rPr>
                <w:rFonts w:eastAsia="Times New Roman"/>
                <w:sz w:val="20"/>
                <w:szCs w:val="20"/>
              </w:rPr>
            </w:pPr>
            <w:r>
              <w:rPr>
                <w:rFonts w:eastAsia="Times New Roman"/>
                <w:sz w:val="20"/>
                <w:szCs w:val="20"/>
              </w:rPr>
              <w:t>96,000</w:t>
            </w:r>
          </w:p>
        </w:tc>
        <w:tc>
          <w:tcPr>
            <w:tcW w:w="50" w:type="pct"/>
            <w:shd w:val="clear" w:color="auto" w:fill="CCEEFF"/>
            <w:vAlign w:val="bottom"/>
            <w:hideMark/>
          </w:tcPr>
          <w:p w14:paraId="06743404" w14:textId="77777777" w:rsidR="00000000" w:rsidRDefault="007E65A2">
            <w:pPr>
              <w:pStyle w:val="a3"/>
              <w:spacing w:before="0" w:beforeAutospacing="0" w:after="0" w:afterAutospacing="0"/>
              <w:jc w:val="both"/>
              <w:rPr>
                <w:sz w:val="20"/>
                <w:szCs w:val="20"/>
              </w:rPr>
            </w:pPr>
            <w:r>
              <w:rPr>
                <w:sz w:val="20"/>
                <w:szCs w:val="20"/>
              </w:rPr>
              <w:t> </w:t>
            </w:r>
          </w:p>
        </w:tc>
      </w:tr>
      <w:tr w:rsidR="00000000" w14:paraId="08745AC7" w14:textId="77777777">
        <w:trPr>
          <w:divId w:val="911279972"/>
          <w:tblCellSpacing w:w="0" w:type="dxa"/>
        </w:trPr>
        <w:tc>
          <w:tcPr>
            <w:tcW w:w="0" w:type="auto"/>
            <w:shd w:val="clear" w:color="auto" w:fill="FFFFFF"/>
            <w:hideMark/>
          </w:tcPr>
          <w:p w14:paraId="0EE2982A" w14:textId="77777777" w:rsidR="00000000" w:rsidRDefault="007E65A2">
            <w:pPr>
              <w:pStyle w:val="a3"/>
              <w:spacing w:before="0" w:beforeAutospacing="0" w:after="0" w:afterAutospacing="0"/>
              <w:ind w:left="450"/>
              <w:jc w:val="both"/>
              <w:rPr>
                <w:sz w:val="20"/>
                <w:szCs w:val="20"/>
              </w:rPr>
            </w:pPr>
            <w:r>
              <w:rPr>
                <w:sz w:val="20"/>
                <w:szCs w:val="20"/>
              </w:rPr>
              <w:t>Accrued interest</w:t>
            </w:r>
          </w:p>
        </w:tc>
        <w:tc>
          <w:tcPr>
            <w:tcW w:w="50" w:type="pct"/>
            <w:shd w:val="clear" w:color="auto" w:fill="FFFFFF"/>
            <w:vAlign w:val="bottom"/>
            <w:hideMark/>
          </w:tcPr>
          <w:p w14:paraId="25F435E9"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4C4FD65"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3439C5B0" w14:textId="77777777" w:rsidR="00000000" w:rsidRDefault="007E65A2">
            <w:pPr>
              <w:jc w:val="right"/>
              <w:rPr>
                <w:rFonts w:eastAsia="Times New Roman"/>
                <w:sz w:val="20"/>
                <w:szCs w:val="20"/>
              </w:rPr>
            </w:pPr>
            <w:r>
              <w:rPr>
                <w:rFonts w:eastAsia="Times New Roman"/>
                <w:sz w:val="20"/>
                <w:szCs w:val="20"/>
              </w:rPr>
              <w:t>66,987</w:t>
            </w:r>
          </w:p>
        </w:tc>
        <w:tc>
          <w:tcPr>
            <w:tcW w:w="50" w:type="pct"/>
            <w:shd w:val="clear" w:color="auto" w:fill="FFFFFF"/>
            <w:tcMar>
              <w:top w:w="0" w:type="dxa"/>
              <w:left w:w="0" w:type="dxa"/>
              <w:bottom w:w="15" w:type="dxa"/>
              <w:right w:w="0" w:type="dxa"/>
            </w:tcMar>
            <w:vAlign w:val="bottom"/>
            <w:hideMark/>
          </w:tcPr>
          <w:p w14:paraId="2761BB0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B51611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C07D115"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42ECDEFB" w14:textId="77777777" w:rsidR="00000000" w:rsidRDefault="007E65A2">
            <w:pPr>
              <w:jc w:val="right"/>
              <w:rPr>
                <w:rFonts w:eastAsia="Times New Roman"/>
                <w:sz w:val="20"/>
                <w:szCs w:val="20"/>
              </w:rPr>
            </w:pPr>
            <w:r>
              <w:rPr>
                <w:rFonts w:eastAsia="Times New Roman"/>
                <w:sz w:val="20"/>
                <w:szCs w:val="20"/>
              </w:rPr>
              <w:t>80,334</w:t>
            </w:r>
          </w:p>
        </w:tc>
        <w:tc>
          <w:tcPr>
            <w:tcW w:w="50" w:type="pct"/>
            <w:shd w:val="clear" w:color="auto" w:fill="FFFFFF"/>
            <w:tcMar>
              <w:top w:w="0" w:type="dxa"/>
              <w:left w:w="0" w:type="dxa"/>
              <w:bottom w:w="15" w:type="dxa"/>
              <w:right w:w="0" w:type="dxa"/>
            </w:tcMar>
            <w:vAlign w:val="bottom"/>
            <w:hideMark/>
          </w:tcPr>
          <w:p w14:paraId="1433208C" w14:textId="77777777" w:rsidR="00000000" w:rsidRDefault="007E65A2">
            <w:pPr>
              <w:pStyle w:val="a3"/>
              <w:spacing w:before="0" w:beforeAutospacing="0" w:after="0" w:afterAutospacing="0"/>
              <w:jc w:val="both"/>
              <w:rPr>
                <w:sz w:val="20"/>
                <w:szCs w:val="20"/>
              </w:rPr>
            </w:pPr>
            <w:r>
              <w:rPr>
                <w:sz w:val="20"/>
                <w:szCs w:val="20"/>
              </w:rPr>
              <w:t> </w:t>
            </w:r>
          </w:p>
        </w:tc>
      </w:tr>
      <w:tr w:rsidR="00000000" w14:paraId="69333234" w14:textId="77777777">
        <w:trPr>
          <w:divId w:val="911279972"/>
          <w:tblCellSpacing w:w="0" w:type="dxa"/>
        </w:trPr>
        <w:tc>
          <w:tcPr>
            <w:tcW w:w="0" w:type="auto"/>
            <w:shd w:val="clear" w:color="auto" w:fill="CCEEFF"/>
            <w:hideMark/>
          </w:tcPr>
          <w:p w14:paraId="72CB3571" w14:textId="77777777" w:rsidR="00000000" w:rsidRDefault="007E65A2">
            <w:pPr>
              <w:pStyle w:val="a3"/>
              <w:spacing w:before="0" w:beforeAutospacing="0" w:after="0" w:afterAutospacing="0"/>
              <w:jc w:val="both"/>
              <w:rPr>
                <w:sz w:val="20"/>
                <w:szCs w:val="20"/>
              </w:rPr>
            </w:pPr>
            <w:r>
              <w:rPr>
                <w:sz w:val="20"/>
                <w:szCs w:val="20"/>
              </w:rPr>
              <w:t>Net Cash Used in Operating Activities</w:t>
            </w:r>
          </w:p>
        </w:tc>
        <w:tc>
          <w:tcPr>
            <w:tcW w:w="50" w:type="pct"/>
            <w:shd w:val="clear" w:color="auto" w:fill="CCEEFF"/>
            <w:vAlign w:val="bottom"/>
            <w:hideMark/>
          </w:tcPr>
          <w:p w14:paraId="78CE363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A03F50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4DB641C" w14:textId="77777777" w:rsidR="00000000" w:rsidRDefault="007E65A2">
            <w:pPr>
              <w:jc w:val="right"/>
              <w:rPr>
                <w:rFonts w:eastAsia="Times New Roman"/>
                <w:sz w:val="20"/>
                <w:szCs w:val="20"/>
              </w:rPr>
            </w:pPr>
            <w:r>
              <w:rPr>
                <w:rFonts w:eastAsia="Times New Roman"/>
                <w:sz w:val="20"/>
                <w:szCs w:val="20"/>
              </w:rPr>
              <w:t>(102,277</w:t>
            </w:r>
          </w:p>
        </w:tc>
        <w:tc>
          <w:tcPr>
            <w:tcW w:w="50" w:type="pct"/>
            <w:shd w:val="clear" w:color="auto" w:fill="CCEEFF"/>
            <w:tcMar>
              <w:top w:w="0" w:type="dxa"/>
              <w:left w:w="0" w:type="dxa"/>
              <w:bottom w:w="15" w:type="dxa"/>
              <w:right w:w="0" w:type="dxa"/>
            </w:tcMar>
            <w:vAlign w:val="bottom"/>
            <w:hideMark/>
          </w:tcPr>
          <w:p w14:paraId="0F9C4EDB"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7A89E26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6BE6D4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272B53A" w14:textId="77777777" w:rsidR="00000000" w:rsidRDefault="007E65A2">
            <w:pPr>
              <w:jc w:val="right"/>
              <w:rPr>
                <w:rFonts w:eastAsia="Times New Roman"/>
                <w:sz w:val="20"/>
                <w:szCs w:val="20"/>
              </w:rPr>
            </w:pPr>
            <w:r>
              <w:rPr>
                <w:rFonts w:eastAsia="Times New Roman"/>
                <w:sz w:val="20"/>
                <w:szCs w:val="20"/>
              </w:rPr>
              <w:t>(135,550</w:t>
            </w:r>
          </w:p>
        </w:tc>
        <w:tc>
          <w:tcPr>
            <w:tcW w:w="50" w:type="pct"/>
            <w:shd w:val="clear" w:color="auto" w:fill="CCEEFF"/>
            <w:tcMar>
              <w:top w:w="0" w:type="dxa"/>
              <w:left w:w="0" w:type="dxa"/>
              <w:bottom w:w="15" w:type="dxa"/>
              <w:right w:w="0" w:type="dxa"/>
            </w:tcMar>
            <w:vAlign w:val="bottom"/>
            <w:hideMark/>
          </w:tcPr>
          <w:p w14:paraId="259F3EA6" w14:textId="77777777" w:rsidR="00000000" w:rsidRDefault="007E65A2">
            <w:pPr>
              <w:jc w:val="both"/>
              <w:rPr>
                <w:rFonts w:eastAsia="Times New Roman"/>
                <w:sz w:val="20"/>
                <w:szCs w:val="20"/>
              </w:rPr>
            </w:pPr>
            <w:r>
              <w:rPr>
                <w:rFonts w:eastAsia="Times New Roman"/>
                <w:sz w:val="20"/>
                <w:szCs w:val="20"/>
              </w:rPr>
              <w:t>)</w:t>
            </w:r>
          </w:p>
        </w:tc>
      </w:tr>
      <w:tr w:rsidR="00000000" w14:paraId="6F8B24AE" w14:textId="77777777">
        <w:trPr>
          <w:divId w:val="911279972"/>
          <w:tblCellSpacing w:w="0" w:type="dxa"/>
        </w:trPr>
        <w:tc>
          <w:tcPr>
            <w:tcW w:w="0" w:type="auto"/>
            <w:shd w:val="clear" w:color="auto" w:fill="FFFFFF"/>
            <w:vAlign w:val="center"/>
            <w:hideMark/>
          </w:tcPr>
          <w:p w14:paraId="6C19F52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ADF4B4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3571EA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040F524"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709508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B640F5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8AD0F1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229A048"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1F6AE58" w14:textId="77777777" w:rsidR="00000000" w:rsidRDefault="007E65A2">
            <w:pPr>
              <w:pStyle w:val="a3"/>
              <w:spacing w:before="0" w:beforeAutospacing="0" w:after="0" w:afterAutospacing="0"/>
              <w:jc w:val="both"/>
              <w:rPr>
                <w:sz w:val="20"/>
                <w:szCs w:val="20"/>
              </w:rPr>
            </w:pPr>
            <w:r>
              <w:rPr>
                <w:sz w:val="20"/>
                <w:szCs w:val="20"/>
              </w:rPr>
              <w:t> </w:t>
            </w:r>
          </w:p>
        </w:tc>
      </w:tr>
      <w:tr w:rsidR="00000000" w14:paraId="45F25476" w14:textId="77777777">
        <w:trPr>
          <w:divId w:val="911279972"/>
          <w:tblCellSpacing w:w="0" w:type="dxa"/>
        </w:trPr>
        <w:tc>
          <w:tcPr>
            <w:tcW w:w="0" w:type="auto"/>
            <w:shd w:val="clear" w:color="auto" w:fill="CCEEFF"/>
            <w:hideMark/>
          </w:tcPr>
          <w:p w14:paraId="480B28B0" w14:textId="77777777" w:rsidR="00000000" w:rsidRDefault="007E65A2">
            <w:pPr>
              <w:pStyle w:val="a3"/>
              <w:spacing w:before="0" w:beforeAutospacing="0" w:after="0" w:afterAutospacing="0"/>
              <w:jc w:val="both"/>
              <w:rPr>
                <w:sz w:val="20"/>
                <w:szCs w:val="20"/>
              </w:rPr>
            </w:pPr>
            <w:r>
              <w:rPr>
                <w:b/>
                <w:bCs/>
                <w:sz w:val="20"/>
                <w:szCs w:val="20"/>
              </w:rPr>
              <w:t>CASH FLOWS FROM INVESTING ACTIVITIES</w:t>
            </w:r>
          </w:p>
        </w:tc>
        <w:tc>
          <w:tcPr>
            <w:tcW w:w="50" w:type="pct"/>
            <w:shd w:val="clear" w:color="auto" w:fill="CCEEFF"/>
            <w:vAlign w:val="bottom"/>
            <w:hideMark/>
          </w:tcPr>
          <w:p w14:paraId="6F24D40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2E8216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E568A97"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90FADC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98A8CD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34A4DB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493C950"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349EAA26" w14:textId="77777777" w:rsidR="00000000" w:rsidRDefault="007E65A2">
            <w:pPr>
              <w:pStyle w:val="a3"/>
              <w:spacing w:before="0" w:beforeAutospacing="0" w:after="0" w:afterAutospacing="0"/>
              <w:jc w:val="both"/>
              <w:rPr>
                <w:sz w:val="20"/>
                <w:szCs w:val="20"/>
              </w:rPr>
            </w:pPr>
            <w:r>
              <w:rPr>
                <w:sz w:val="20"/>
                <w:szCs w:val="20"/>
              </w:rPr>
              <w:t> </w:t>
            </w:r>
          </w:p>
        </w:tc>
      </w:tr>
      <w:tr w:rsidR="00000000" w14:paraId="0752766F" w14:textId="77777777">
        <w:trPr>
          <w:divId w:val="911279972"/>
          <w:tblCellSpacing w:w="0" w:type="dxa"/>
        </w:trPr>
        <w:tc>
          <w:tcPr>
            <w:tcW w:w="0" w:type="auto"/>
            <w:shd w:val="clear" w:color="auto" w:fill="FFFFFF"/>
            <w:hideMark/>
          </w:tcPr>
          <w:p w14:paraId="7C9F18D7" w14:textId="77777777" w:rsidR="00000000" w:rsidRDefault="007E65A2">
            <w:pPr>
              <w:pStyle w:val="a3"/>
              <w:spacing w:before="0" w:beforeAutospacing="0" w:after="0" w:afterAutospacing="0"/>
              <w:ind w:left="225"/>
              <w:jc w:val="both"/>
              <w:rPr>
                <w:sz w:val="20"/>
                <w:szCs w:val="20"/>
              </w:rPr>
            </w:pPr>
            <w:r>
              <w:rPr>
                <w:sz w:val="20"/>
                <w:szCs w:val="20"/>
              </w:rPr>
              <w:t>Investment in equity method investee</w:t>
            </w:r>
          </w:p>
        </w:tc>
        <w:tc>
          <w:tcPr>
            <w:tcW w:w="50" w:type="pct"/>
            <w:shd w:val="clear" w:color="auto" w:fill="FFFFFF"/>
            <w:vAlign w:val="bottom"/>
            <w:hideMark/>
          </w:tcPr>
          <w:p w14:paraId="7E88F879"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67B12A46"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12AFA410"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7735AB1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0F2654E"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4E253F38"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05F7380A" w14:textId="77777777" w:rsidR="00000000" w:rsidRDefault="007E65A2">
            <w:pPr>
              <w:jc w:val="right"/>
              <w:rPr>
                <w:rFonts w:eastAsia="Times New Roman"/>
                <w:sz w:val="20"/>
                <w:szCs w:val="20"/>
              </w:rPr>
            </w:pPr>
            <w:r>
              <w:rPr>
                <w:rFonts w:eastAsia="Times New Roman"/>
                <w:sz w:val="20"/>
                <w:szCs w:val="20"/>
              </w:rPr>
              <w:t>(25,000</w:t>
            </w:r>
          </w:p>
        </w:tc>
        <w:tc>
          <w:tcPr>
            <w:tcW w:w="50" w:type="pct"/>
            <w:shd w:val="clear" w:color="auto" w:fill="FFFFFF"/>
            <w:tcMar>
              <w:top w:w="0" w:type="dxa"/>
              <w:left w:w="0" w:type="dxa"/>
              <w:bottom w:w="15" w:type="dxa"/>
              <w:right w:w="0" w:type="dxa"/>
            </w:tcMar>
            <w:vAlign w:val="bottom"/>
            <w:hideMark/>
          </w:tcPr>
          <w:p w14:paraId="782D924C" w14:textId="77777777" w:rsidR="00000000" w:rsidRDefault="007E65A2">
            <w:pPr>
              <w:jc w:val="both"/>
              <w:rPr>
                <w:rFonts w:eastAsia="Times New Roman"/>
                <w:sz w:val="20"/>
                <w:szCs w:val="20"/>
              </w:rPr>
            </w:pPr>
            <w:r>
              <w:rPr>
                <w:rFonts w:eastAsia="Times New Roman"/>
                <w:sz w:val="20"/>
                <w:szCs w:val="20"/>
              </w:rPr>
              <w:t>)</w:t>
            </w:r>
          </w:p>
        </w:tc>
      </w:tr>
      <w:tr w:rsidR="00000000" w14:paraId="30EDF4A8" w14:textId="77777777">
        <w:trPr>
          <w:divId w:val="911279972"/>
          <w:tblCellSpacing w:w="0" w:type="dxa"/>
        </w:trPr>
        <w:tc>
          <w:tcPr>
            <w:tcW w:w="0" w:type="auto"/>
            <w:shd w:val="clear" w:color="auto" w:fill="CCEEFF"/>
            <w:hideMark/>
          </w:tcPr>
          <w:p w14:paraId="01962784" w14:textId="77777777" w:rsidR="00000000" w:rsidRDefault="007E65A2">
            <w:pPr>
              <w:pStyle w:val="a3"/>
              <w:spacing w:before="0" w:beforeAutospacing="0" w:after="0" w:afterAutospacing="0"/>
              <w:jc w:val="both"/>
              <w:rPr>
                <w:sz w:val="20"/>
                <w:szCs w:val="20"/>
              </w:rPr>
            </w:pPr>
            <w:r>
              <w:rPr>
                <w:sz w:val="20"/>
                <w:szCs w:val="20"/>
              </w:rPr>
              <w:t>Net cash used in Investing Activities</w:t>
            </w:r>
          </w:p>
        </w:tc>
        <w:tc>
          <w:tcPr>
            <w:tcW w:w="50" w:type="pct"/>
            <w:shd w:val="clear" w:color="auto" w:fill="CCEEFF"/>
            <w:vAlign w:val="bottom"/>
            <w:hideMark/>
          </w:tcPr>
          <w:p w14:paraId="7876A65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AD8BBC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7A810F6"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59FA79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EC960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745874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1629F3C" w14:textId="77777777" w:rsidR="00000000" w:rsidRDefault="007E65A2">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14:paraId="3F837360" w14:textId="77777777" w:rsidR="00000000" w:rsidRDefault="007E65A2">
            <w:pPr>
              <w:jc w:val="both"/>
              <w:rPr>
                <w:rFonts w:eastAsia="Times New Roman"/>
                <w:sz w:val="20"/>
                <w:szCs w:val="20"/>
              </w:rPr>
            </w:pPr>
            <w:r>
              <w:rPr>
                <w:rFonts w:eastAsia="Times New Roman"/>
                <w:sz w:val="20"/>
                <w:szCs w:val="20"/>
              </w:rPr>
              <w:t>)</w:t>
            </w:r>
          </w:p>
        </w:tc>
      </w:tr>
      <w:tr w:rsidR="00000000" w14:paraId="087DD867" w14:textId="77777777">
        <w:trPr>
          <w:divId w:val="911279972"/>
          <w:tblCellSpacing w:w="0" w:type="dxa"/>
        </w:trPr>
        <w:tc>
          <w:tcPr>
            <w:tcW w:w="0" w:type="auto"/>
            <w:shd w:val="clear" w:color="auto" w:fill="FFFFFF"/>
            <w:vAlign w:val="center"/>
            <w:hideMark/>
          </w:tcPr>
          <w:p w14:paraId="33CF9A9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E6B3AB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2B996B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4D6CDF5"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FA7F8B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9FC32C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B34068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5EA6E63"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D99988A" w14:textId="77777777" w:rsidR="00000000" w:rsidRDefault="007E65A2">
            <w:pPr>
              <w:pStyle w:val="a3"/>
              <w:spacing w:before="0" w:beforeAutospacing="0" w:after="0" w:afterAutospacing="0"/>
              <w:jc w:val="both"/>
              <w:rPr>
                <w:sz w:val="20"/>
                <w:szCs w:val="20"/>
              </w:rPr>
            </w:pPr>
            <w:r>
              <w:rPr>
                <w:sz w:val="20"/>
                <w:szCs w:val="20"/>
              </w:rPr>
              <w:t> </w:t>
            </w:r>
          </w:p>
        </w:tc>
      </w:tr>
      <w:tr w:rsidR="00000000" w14:paraId="4974AF04" w14:textId="77777777">
        <w:trPr>
          <w:divId w:val="911279972"/>
          <w:tblCellSpacing w:w="0" w:type="dxa"/>
        </w:trPr>
        <w:tc>
          <w:tcPr>
            <w:tcW w:w="0" w:type="auto"/>
            <w:shd w:val="clear" w:color="auto" w:fill="CCEEFF"/>
            <w:hideMark/>
          </w:tcPr>
          <w:p w14:paraId="5EE39B0B" w14:textId="77777777" w:rsidR="00000000" w:rsidRDefault="007E65A2">
            <w:pPr>
              <w:pStyle w:val="a3"/>
              <w:spacing w:before="0" w:beforeAutospacing="0" w:after="0" w:afterAutospacing="0"/>
              <w:jc w:val="both"/>
              <w:rPr>
                <w:sz w:val="20"/>
                <w:szCs w:val="20"/>
              </w:rPr>
            </w:pPr>
            <w:r>
              <w:rPr>
                <w:b/>
                <w:bCs/>
                <w:sz w:val="20"/>
                <w:szCs w:val="20"/>
              </w:rPr>
              <w:t>CASH FLOWS FROM FINANCING ACTIVITIES</w:t>
            </w:r>
          </w:p>
        </w:tc>
        <w:tc>
          <w:tcPr>
            <w:tcW w:w="50" w:type="pct"/>
            <w:shd w:val="clear" w:color="auto" w:fill="CCEEFF"/>
            <w:vAlign w:val="bottom"/>
            <w:hideMark/>
          </w:tcPr>
          <w:p w14:paraId="5CBFD49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4C0F7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EF9CA7A"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7FD9956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9450CE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0C98D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35130C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5CC9EC22" w14:textId="77777777" w:rsidR="00000000" w:rsidRDefault="007E65A2">
            <w:pPr>
              <w:pStyle w:val="a3"/>
              <w:spacing w:before="0" w:beforeAutospacing="0" w:after="0" w:afterAutospacing="0"/>
              <w:jc w:val="both"/>
              <w:rPr>
                <w:sz w:val="20"/>
                <w:szCs w:val="20"/>
              </w:rPr>
            </w:pPr>
            <w:r>
              <w:rPr>
                <w:sz w:val="20"/>
                <w:szCs w:val="20"/>
              </w:rPr>
              <w:t> </w:t>
            </w:r>
          </w:p>
        </w:tc>
      </w:tr>
      <w:tr w:rsidR="00000000" w14:paraId="66069927" w14:textId="77777777">
        <w:trPr>
          <w:divId w:val="911279972"/>
          <w:tblCellSpacing w:w="0" w:type="dxa"/>
        </w:trPr>
        <w:tc>
          <w:tcPr>
            <w:tcW w:w="0" w:type="auto"/>
            <w:shd w:val="clear" w:color="auto" w:fill="FFFFFF"/>
            <w:hideMark/>
          </w:tcPr>
          <w:p w14:paraId="1C6B150E" w14:textId="77777777" w:rsidR="00000000" w:rsidRDefault="007E65A2">
            <w:pPr>
              <w:pStyle w:val="a3"/>
              <w:spacing w:before="0" w:beforeAutospacing="0" w:after="0" w:afterAutospacing="0"/>
              <w:ind w:left="225"/>
              <w:jc w:val="both"/>
              <w:rPr>
                <w:sz w:val="20"/>
                <w:szCs w:val="20"/>
              </w:rPr>
            </w:pPr>
            <w:r>
              <w:rPr>
                <w:sz w:val="20"/>
                <w:szCs w:val="20"/>
              </w:rPr>
              <w:t>Issuance of common stock for cash and common stock payable</w:t>
            </w:r>
          </w:p>
        </w:tc>
        <w:tc>
          <w:tcPr>
            <w:tcW w:w="50" w:type="pct"/>
            <w:shd w:val="clear" w:color="auto" w:fill="FFFFFF"/>
            <w:vAlign w:val="bottom"/>
            <w:hideMark/>
          </w:tcPr>
          <w:p w14:paraId="5313837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EA6593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EB9AB03"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3E25A9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DBB590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752741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13BC848" w14:textId="77777777" w:rsidR="00000000" w:rsidRDefault="007E65A2">
            <w:pPr>
              <w:jc w:val="right"/>
              <w:rPr>
                <w:rFonts w:eastAsia="Times New Roman"/>
                <w:sz w:val="20"/>
                <w:szCs w:val="20"/>
              </w:rPr>
            </w:pPr>
            <w:r>
              <w:rPr>
                <w:rFonts w:eastAsia="Times New Roman"/>
                <w:sz w:val="20"/>
                <w:szCs w:val="20"/>
              </w:rPr>
              <w:t>200</w:t>
            </w:r>
          </w:p>
        </w:tc>
        <w:tc>
          <w:tcPr>
            <w:tcW w:w="50" w:type="pct"/>
            <w:shd w:val="clear" w:color="auto" w:fill="FFFFFF"/>
            <w:vAlign w:val="bottom"/>
            <w:hideMark/>
          </w:tcPr>
          <w:p w14:paraId="0D7F41A9" w14:textId="77777777" w:rsidR="00000000" w:rsidRDefault="007E65A2">
            <w:pPr>
              <w:pStyle w:val="a3"/>
              <w:spacing w:before="0" w:beforeAutospacing="0" w:after="0" w:afterAutospacing="0"/>
              <w:jc w:val="both"/>
              <w:rPr>
                <w:sz w:val="20"/>
                <w:szCs w:val="20"/>
              </w:rPr>
            </w:pPr>
            <w:r>
              <w:rPr>
                <w:sz w:val="20"/>
                <w:szCs w:val="20"/>
              </w:rPr>
              <w:t> </w:t>
            </w:r>
          </w:p>
        </w:tc>
      </w:tr>
      <w:tr w:rsidR="00000000" w14:paraId="52A2766C" w14:textId="77777777">
        <w:trPr>
          <w:divId w:val="911279972"/>
          <w:tblCellSpacing w:w="0" w:type="dxa"/>
        </w:trPr>
        <w:tc>
          <w:tcPr>
            <w:tcW w:w="0" w:type="auto"/>
            <w:shd w:val="clear" w:color="auto" w:fill="CCEEFF"/>
            <w:hideMark/>
          </w:tcPr>
          <w:p w14:paraId="262E662E" w14:textId="77777777" w:rsidR="00000000" w:rsidRDefault="007E65A2">
            <w:pPr>
              <w:pStyle w:val="a3"/>
              <w:spacing w:before="0" w:beforeAutospacing="0" w:after="0" w:afterAutospacing="0"/>
              <w:ind w:left="225"/>
              <w:jc w:val="both"/>
              <w:rPr>
                <w:sz w:val="20"/>
                <w:szCs w:val="20"/>
              </w:rPr>
            </w:pPr>
            <w:r>
              <w:rPr>
                <w:sz w:val="20"/>
                <w:szCs w:val="20"/>
              </w:rPr>
              <w:t>Proceeds from convertible notes payable, net of original issue discounts</w:t>
            </w:r>
          </w:p>
        </w:tc>
        <w:tc>
          <w:tcPr>
            <w:tcW w:w="50" w:type="pct"/>
            <w:shd w:val="clear" w:color="auto" w:fill="CCEEFF"/>
            <w:vAlign w:val="bottom"/>
            <w:hideMark/>
          </w:tcPr>
          <w:p w14:paraId="5D12B39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180D9F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73682FE" w14:textId="77777777" w:rsidR="00000000" w:rsidRDefault="007E65A2">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14:paraId="414C0ED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DE1E2F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DCBD7B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01E9E96" w14:textId="77777777" w:rsidR="00000000" w:rsidRDefault="007E65A2">
            <w:pPr>
              <w:jc w:val="right"/>
              <w:rPr>
                <w:rFonts w:eastAsia="Times New Roman"/>
                <w:sz w:val="20"/>
                <w:szCs w:val="20"/>
              </w:rPr>
            </w:pPr>
            <w:r>
              <w:rPr>
                <w:rFonts w:eastAsia="Times New Roman"/>
                <w:sz w:val="20"/>
                <w:szCs w:val="20"/>
              </w:rPr>
              <w:t>142,167</w:t>
            </w:r>
          </w:p>
        </w:tc>
        <w:tc>
          <w:tcPr>
            <w:tcW w:w="50" w:type="pct"/>
            <w:shd w:val="clear" w:color="auto" w:fill="CCEEFF"/>
            <w:vAlign w:val="bottom"/>
            <w:hideMark/>
          </w:tcPr>
          <w:p w14:paraId="01B68895" w14:textId="77777777" w:rsidR="00000000" w:rsidRDefault="007E65A2">
            <w:pPr>
              <w:pStyle w:val="a3"/>
              <w:spacing w:before="0" w:beforeAutospacing="0" w:after="0" w:afterAutospacing="0"/>
              <w:jc w:val="both"/>
              <w:rPr>
                <w:sz w:val="20"/>
                <w:szCs w:val="20"/>
              </w:rPr>
            </w:pPr>
            <w:r>
              <w:rPr>
                <w:sz w:val="20"/>
                <w:szCs w:val="20"/>
              </w:rPr>
              <w:t> </w:t>
            </w:r>
          </w:p>
        </w:tc>
      </w:tr>
      <w:tr w:rsidR="00000000" w14:paraId="05703DB0" w14:textId="77777777">
        <w:trPr>
          <w:divId w:val="911279972"/>
          <w:tblCellSpacing w:w="0" w:type="dxa"/>
        </w:trPr>
        <w:tc>
          <w:tcPr>
            <w:tcW w:w="0" w:type="auto"/>
            <w:shd w:val="clear" w:color="auto" w:fill="FFFFFF"/>
            <w:hideMark/>
          </w:tcPr>
          <w:p w14:paraId="3DA5F337" w14:textId="77777777" w:rsidR="00000000" w:rsidRDefault="007E65A2">
            <w:pPr>
              <w:pStyle w:val="a3"/>
              <w:spacing w:before="0" w:beforeAutospacing="0" w:after="0" w:afterAutospacing="0"/>
              <w:ind w:left="225"/>
              <w:jc w:val="both"/>
              <w:rPr>
                <w:sz w:val="20"/>
                <w:szCs w:val="20"/>
              </w:rPr>
            </w:pPr>
            <w:r>
              <w:rPr>
                <w:sz w:val="20"/>
                <w:szCs w:val="20"/>
              </w:rPr>
              <w:t>Proceeds from convertible notes payable - related party, net of original issue discounts</w:t>
            </w:r>
          </w:p>
        </w:tc>
        <w:tc>
          <w:tcPr>
            <w:tcW w:w="50" w:type="pct"/>
            <w:shd w:val="clear" w:color="auto" w:fill="FFFFFF"/>
            <w:vAlign w:val="bottom"/>
            <w:hideMark/>
          </w:tcPr>
          <w:p w14:paraId="227057A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ADE7C6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4565441"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EEB123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B2772B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368DE6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928DC13" w14:textId="77777777" w:rsidR="00000000" w:rsidRDefault="007E65A2">
            <w:pPr>
              <w:jc w:val="right"/>
              <w:rPr>
                <w:rFonts w:eastAsia="Times New Roman"/>
                <w:sz w:val="20"/>
                <w:szCs w:val="20"/>
              </w:rPr>
            </w:pPr>
            <w:r>
              <w:rPr>
                <w:rFonts w:eastAsia="Times New Roman"/>
                <w:sz w:val="20"/>
                <w:szCs w:val="20"/>
              </w:rPr>
              <w:t>8,333</w:t>
            </w:r>
          </w:p>
        </w:tc>
        <w:tc>
          <w:tcPr>
            <w:tcW w:w="50" w:type="pct"/>
            <w:shd w:val="clear" w:color="auto" w:fill="FFFFFF"/>
            <w:vAlign w:val="bottom"/>
            <w:hideMark/>
          </w:tcPr>
          <w:p w14:paraId="3F8FA9C2" w14:textId="77777777" w:rsidR="00000000" w:rsidRDefault="007E65A2">
            <w:pPr>
              <w:pStyle w:val="a3"/>
              <w:spacing w:before="0" w:beforeAutospacing="0" w:after="0" w:afterAutospacing="0"/>
              <w:jc w:val="both"/>
              <w:rPr>
                <w:sz w:val="20"/>
                <w:szCs w:val="20"/>
              </w:rPr>
            </w:pPr>
            <w:r>
              <w:rPr>
                <w:sz w:val="20"/>
                <w:szCs w:val="20"/>
              </w:rPr>
              <w:t> </w:t>
            </w:r>
          </w:p>
        </w:tc>
      </w:tr>
      <w:tr w:rsidR="00000000" w14:paraId="3B98F0C2" w14:textId="77777777">
        <w:trPr>
          <w:divId w:val="911279972"/>
          <w:tblCellSpacing w:w="0" w:type="dxa"/>
        </w:trPr>
        <w:tc>
          <w:tcPr>
            <w:tcW w:w="0" w:type="auto"/>
            <w:shd w:val="clear" w:color="auto" w:fill="CCEEFF"/>
            <w:hideMark/>
          </w:tcPr>
          <w:p w14:paraId="3DFB43FB" w14:textId="77777777" w:rsidR="00000000" w:rsidRDefault="007E65A2">
            <w:pPr>
              <w:pStyle w:val="a3"/>
              <w:spacing w:before="0" w:beforeAutospacing="0" w:after="0" w:afterAutospacing="0"/>
              <w:ind w:left="225"/>
              <w:jc w:val="both"/>
              <w:rPr>
                <w:sz w:val="20"/>
                <w:szCs w:val="20"/>
              </w:rPr>
            </w:pPr>
            <w:r>
              <w:rPr>
                <w:sz w:val="20"/>
                <w:szCs w:val="20"/>
              </w:rPr>
              <w:t>Proceeds from loan to related party</w:t>
            </w:r>
          </w:p>
        </w:tc>
        <w:tc>
          <w:tcPr>
            <w:tcW w:w="50" w:type="pct"/>
            <w:shd w:val="clear" w:color="auto" w:fill="CCEEFF"/>
            <w:vAlign w:val="bottom"/>
            <w:hideMark/>
          </w:tcPr>
          <w:p w14:paraId="6B6BD31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28F050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3C1DE4C" w14:textId="77777777" w:rsidR="00000000" w:rsidRDefault="007E65A2">
            <w:pPr>
              <w:jc w:val="right"/>
              <w:rPr>
                <w:rFonts w:eastAsia="Times New Roman"/>
                <w:sz w:val="20"/>
                <w:szCs w:val="20"/>
              </w:rPr>
            </w:pPr>
            <w:r>
              <w:rPr>
                <w:rFonts w:eastAsia="Times New Roman"/>
                <w:sz w:val="20"/>
                <w:szCs w:val="20"/>
              </w:rPr>
              <w:t>437</w:t>
            </w:r>
          </w:p>
        </w:tc>
        <w:tc>
          <w:tcPr>
            <w:tcW w:w="50" w:type="pct"/>
            <w:shd w:val="clear" w:color="auto" w:fill="CCEEFF"/>
            <w:vAlign w:val="bottom"/>
            <w:hideMark/>
          </w:tcPr>
          <w:p w14:paraId="1F79FF4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641F47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B4C7E9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0A1C012" w14:textId="77777777" w:rsidR="00000000" w:rsidRDefault="007E65A2">
            <w:pPr>
              <w:jc w:val="right"/>
              <w:rPr>
                <w:rFonts w:eastAsia="Times New Roman"/>
                <w:sz w:val="20"/>
                <w:szCs w:val="20"/>
              </w:rPr>
            </w:pPr>
            <w:r>
              <w:rPr>
                <w:rFonts w:eastAsia="Times New Roman"/>
                <w:sz w:val="20"/>
                <w:szCs w:val="20"/>
              </w:rPr>
              <w:t>21,098</w:t>
            </w:r>
          </w:p>
        </w:tc>
        <w:tc>
          <w:tcPr>
            <w:tcW w:w="50" w:type="pct"/>
            <w:shd w:val="clear" w:color="auto" w:fill="CCEEFF"/>
            <w:vAlign w:val="bottom"/>
            <w:hideMark/>
          </w:tcPr>
          <w:p w14:paraId="6852627B" w14:textId="77777777" w:rsidR="00000000" w:rsidRDefault="007E65A2">
            <w:pPr>
              <w:pStyle w:val="a3"/>
              <w:spacing w:before="0" w:beforeAutospacing="0" w:after="0" w:afterAutospacing="0"/>
              <w:jc w:val="both"/>
              <w:rPr>
                <w:sz w:val="20"/>
                <w:szCs w:val="20"/>
              </w:rPr>
            </w:pPr>
            <w:r>
              <w:rPr>
                <w:sz w:val="20"/>
                <w:szCs w:val="20"/>
              </w:rPr>
              <w:t> </w:t>
            </w:r>
          </w:p>
        </w:tc>
      </w:tr>
      <w:tr w:rsidR="00000000" w14:paraId="06C09C24" w14:textId="77777777">
        <w:trPr>
          <w:divId w:val="911279972"/>
          <w:tblCellSpacing w:w="0" w:type="dxa"/>
        </w:trPr>
        <w:tc>
          <w:tcPr>
            <w:tcW w:w="0" w:type="auto"/>
            <w:shd w:val="clear" w:color="auto" w:fill="FFFFFF"/>
            <w:hideMark/>
          </w:tcPr>
          <w:p w14:paraId="755927C7" w14:textId="77777777" w:rsidR="00000000" w:rsidRDefault="007E65A2">
            <w:pPr>
              <w:pStyle w:val="a3"/>
              <w:spacing w:before="0" w:beforeAutospacing="0" w:after="0" w:afterAutospacing="0"/>
              <w:ind w:left="225"/>
              <w:jc w:val="both"/>
              <w:rPr>
                <w:sz w:val="20"/>
                <w:szCs w:val="20"/>
              </w:rPr>
            </w:pPr>
            <w:r>
              <w:rPr>
                <w:sz w:val="20"/>
                <w:szCs w:val="20"/>
              </w:rPr>
              <w:t>Repayment of loan to related party</w:t>
            </w:r>
          </w:p>
        </w:tc>
        <w:tc>
          <w:tcPr>
            <w:tcW w:w="50" w:type="pct"/>
            <w:shd w:val="clear" w:color="auto" w:fill="FFFFFF"/>
            <w:vAlign w:val="bottom"/>
            <w:hideMark/>
          </w:tcPr>
          <w:p w14:paraId="7857ED4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6037DED1"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5A6BE026" w14:textId="77777777" w:rsidR="00000000" w:rsidRDefault="007E65A2">
            <w:pPr>
              <w:jc w:val="right"/>
              <w:rPr>
                <w:rFonts w:eastAsia="Times New Roman"/>
                <w:sz w:val="20"/>
                <w:szCs w:val="20"/>
              </w:rPr>
            </w:pPr>
            <w:r>
              <w:rPr>
                <w:rFonts w:eastAsia="Times New Roman"/>
                <w:sz w:val="20"/>
                <w:szCs w:val="20"/>
              </w:rPr>
              <w:t>(300</w:t>
            </w:r>
          </w:p>
        </w:tc>
        <w:tc>
          <w:tcPr>
            <w:tcW w:w="50" w:type="pct"/>
            <w:shd w:val="clear" w:color="auto" w:fill="FFFFFF"/>
            <w:tcMar>
              <w:top w:w="0" w:type="dxa"/>
              <w:left w:w="0" w:type="dxa"/>
              <w:bottom w:w="15" w:type="dxa"/>
              <w:right w:w="0" w:type="dxa"/>
            </w:tcMar>
            <w:vAlign w:val="bottom"/>
            <w:hideMark/>
          </w:tcPr>
          <w:p w14:paraId="7783050B"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78655EC5"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63F19B6F"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46E4D282" w14:textId="77777777" w:rsidR="00000000" w:rsidRDefault="007E65A2">
            <w:pPr>
              <w:jc w:val="right"/>
              <w:rPr>
                <w:rFonts w:eastAsia="Times New Roman"/>
                <w:sz w:val="20"/>
                <w:szCs w:val="20"/>
              </w:rPr>
            </w:pPr>
            <w:r>
              <w:rPr>
                <w:rFonts w:eastAsia="Times New Roman"/>
                <w:sz w:val="20"/>
                <w:szCs w:val="20"/>
              </w:rPr>
              <w:t>(6,619</w:t>
            </w:r>
          </w:p>
        </w:tc>
        <w:tc>
          <w:tcPr>
            <w:tcW w:w="50" w:type="pct"/>
            <w:shd w:val="clear" w:color="auto" w:fill="FFFFFF"/>
            <w:tcMar>
              <w:top w:w="0" w:type="dxa"/>
              <w:left w:w="0" w:type="dxa"/>
              <w:bottom w:w="15" w:type="dxa"/>
              <w:right w:w="0" w:type="dxa"/>
            </w:tcMar>
            <w:vAlign w:val="bottom"/>
            <w:hideMark/>
          </w:tcPr>
          <w:p w14:paraId="536C8F41" w14:textId="77777777" w:rsidR="00000000" w:rsidRDefault="007E65A2">
            <w:pPr>
              <w:jc w:val="both"/>
              <w:rPr>
                <w:rFonts w:eastAsia="Times New Roman"/>
                <w:sz w:val="20"/>
                <w:szCs w:val="20"/>
              </w:rPr>
            </w:pPr>
            <w:r>
              <w:rPr>
                <w:rFonts w:eastAsia="Times New Roman"/>
                <w:sz w:val="20"/>
                <w:szCs w:val="20"/>
              </w:rPr>
              <w:t>)</w:t>
            </w:r>
          </w:p>
        </w:tc>
      </w:tr>
      <w:tr w:rsidR="00000000" w14:paraId="7BE07A23" w14:textId="77777777">
        <w:trPr>
          <w:divId w:val="911279972"/>
          <w:tblCellSpacing w:w="0" w:type="dxa"/>
        </w:trPr>
        <w:tc>
          <w:tcPr>
            <w:tcW w:w="0" w:type="auto"/>
            <w:shd w:val="clear" w:color="auto" w:fill="CCEEFF"/>
            <w:hideMark/>
          </w:tcPr>
          <w:p w14:paraId="2632B74B" w14:textId="77777777" w:rsidR="00000000" w:rsidRDefault="007E65A2">
            <w:pPr>
              <w:pStyle w:val="a3"/>
              <w:spacing w:before="0" w:beforeAutospacing="0" w:after="0" w:afterAutospacing="0"/>
              <w:jc w:val="both"/>
              <w:rPr>
                <w:sz w:val="20"/>
                <w:szCs w:val="20"/>
              </w:rPr>
            </w:pPr>
            <w:r>
              <w:rPr>
                <w:sz w:val="20"/>
                <w:szCs w:val="20"/>
              </w:rPr>
              <w:t>Net cash provided by Financing Activities</w:t>
            </w:r>
          </w:p>
        </w:tc>
        <w:tc>
          <w:tcPr>
            <w:tcW w:w="50" w:type="pct"/>
            <w:shd w:val="clear" w:color="auto" w:fill="CCEEFF"/>
            <w:vAlign w:val="bottom"/>
            <w:hideMark/>
          </w:tcPr>
          <w:p w14:paraId="02AE842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C107FB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0008E7D" w14:textId="77777777" w:rsidR="00000000" w:rsidRDefault="007E65A2">
            <w:pPr>
              <w:jc w:val="right"/>
              <w:rPr>
                <w:rFonts w:eastAsia="Times New Roman"/>
                <w:sz w:val="20"/>
                <w:szCs w:val="20"/>
              </w:rPr>
            </w:pPr>
            <w:r>
              <w:rPr>
                <w:rFonts w:eastAsia="Times New Roman"/>
                <w:sz w:val="20"/>
                <w:szCs w:val="20"/>
              </w:rPr>
              <w:t>100,137</w:t>
            </w:r>
          </w:p>
        </w:tc>
        <w:tc>
          <w:tcPr>
            <w:tcW w:w="50" w:type="pct"/>
            <w:shd w:val="clear" w:color="auto" w:fill="CCEEFF"/>
            <w:tcMar>
              <w:top w:w="0" w:type="dxa"/>
              <w:left w:w="0" w:type="dxa"/>
              <w:bottom w:w="15" w:type="dxa"/>
              <w:right w:w="0" w:type="dxa"/>
            </w:tcMar>
            <w:vAlign w:val="bottom"/>
            <w:hideMark/>
          </w:tcPr>
          <w:p w14:paraId="5067175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DF66A5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59BB3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A6FBDEA" w14:textId="77777777" w:rsidR="00000000" w:rsidRDefault="007E65A2">
            <w:pPr>
              <w:jc w:val="right"/>
              <w:rPr>
                <w:rFonts w:eastAsia="Times New Roman"/>
                <w:sz w:val="20"/>
                <w:szCs w:val="20"/>
              </w:rPr>
            </w:pPr>
            <w:r>
              <w:rPr>
                <w:rFonts w:eastAsia="Times New Roman"/>
                <w:sz w:val="20"/>
                <w:szCs w:val="20"/>
              </w:rPr>
              <w:t>165,179</w:t>
            </w:r>
          </w:p>
        </w:tc>
        <w:tc>
          <w:tcPr>
            <w:tcW w:w="50" w:type="pct"/>
            <w:shd w:val="clear" w:color="auto" w:fill="CCEEFF"/>
            <w:tcMar>
              <w:top w:w="0" w:type="dxa"/>
              <w:left w:w="0" w:type="dxa"/>
              <w:bottom w:w="15" w:type="dxa"/>
              <w:right w:w="0" w:type="dxa"/>
            </w:tcMar>
            <w:vAlign w:val="bottom"/>
            <w:hideMark/>
          </w:tcPr>
          <w:p w14:paraId="6BD595CB" w14:textId="77777777" w:rsidR="00000000" w:rsidRDefault="007E65A2">
            <w:pPr>
              <w:pStyle w:val="a3"/>
              <w:spacing w:before="0" w:beforeAutospacing="0" w:after="0" w:afterAutospacing="0"/>
              <w:jc w:val="both"/>
              <w:rPr>
                <w:sz w:val="20"/>
                <w:szCs w:val="20"/>
              </w:rPr>
            </w:pPr>
            <w:r>
              <w:rPr>
                <w:sz w:val="20"/>
                <w:szCs w:val="20"/>
              </w:rPr>
              <w:t> </w:t>
            </w:r>
          </w:p>
        </w:tc>
      </w:tr>
      <w:tr w:rsidR="00000000" w14:paraId="192A7B94" w14:textId="77777777">
        <w:trPr>
          <w:divId w:val="911279972"/>
          <w:tblCellSpacing w:w="0" w:type="dxa"/>
        </w:trPr>
        <w:tc>
          <w:tcPr>
            <w:tcW w:w="0" w:type="auto"/>
            <w:shd w:val="clear" w:color="auto" w:fill="FFFFFF"/>
            <w:vAlign w:val="center"/>
            <w:hideMark/>
          </w:tcPr>
          <w:p w14:paraId="6DBA986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A75CC3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427116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9D3463A"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93A068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219FCC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A0348E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B112522"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BCA40F2" w14:textId="77777777" w:rsidR="00000000" w:rsidRDefault="007E65A2">
            <w:pPr>
              <w:pStyle w:val="a3"/>
              <w:spacing w:before="0" w:beforeAutospacing="0" w:after="0" w:afterAutospacing="0"/>
              <w:jc w:val="both"/>
              <w:rPr>
                <w:sz w:val="20"/>
                <w:szCs w:val="20"/>
              </w:rPr>
            </w:pPr>
            <w:r>
              <w:rPr>
                <w:sz w:val="20"/>
                <w:szCs w:val="20"/>
              </w:rPr>
              <w:t> </w:t>
            </w:r>
          </w:p>
        </w:tc>
      </w:tr>
      <w:tr w:rsidR="00000000" w14:paraId="1D4FDEA9" w14:textId="77777777">
        <w:trPr>
          <w:divId w:val="911279972"/>
          <w:tblCellSpacing w:w="0" w:type="dxa"/>
        </w:trPr>
        <w:tc>
          <w:tcPr>
            <w:tcW w:w="0" w:type="auto"/>
            <w:shd w:val="clear" w:color="auto" w:fill="CCEEFF"/>
            <w:hideMark/>
          </w:tcPr>
          <w:p w14:paraId="0DD39364" w14:textId="77777777" w:rsidR="00000000" w:rsidRDefault="007E65A2">
            <w:pPr>
              <w:pStyle w:val="a3"/>
              <w:spacing w:before="0" w:beforeAutospacing="0" w:after="0" w:afterAutospacing="0"/>
              <w:jc w:val="both"/>
              <w:rPr>
                <w:sz w:val="20"/>
                <w:szCs w:val="20"/>
              </w:rPr>
            </w:pPr>
            <w:r>
              <w:rPr>
                <w:sz w:val="20"/>
                <w:szCs w:val="20"/>
              </w:rPr>
              <w:t>Net change in cash for period</w:t>
            </w:r>
          </w:p>
        </w:tc>
        <w:tc>
          <w:tcPr>
            <w:tcW w:w="50" w:type="pct"/>
            <w:shd w:val="clear" w:color="auto" w:fill="CCEEFF"/>
            <w:vAlign w:val="bottom"/>
            <w:hideMark/>
          </w:tcPr>
          <w:p w14:paraId="08CA26C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3DF2F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99EA554" w14:textId="77777777" w:rsidR="00000000" w:rsidRDefault="007E65A2">
            <w:pPr>
              <w:jc w:val="right"/>
              <w:rPr>
                <w:rFonts w:eastAsia="Times New Roman"/>
                <w:sz w:val="20"/>
                <w:szCs w:val="20"/>
              </w:rPr>
            </w:pPr>
            <w:r>
              <w:rPr>
                <w:rFonts w:eastAsia="Times New Roman"/>
                <w:sz w:val="20"/>
                <w:szCs w:val="20"/>
              </w:rPr>
              <w:t>(2,140</w:t>
            </w:r>
          </w:p>
        </w:tc>
        <w:tc>
          <w:tcPr>
            <w:tcW w:w="50" w:type="pct"/>
            <w:shd w:val="clear" w:color="auto" w:fill="CCEEFF"/>
            <w:vAlign w:val="bottom"/>
            <w:hideMark/>
          </w:tcPr>
          <w:p w14:paraId="163958D1"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3111007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44C04C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3608344" w14:textId="77777777" w:rsidR="00000000" w:rsidRDefault="007E65A2">
            <w:pPr>
              <w:jc w:val="right"/>
              <w:rPr>
                <w:rFonts w:eastAsia="Times New Roman"/>
                <w:sz w:val="20"/>
                <w:szCs w:val="20"/>
              </w:rPr>
            </w:pPr>
            <w:r>
              <w:rPr>
                <w:rFonts w:eastAsia="Times New Roman"/>
                <w:sz w:val="20"/>
                <w:szCs w:val="20"/>
              </w:rPr>
              <w:t>4,629</w:t>
            </w:r>
          </w:p>
        </w:tc>
        <w:tc>
          <w:tcPr>
            <w:tcW w:w="50" w:type="pct"/>
            <w:shd w:val="clear" w:color="auto" w:fill="CCEEFF"/>
            <w:vAlign w:val="bottom"/>
            <w:hideMark/>
          </w:tcPr>
          <w:p w14:paraId="48987F13" w14:textId="77777777" w:rsidR="00000000" w:rsidRDefault="007E65A2">
            <w:pPr>
              <w:pStyle w:val="a3"/>
              <w:spacing w:before="0" w:beforeAutospacing="0" w:after="0" w:afterAutospacing="0"/>
              <w:jc w:val="both"/>
              <w:rPr>
                <w:sz w:val="20"/>
                <w:szCs w:val="20"/>
              </w:rPr>
            </w:pPr>
            <w:r>
              <w:rPr>
                <w:sz w:val="20"/>
                <w:szCs w:val="20"/>
              </w:rPr>
              <w:t> </w:t>
            </w:r>
          </w:p>
        </w:tc>
      </w:tr>
      <w:tr w:rsidR="00000000" w14:paraId="1DF3AF80" w14:textId="77777777">
        <w:trPr>
          <w:divId w:val="911279972"/>
          <w:tblCellSpacing w:w="0" w:type="dxa"/>
        </w:trPr>
        <w:tc>
          <w:tcPr>
            <w:tcW w:w="0" w:type="auto"/>
            <w:shd w:val="clear" w:color="auto" w:fill="FFFFFF"/>
            <w:hideMark/>
          </w:tcPr>
          <w:p w14:paraId="1C1DBC4F" w14:textId="77777777" w:rsidR="00000000" w:rsidRDefault="007E65A2">
            <w:pPr>
              <w:pStyle w:val="a3"/>
              <w:spacing w:before="0" w:beforeAutospacing="0" w:after="0" w:afterAutospacing="0"/>
              <w:jc w:val="both"/>
              <w:rPr>
                <w:sz w:val="20"/>
                <w:szCs w:val="20"/>
              </w:rPr>
            </w:pPr>
            <w:r>
              <w:rPr>
                <w:sz w:val="20"/>
                <w:szCs w:val="20"/>
              </w:rPr>
              <w:t>Cash at beginning of period</w:t>
            </w:r>
          </w:p>
        </w:tc>
        <w:tc>
          <w:tcPr>
            <w:tcW w:w="50" w:type="pct"/>
            <w:shd w:val="clear" w:color="auto" w:fill="FFFFFF"/>
            <w:vAlign w:val="bottom"/>
            <w:hideMark/>
          </w:tcPr>
          <w:p w14:paraId="3BCDDE0B"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63CC2070"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29055DBA" w14:textId="77777777" w:rsidR="00000000" w:rsidRDefault="007E65A2">
            <w:pPr>
              <w:jc w:val="right"/>
              <w:rPr>
                <w:rFonts w:eastAsia="Times New Roman"/>
                <w:sz w:val="20"/>
                <w:szCs w:val="20"/>
              </w:rPr>
            </w:pPr>
            <w:r>
              <w:rPr>
                <w:rFonts w:eastAsia="Times New Roman"/>
                <w:sz w:val="20"/>
                <w:szCs w:val="20"/>
              </w:rPr>
              <w:t>47,196</w:t>
            </w:r>
          </w:p>
        </w:tc>
        <w:tc>
          <w:tcPr>
            <w:tcW w:w="50" w:type="pct"/>
            <w:shd w:val="clear" w:color="auto" w:fill="FFFFFF"/>
            <w:tcMar>
              <w:top w:w="0" w:type="dxa"/>
              <w:left w:w="0" w:type="dxa"/>
              <w:bottom w:w="15" w:type="dxa"/>
              <w:right w:w="0" w:type="dxa"/>
            </w:tcMar>
            <w:vAlign w:val="bottom"/>
            <w:hideMark/>
          </w:tcPr>
          <w:p w14:paraId="4DE977C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0A49A2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15BBB9D8"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5DD552DB" w14:textId="77777777" w:rsidR="00000000" w:rsidRDefault="007E65A2">
            <w:pPr>
              <w:jc w:val="right"/>
              <w:rPr>
                <w:rFonts w:eastAsia="Times New Roman"/>
                <w:sz w:val="20"/>
                <w:szCs w:val="20"/>
              </w:rPr>
            </w:pPr>
            <w:r>
              <w:rPr>
                <w:rFonts w:eastAsia="Times New Roman"/>
                <w:sz w:val="20"/>
                <w:szCs w:val="20"/>
              </w:rPr>
              <w:t>42,567</w:t>
            </w:r>
          </w:p>
        </w:tc>
        <w:tc>
          <w:tcPr>
            <w:tcW w:w="50" w:type="pct"/>
            <w:shd w:val="clear" w:color="auto" w:fill="FFFFFF"/>
            <w:tcMar>
              <w:top w:w="0" w:type="dxa"/>
              <w:left w:w="0" w:type="dxa"/>
              <w:bottom w:w="15" w:type="dxa"/>
              <w:right w:w="0" w:type="dxa"/>
            </w:tcMar>
            <w:vAlign w:val="bottom"/>
            <w:hideMark/>
          </w:tcPr>
          <w:p w14:paraId="5BD88F06" w14:textId="77777777" w:rsidR="00000000" w:rsidRDefault="007E65A2">
            <w:pPr>
              <w:pStyle w:val="a3"/>
              <w:spacing w:before="0" w:beforeAutospacing="0" w:after="0" w:afterAutospacing="0"/>
              <w:jc w:val="both"/>
              <w:rPr>
                <w:sz w:val="20"/>
                <w:szCs w:val="20"/>
              </w:rPr>
            </w:pPr>
            <w:r>
              <w:rPr>
                <w:sz w:val="20"/>
                <w:szCs w:val="20"/>
              </w:rPr>
              <w:t> </w:t>
            </w:r>
          </w:p>
        </w:tc>
      </w:tr>
      <w:tr w:rsidR="00000000" w14:paraId="1256897E" w14:textId="77777777">
        <w:trPr>
          <w:divId w:val="911279972"/>
          <w:tblCellSpacing w:w="0" w:type="dxa"/>
        </w:trPr>
        <w:tc>
          <w:tcPr>
            <w:tcW w:w="0" w:type="auto"/>
            <w:shd w:val="clear" w:color="auto" w:fill="CCEEFF"/>
            <w:hideMark/>
          </w:tcPr>
          <w:p w14:paraId="28A07E91" w14:textId="77777777" w:rsidR="00000000" w:rsidRDefault="007E65A2">
            <w:pPr>
              <w:pStyle w:val="a3"/>
              <w:spacing w:before="0" w:beforeAutospacing="0" w:after="0" w:afterAutospacing="0"/>
              <w:jc w:val="both"/>
              <w:rPr>
                <w:sz w:val="20"/>
                <w:szCs w:val="20"/>
              </w:rPr>
            </w:pPr>
            <w:r>
              <w:rPr>
                <w:sz w:val="20"/>
                <w:szCs w:val="20"/>
              </w:rPr>
              <w:t>Cash at end of period</w:t>
            </w:r>
          </w:p>
        </w:tc>
        <w:tc>
          <w:tcPr>
            <w:tcW w:w="50" w:type="pct"/>
            <w:shd w:val="clear" w:color="auto" w:fill="CCEEFF"/>
            <w:vAlign w:val="bottom"/>
            <w:hideMark/>
          </w:tcPr>
          <w:p w14:paraId="30245BF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7DE7E92A"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4E8EE70" w14:textId="77777777" w:rsidR="00000000" w:rsidRDefault="007E65A2">
            <w:pPr>
              <w:jc w:val="right"/>
              <w:rPr>
                <w:rFonts w:eastAsia="Times New Roman"/>
                <w:sz w:val="20"/>
                <w:szCs w:val="20"/>
              </w:rPr>
            </w:pPr>
            <w:r>
              <w:rPr>
                <w:rFonts w:eastAsia="Times New Roman"/>
                <w:sz w:val="20"/>
                <w:szCs w:val="20"/>
              </w:rPr>
              <w:t>45,056</w:t>
            </w:r>
          </w:p>
        </w:tc>
        <w:tc>
          <w:tcPr>
            <w:tcW w:w="50" w:type="pct"/>
            <w:shd w:val="clear" w:color="auto" w:fill="CCEEFF"/>
            <w:tcMar>
              <w:top w:w="0" w:type="dxa"/>
              <w:left w:w="0" w:type="dxa"/>
              <w:bottom w:w="45" w:type="dxa"/>
              <w:right w:w="0" w:type="dxa"/>
            </w:tcMar>
            <w:vAlign w:val="bottom"/>
            <w:hideMark/>
          </w:tcPr>
          <w:p w14:paraId="3710140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EDD4C79"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0ACBA86F"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2096225" w14:textId="77777777" w:rsidR="00000000" w:rsidRDefault="007E65A2">
            <w:pPr>
              <w:jc w:val="right"/>
              <w:rPr>
                <w:rFonts w:eastAsia="Times New Roman"/>
                <w:sz w:val="20"/>
                <w:szCs w:val="20"/>
              </w:rPr>
            </w:pPr>
            <w:r>
              <w:rPr>
                <w:rFonts w:eastAsia="Times New Roman"/>
                <w:sz w:val="20"/>
                <w:szCs w:val="20"/>
              </w:rPr>
              <w:t>47,196</w:t>
            </w:r>
          </w:p>
        </w:tc>
        <w:tc>
          <w:tcPr>
            <w:tcW w:w="50" w:type="pct"/>
            <w:shd w:val="clear" w:color="auto" w:fill="CCEEFF"/>
            <w:tcMar>
              <w:top w:w="0" w:type="dxa"/>
              <w:left w:w="0" w:type="dxa"/>
              <w:bottom w:w="45" w:type="dxa"/>
              <w:right w:w="0" w:type="dxa"/>
            </w:tcMar>
            <w:vAlign w:val="bottom"/>
            <w:hideMark/>
          </w:tcPr>
          <w:p w14:paraId="7D070BA4" w14:textId="77777777" w:rsidR="00000000" w:rsidRDefault="007E65A2">
            <w:pPr>
              <w:pStyle w:val="a3"/>
              <w:spacing w:before="0" w:beforeAutospacing="0" w:after="0" w:afterAutospacing="0"/>
              <w:jc w:val="both"/>
              <w:rPr>
                <w:sz w:val="20"/>
                <w:szCs w:val="20"/>
              </w:rPr>
            </w:pPr>
            <w:r>
              <w:rPr>
                <w:sz w:val="20"/>
                <w:szCs w:val="20"/>
              </w:rPr>
              <w:t> </w:t>
            </w:r>
          </w:p>
        </w:tc>
      </w:tr>
      <w:tr w:rsidR="00000000" w14:paraId="5BCEA6FC" w14:textId="77777777">
        <w:trPr>
          <w:divId w:val="911279972"/>
          <w:tblCellSpacing w:w="0" w:type="dxa"/>
        </w:trPr>
        <w:tc>
          <w:tcPr>
            <w:tcW w:w="0" w:type="auto"/>
            <w:shd w:val="clear" w:color="auto" w:fill="FFFFFF"/>
            <w:vAlign w:val="center"/>
            <w:hideMark/>
          </w:tcPr>
          <w:p w14:paraId="1CE5647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74B095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4B1EA4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8749A6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C55272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9CB0D8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DD2EDA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FF3F1F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C956EF7" w14:textId="77777777" w:rsidR="00000000" w:rsidRDefault="007E65A2">
            <w:pPr>
              <w:pStyle w:val="a3"/>
              <w:spacing w:before="0" w:beforeAutospacing="0" w:after="0" w:afterAutospacing="0"/>
              <w:jc w:val="both"/>
              <w:rPr>
                <w:sz w:val="20"/>
                <w:szCs w:val="20"/>
              </w:rPr>
            </w:pPr>
            <w:r>
              <w:rPr>
                <w:sz w:val="20"/>
                <w:szCs w:val="20"/>
              </w:rPr>
              <w:t> </w:t>
            </w:r>
          </w:p>
        </w:tc>
      </w:tr>
      <w:tr w:rsidR="00000000" w14:paraId="37A3C911" w14:textId="77777777">
        <w:trPr>
          <w:divId w:val="911279972"/>
          <w:tblCellSpacing w:w="0" w:type="dxa"/>
        </w:trPr>
        <w:tc>
          <w:tcPr>
            <w:tcW w:w="0" w:type="auto"/>
            <w:shd w:val="clear" w:color="auto" w:fill="CCEEFF"/>
            <w:hideMark/>
          </w:tcPr>
          <w:p w14:paraId="21E906A9" w14:textId="77777777" w:rsidR="00000000" w:rsidRDefault="007E65A2">
            <w:pPr>
              <w:pStyle w:val="a3"/>
              <w:spacing w:before="0" w:beforeAutospacing="0" w:after="0" w:afterAutospacing="0"/>
              <w:jc w:val="both"/>
              <w:rPr>
                <w:sz w:val="20"/>
                <w:szCs w:val="20"/>
              </w:rPr>
            </w:pPr>
            <w:r>
              <w:rPr>
                <w:b/>
                <w:bCs/>
                <w:sz w:val="20"/>
                <w:szCs w:val="20"/>
              </w:rPr>
              <w:t>SUPPLEMENTAL CASH FLOW INFORMATION:</w:t>
            </w:r>
          </w:p>
        </w:tc>
        <w:tc>
          <w:tcPr>
            <w:tcW w:w="50" w:type="pct"/>
            <w:shd w:val="clear" w:color="auto" w:fill="CCEEFF"/>
            <w:vAlign w:val="bottom"/>
            <w:hideMark/>
          </w:tcPr>
          <w:p w14:paraId="03B1579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57904C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EBA3657"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58C389D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8BB59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AC2AD2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978E989"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3EA41419" w14:textId="77777777" w:rsidR="00000000" w:rsidRDefault="007E65A2">
            <w:pPr>
              <w:pStyle w:val="a3"/>
              <w:spacing w:before="0" w:beforeAutospacing="0" w:after="0" w:afterAutospacing="0"/>
              <w:jc w:val="both"/>
              <w:rPr>
                <w:sz w:val="20"/>
                <w:szCs w:val="20"/>
              </w:rPr>
            </w:pPr>
            <w:r>
              <w:rPr>
                <w:sz w:val="20"/>
                <w:szCs w:val="20"/>
              </w:rPr>
              <w:t> </w:t>
            </w:r>
          </w:p>
        </w:tc>
      </w:tr>
      <w:tr w:rsidR="00000000" w14:paraId="0585C902" w14:textId="77777777">
        <w:trPr>
          <w:divId w:val="911279972"/>
          <w:tblCellSpacing w:w="0" w:type="dxa"/>
        </w:trPr>
        <w:tc>
          <w:tcPr>
            <w:tcW w:w="0" w:type="auto"/>
            <w:shd w:val="clear" w:color="auto" w:fill="FFFFFF"/>
            <w:hideMark/>
          </w:tcPr>
          <w:p w14:paraId="21655DAE" w14:textId="77777777" w:rsidR="00000000" w:rsidRDefault="007E65A2">
            <w:pPr>
              <w:pStyle w:val="a3"/>
              <w:spacing w:before="0" w:beforeAutospacing="0" w:after="0" w:afterAutospacing="0"/>
              <w:ind w:left="225"/>
              <w:jc w:val="both"/>
              <w:rPr>
                <w:sz w:val="20"/>
                <w:szCs w:val="20"/>
              </w:rPr>
            </w:pPr>
            <w:r>
              <w:rPr>
                <w:sz w:val="20"/>
                <w:szCs w:val="20"/>
              </w:rPr>
              <w:t>Cash paid for income taxes</w:t>
            </w:r>
          </w:p>
        </w:tc>
        <w:tc>
          <w:tcPr>
            <w:tcW w:w="50" w:type="pct"/>
            <w:shd w:val="clear" w:color="auto" w:fill="FFFFFF"/>
            <w:vAlign w:val="bottom"/>
            <w:hideMark/>
          </w:tcPr>
          <w:p w14:paraId="48C7A125"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2D7DE67A"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1FFAE96"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58D9894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C74725D"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0A542025"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861F46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40EAA9ED" w14:textId="77777777" w:rsidR="00000000" w:rsidRDefault="007E65A2">
            <w:pPr>
              <w:pStyle w:val="a3"/>
              <w:spacing w:before="0" w:beforeAutospacing="0" w:after="0" w:afterAutospacing="0"/>
              <w:jc w:val="both"/>
              <w:rPr>
                <w:sz w:val="20"/>
                <w:szCs w:val="20"/>
              </w:rPr>
            </w:pPr>
            <w:r>
              <w:rPr>
                <w:sz w:val="20"/>
                <w:szCs w:val="20"/>
              </w:rPr>
              <w:t> </w:t>
            </w:r>
          </w:p>
        </w:tc>
      </w:tr>
      <w:tr w:rsidR="00000000" w14:paraId="5F7D52C5" w14:textId="77777777">
        <w:trPr>
          <w:divId w:val="911279972"/>
          <w:tblCellSpacing w:w="0" w:type="dxa"/>
        </w:trPr>
        <w:tc>
          <w:tcPr>
            <w:tcW w:w="0" w:type="auto"/>
            <w:shd w:val="clear" w:color="auto" w:fill="CCEEFF"/>
            <w:hideMark/>
          </w:tcPr>
          <w:p w14:paraId="787D1861" w14:textId="77777777" w:rsidR="00000000" w:rsidRDefault="007E65A2">
            <w:pPr>
              <w:pStyle w:val="a3"/>
              <w:spacing w:before="0" w:beforeAutospacing="0" w:after="0" w:afterAutospacing="0"/>
              <w:ind w:left="225"/>
              <w:jc w:val="both"/>
              <w:rPr>
                <w:sz w:val="20"/>
                <w:szCs w:val="20"/>
              </w:rPr>
            </w:pPr>
            <w:r>
              <w:rPr>
                <w:sz w:val="20"/>
                <w:szCs w:val="20"/>
              </w:rPr>
              <w:t>Cash paid for interest</w:t>
            </w:r>
          </w:p>
        </w:tc>
        <w:tc>
          <w:tcPr>
            <w:tcW w:w="50" w:type="pct"/>
            <w:shd w:val="clear" w:color="auto" w:fill="CCEEFF"/>
            <w:vAlign w:val="bottom"/>
            <w:hideMark/>
          </w:tcPr>
          <w:p w14:paraId="721D4C74"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690AEADC"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2E0E957"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69648C4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165E87D"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D94F0CE"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5E6F02A"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67987996" w14:textId="77777777" w:rsidR="00000000" w:rsidRDefault="007E65A2">
            <w:pPr>
              <w:pStyle w:val="a3"/>
              <w:spacing w:before="0" w:beforeAutospacing="0" w:after="0" w:afterAutospacing="0"/>
              <w:jc w:val="both"/>
              <w:rPr>
                <w:sz w:val="20"/>
                <w:szCs w:val="20"/>
              </w:rPr>
            </w:pPr>
            <w:r>
              <w:rPr>
                <w:sz w:val="20"/>
                <w:szCs w:val="20"/>
              </w:rPr>
              <w:t> </w:t>
            </w:r>
          </w:p>
        </w:tc>
      </w:tr>
      <w:tr w:rsidR="00000000" w14:paraId="02895CC9" w14:textId="77777777">
        <w:trPr>
          <w:divId w:val="911279972"/>
          <w:tblCellSpacing w:w="0" w:type="dxa"/>
        </w:trPr>
        <w:tc>
          <w:tcPr>
            <w:tcW w:w="0" w:type="auto"/>
            <w:shd w:val="clear" w:color="auto" w:fill="FFFFFF"/>
            <w:vAlign w:val="center"/>
            <w:hideMark/>
          </w:tcPr>
          <w:p w14:paraId="65DD434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469FFD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1888BD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E6860B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553F2A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090A8C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8A8291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63D6426"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C37C4E4" w14:textId="77777777" w:rsidR="00000000" w:rsidRDefault="007E65A2">
            <w:pPr>
              <w:pStyle w:val="a3"/>
              <w:spacing w:before="0" w:beforeAutospacing="0" w:after="0" w:afterAutospacing="0"/>
              <w:jc w:val="both"/>
              <w:rPr>
                <w:sz w:val="20"/>
                <w:szCs w:val="20"/>
              </w:rPr>
            </w:pPr>
            <w:r>
              <w:rPr>
                <w:sz w:val="20"/>
                <w:szCs w:val="20"/>
              </w:rPr>
              <w:t> </w:t>
            </w:r>
          </w:p>
        </w:tc>
      </w:tr>
      <w:tr w:rsidR="00000000" w14:paraId="6830EBFD" w14:textId="77777777">
        <w:trPr>
          <w:divId w:val="911279972"/>
          <w:tblCellSpacing w:w="0" w:type="dxa"/>
        </w:trPr>
        <w:tc>
          <w:tcPr>
            <w:tcW w:w="0" w:type="auto"/>
            <w:shd w:val="clear" w:color="auto" w:fill="CCEEFF"/>
            <w:hideMark/>
          </w:tcPr>
          <w:p w14:paraId="6AB94B88" w14:textId="77777777" w:rsidR="00000000" w:rsidRDefault="007E65A2">
            <w:pPr>
              <w:pStyle w:val="a3"/>
              <w:spacing w:before="0" w:beforeAutospacing="0" w:after="0" w:afterAutospacing="0"/>
              <w:jc w:val="both"/>
              <w:rPr>
                <w:sz w:val="20"/>
                <w:szCs w:val="20"/>
              </w:rPr>
            </w:pPr>
            <w:r>
              <w:rPr>
                <w:b/>
                <w:bCs/>
                <w:sz w:val="20"/>
                <w:szCs w:val="20"/>
              </w:rPr>
              <w:t>NON CASH INVESTING AND FINANCING ACTIVITIES</w:t>
            </w:r>
          </w:p>
        </w:tc>
        <w:tc>
          <w:tcPr>
            <w:tcW w:w="50" w:type="pct"/>
            <w:shd w:val="clear" w:color="auto" w:fill="CCEEFF"/>
            <w:vAlign w:val="bottom"/>
            <w:hideMark/>
          </w:tcPr>
          <w:p w14:paraId="6193894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407719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C9CA7A8"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0D8CC1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81A9C6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FEF9DB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6819F6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5CDEE05" w14:textId="77777777" w:rsidR="00000000" w:rsidRDefault="007E65A2">
            <w:pPr>
              <w:pStyle w:val="a3"/>
              <w:spacing w:before="0" w:beforeAutospacing="0" w:after="0" w:afterAutospacing="0"/>
              <w:jc w:val="both"/>
              <w:rPr>
                <w:sz w:val="20"/>
                <w:szCs w:val="20"/>
              </w:rPr>
            </w:pPr>
            <w:r>
              <w:rPr>
                <w:sz w:val="20"/>
                <w:szCs w:val="20"/>
              </w:rPr>
              <w:t> </w:t>
            </w:r>
          </w:p>
        </w:tc>
      </w:tr>
      <w:tr w:rsidR="00000000" w14:paraId="2AE5AFD2" w14:textId="77777777">
        <w:trPr>
          <w:divId w:val="911279972"/>
          <w:tblCellSpacing w:w="0" w:type="dxa"/>
        </w:trPr>
        <w:tc>
          <w:tcPr>
            <w:tcW w:w="0" w:type="auto"/>
            <w:shd w:val="clear" w:color="auto" w:fill="FFFFFF"/>
            <w:hideMark/>
          </w:tcPr>
          <w:p w14:paraId="37DA2F43" w14:textId="77777777" w:rsidR="00000000" w:rsidRDefault="007E65A2">
            <w:pPr>
              <w:pStyle w:val="a3"/>
              <w:spacing w:before="0" w:beforeAutospacing="0" w:after="0" w:afterAutospacing="0"/>
              <w:ind w:left="225"/>
              <w:jc w:val="both"/>
              <w:rPr>
                <w:sz w:val="20"/>
                <w:szCs w:val="20"/>
              </w:rPr>
            </w:pPr>
            <w:r>
              <w:rPr>
                <w:sz w:val="20"/>
                <w:szCs w:val="20"/>
              </w:rPr>
              <w:t>Preferred stock issued for settlement of debt - related party</w:t>
            </w:r>
          </w:p>
        </w:tc>
        <w:tc>
          <w:tcPr>
            <w:tcW w:w="50" w:type="pct"/>
            <w:shd w:val="clear" w:color="auto" w:fill="FFFFFF"/>
            <w:vAlign w:val="bottom"/>
            <w:hideMark/>
          </w:tcPr>
          <w:p w14:paraId="4853FBD3"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58F0A95D"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39E3B37" w14:textId="77777777" w:rsidR="00000000" w:rsidRDefault="007E65A2">
            <w:pPr>
              <w:pStyle w:val="a3"/>
              <w:spacing w:before="0" w:beforeAutospacing="0" w:after="0" w:afterAutospacing="0"/>
              <w:jc w:val="right"/>
              <w:rPr>
                <w:sz w:val="20"/>
                <w:szCs w:val="20"/>
              </w:rPr>
            </w:pPr>
            <w:r>
              <w:rPr>
                <w:sz w:val="20"/>
                <w:szCs w:val="20"/>
              </w:rPr>
              <w:t>285,000</w:t>
            </w:r>
          </w:p>
        </w:tc>
        <w:tc>
          <w:tcPr>
            <w:tcW w:w="50" w:type="pct"/>
            <w:shd w:val="clear" w:color="auto" w:fill="FFFFFF"/>
            <w:tcMar>
              <w:top w:w="0" w:type="dxa"/>
              <w:left w:w="0" w:type="dxa"/>
              <w:bottom w:w="45" w:type="dxa"/>
              <w:right w:w="0" w:type="dxa"/>
            </w:tcMar>
            <w:vAlign w:val="bottom"/>
            <w:hideMark/>
          </w:tcPr>
          <w:p w14:paraId="08526C1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D08C62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34A5C6CA"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6C81550"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54E68769" w14:textId="77777777" w:rsidR="00000000" w:rsidRDefault="007E65A2">
            <w:pPr>
              <w:pStyle w:val="a3"/>
              <w:spacing w:before="0" w:beforeAutospacing="0" w:after="0" w:afterAutospacing="0"/>
              <w:jc w:val="both"/>
              <w:rPr>
                <w:sz w:val="20"/>
                <w:szCs w:val="20"/>
              </w:rPr>
            </w:pPr>
            <w:r>
              <w:rPr>
                <w:sz w:val="20"/>
                <w:szCs w:val="20"/>
              </w:rPr>
              <w:t> </w:t>
            </w:r>
          </w:p>
        </w:tc>
      </w:tr>
      <w:tr w:rsidR="00000000" w14:paraId="77F85D69" w14:textId="77777777">
        <w:trPr>
          <w:divId w:val="911279972"/>
          <w:tblCellSpacing w:w="0" w:type="dxa"/>
        </w:trPr>
        <w:tc>
          <w:tcPr>
            <w:tcW w:w="0" w:type="auto"/>
            <w:shd w:val="clear" w:color="auto" w:fill="CCEEFF"/>
            <w:hideMark/>
          </w:tcPr>
          <w:p w14:paraId="4896DB9D" w14:textId="77777777" w:rsidR="00000000" w:rsidRDefault="007E65A2">
            <w:pPr>
              <w:pStyle w:val="a3"/>
              <w:spacing w:before="0" w:beforeAutospacing="0" w:after="0" w:afterAutospacing="0"/>
              <w:ind w:left="225"/>
              <w:jc w:val="both"/>
              <w:rPr>
                <w:sz w:val="20"/>
                <w:szCs w:val="20"/>
              </w:rPr>
            </w:pPr>
            <w:r>
              <w:rPr>
                <w:sz w:val="20"/>
                <w:szCs w:val="20"/>
              </w:rPr>
              <w:t>Common stock issued in conjunction with convertible notes</w:t>
            </w:r>
          </w:p>
        </w:tc>
        <w:tc>
          <w:tcPr>
            <w:tcW w:w="50" w:type="pct"/>
            <w:shd w:val="clear" w:color="auto" w:fill="CCEEFF"/>
            <w:vAlign w:val="bottom"/>
            <w:hideMark/>
          </w:tcPr>
          <w:p w14:paraId="5E73E515"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1F2848AC"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778B37E" w14:textId="77777777" w:rsidR="00000000" w:rsidRDefault="007E65A2">
            <w:pPr>
              <w:jc w:val="right"/>
              <w:rPr>
                <w:rFonts w:eastAsia="Times New Roman"/>
                <w:sz w:val="20"/>
                <w:szCs w:val="20"/>
              </w:rPr>
            </w:pPr>
            <w:r>
              <w:rPr>
                <w:rFonts w:eastAsia="Times New Roman"/>
                <w:sz w:val="20"/>
                <w:szCs w:val="20"/>
              </w:rPr>
              <w:t>15,000</w:t>
            </w:r>
          </w:p>
        </w:tc>
        <w:tc>
          <w:tcPr>
            <w:tcW w:w="50" w:type="pct"/>
            <w:shd w:val="clear" w:color="auto" w:fill="CCEEFF"/>
            <w:tcMar>
              <w:top w:w="0" w:type="dxa"/>
              <w:left w:w="0" w:type="dxa"/>
              <w:bottom w:w="45" w:type="dxa"/>
              <w:right w:w="0" w:type="dxa"/>
            </w:tcMar>
            <w:vAlign w:val="bottom"/>
            <w:hideMark/>
          </w:tcPr>
          <w:p w14:paraId="1C8ACDC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4051F7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2393E4DB"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BBF5EE0"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77A7B5DA" w14:textId="77777777" w:rsidR="00000000" w:rsidRDefault="007E65A2">
            <w:pPr>
              <w:pStyle w:val="a3"/>
              <w:spacing w:before="0" w:beforeAutospacing="0" w:after="0" w:afterAutospacing="0"/>
              <w:jc w:val="both"/>
              <w:rPr>
                <w:sz w:val="20"/>
                <w:szCs w:val="20"/>
              </w:rPr>
            </w:pPr>
            <w:r>
              <w:rPr>
                <w:sz w:val="20"/>
                <w:szCs w:val="20"/>
              </w:rPr>
              <w:t> </w:t>
            </w:r>
          </w:p>
        </w:tc>
      </w:tr>
      <w:tr w:rsidR="00000000" w14:paraId="34AA8CD1" w14:textId="77777777">
        <w:trPr>
          <w:divId w:val="911279972"/>
          <w:tblCellSpacing w:w="0" w:type="dxa"/>
        </w:trPr>
        <w:tc>
          <w:tcPr>
            <w:tcW w:w="0" w:type="auto"/>
            <w:shd w:val="clear" w:color="auto" w:fill="FFFFFF"/>
            <w:hideMark/>
          </w:tcPr>
          <w:p w14:paraId="0E2470AC" w14:textId="77777777" w:rsidR="00000000" w:rsidRDefault="007E65A2">
            <w:pPr>
              <w:pStyle w:val="a3"/>
              <w:spacing w:before="0" w:beforeAutospacing="0" w:after="0" w:afterAutospacing="0"/>
              <w:ind w:left="225"/>
              <w:jc w:val="both"/>
              <w:rPr>
                <w:sz w:val="20"/>
                <w:szCs w:val="20"/>
              </w:rPr>
            </w:pPr>
            <w:r>
              <w:rPr>
                <w:sz w:val="20"/>
                <w:szCs w:val="20"/>
              </w:rPr>
              <w:t>Common stock issued exchanged for common stock payable</w:t>
            </w:r>
          </w:p>
        </w:tc>
        <w:tc>
          <w:tcPr>
            <w:tcW w:w="50" w:type="pct"/>
            <w:shd w:val="clear" w:color="auto" w:fill="FFFFFF"/>
            <w:vAlign w:val="bottom"/>
            <w:hideMark/>
          </w:tcPr>
          <w:p w14:paraId="27031CC6"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3D73AACD"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96C5045" w14:textId="77777777" w:rsidR="00000000" w:rsidRDefault="007E65A2">
            <w:pPr>
              <w:jc w:val="right"/>
              <w:rPr>
                <w:rFonts w:eastAsia="Times New Roman"/>
                <w:sz w:val="20"/>
                <w:szCs w:val="20"/>
              </w:rPr>
            </w:pPr>
            <w:r>
              <w:rPr>
                <w:rFonts w:eastAsia="Times New Roman"/>
                <w:sz w:val="20"/>
                <w:szCs w:val="20"/>
              </w:rPr>
              <w:t>15,000</w:t>
            </w:r>
          </w:p>
        </w:tc>
        <w:tc>
          <w:tcPr>
            <w:tcW w:w="50" w:type="pct"/>
            <w:shd w:val="clear" w:color="auto" w:fill="FFFFFF"/>
            <w:tcMar>
              <w:top w:w="0" w:type="dxa"/>
              <w:left w:w="0" w:type="dxa"/>
              <w:bottom w:w="45" w:type="dxa"/>
              <w:right w:w="0" w:type="dxa"/>
            </w:tcMar>
            <w:vAlign w:val="bottom"/>
            <w:hideMark/>
          </w:tcPr>
          <w:p w14:paraId="6B5019B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AF77996"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0300764B"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43C6C608"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3BA7EFE2" w14:textId="77777777" w:rsidR="00000000" w:rsidRDefault="007E65A2">
            <w:pPr>
              <w:pStyle w:val="a3"/>
              <w:spacing w:before="0" w:beforeAutospacing="0" w:after="0" w:afterAutospacing="0"/>
              <w:jc w:val="both"/>
              <w:rPr>
                <w:sz w:val="20"/>
                <w:szCs w:val="20"/>
              </w:rPr>
            </w:pPr>
            <w:r>
              <w:rPr>
                <w:sz w:val="20"/>
                <w:szCs w:val="20"/>
              </w:rPr>
              <w:t> </w:t>
            </w:r>
          </w:p>
        </w:tc>
      </w:tr>
      <w:tr w:rsidR="00000000" w14:paraId="7294BBD6" w14:textId="77777777">
        <w:trPr>
          <w:divId w:val="911279972"/>
          <w:tblCellSpacing w:w="0" w:type="dxa"/>
        </w:trPr>
        <w:tc>
          <w:tcPr>
            <w:tcW w:w="0" w:type="auto"/>
            <w:shd w:val="clear" w:color="auto" w:fill="CCEEFF"/>
            <w:hideMark/>
          </w:tcPr>
          <w:p w14:paraId="0DE8EDFE" w14:textId="77777777" w:rsidR="00000000" w:rsidRDefault="007E65A2">
            <w:pPr>
              <w:pStyle w:val="a3"/>
              <w:spacing w:before="0" w:beforeAutospacing="0" w:after="0" w:afterAutospacing="0"/>
              <w:ind w:left="225"/>
              <w:jc w:val="both"/>
              <w:rPr>
                <w:sz w:val="20"/>
                <w:szCs w:val="20"/>
              </w:rPr>
            </w:pPr>
            <w:r>
              <w:rPr>
                <w:sz w:val="20"/>
                <w:szCs w:val="20"/>
              </w:rPr>
              <w:t>Issuance of common stock for conversion of debt and accrued interest</w:t>
            </w:r>
          </w:p>
        </w:tc>
        <w:tc>
          <w:tcPr>
            <w:tcW w:w="50" w:type="pct"/>
            <w:shd w:val="clear" w:color="auto" w:fill="CCEEFF"/>
            <w:vAlign w:val="bottom"/>
            <w:hideMark/>
          </w:tcPr>
          <w:p w14:paraId="3BFEE85D"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3D250F60"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1CBBCAD" w14:textId="77777777" w:rsidR="00000000" w:rsidRDefault="007E65A2">
            <w:pPr>
              <w:jc w:val="right"/>
              <w:rPr>
                <w:rFonts w:eastAsia="Times New Roman"/>
                <w:sz w:val="20"/>
                <w:szCs w:val="20"/>
              </w:rPr>
            </w:pPr>
            <w:r>
              <w:rPr>
                <w:rFonts w:eastAsia="Times New Roman"/>
                <w:sz w:val="20"/>
                <w:szCs w:val="20"/>
              </w:rPr>
              <w:t>223,523</w:t>
            </w:r>
          </w:p>
        </w:tc>
        <w:tc>
          <w:tcPr>
            <w:tcW w:w="50" w:type="pct"/>
            <w:shd w:val="clear" w:color="auto" w:fill="CCEEFF"/>
            <w:tcMar>
              <w:top w:w="0" w:type="dxa"/>
              <w:left w:w="0" w:type="dxa"/>
              <w:bottom w:w="45" w:type="dxa"/>
              <w:right w:w="0" w:type="dxa"/>
            </w:tcMar>
            <w:vAlign w:val="bottom"/>
            <w:hideMark/>
          </w:tcPr>
          <w:p w14:paraId="10121AC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19A2DA5"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32D5D541"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062EEF0" w14:textId="77777777" w:rsidR="00000000" w:rsidRDefault="007E65A2">
            <w:pPr>
              <w:jc w:val="right"/>
              <w:rPr>
                <w:rFonts w:eastAsia="Times New Roman"/>
                <w:sz w:val="20"/>
                <w:szCs w:val="20"/>
              </w:rPr>
            </w:pPr>
            <w:r>
              <w:rPr>
                <w:rFonts w:eastAsia="Times New Roman"/>
                <w:sz w:val="20"/>
                <w:szCs w:val="20"/>
              </w:rPr>
              <w:t>164,657</w:t>
            </w:r>
          </w:p>
        </w:tc>
        <w:tc>
          <w:tcPr>
            <w:tcW w:w="50" w:type="pct"/>
            <w:shd w:val="clear" w:color="auto" w:fill="CCEEFF"/>
            <w:tcMar>
              <w:top w:w="0" w:type="dxa"/>
              <w:left w:w="0" w:type="dxa"/>
              <w:bottom w:w="45" w:type="dxa"/>
              <w:right w:w="0" w:type="dxa"/>
            </w:tcMar>
            <w:vAlign w:val="bottom"/>
            <w:hideMark/>
          </w:tcPr>
          <w:p w14:paraId="7E753C3C" w14:textId="77777777" w:rsidR="00000000" w:rsidRDefault="007E65A2">
            <w:pPr>
              <w:pStyle w:val="a3"/>
              <w:spacing w:before="0" w:beforeAutospacing="0" w:after="0" w:afterAutospacing="0"/>
              <w:jc w:val="both"/>
              <w:rPr>
                <w:sz w:val="20"/>
                <w:szCs w:val="20"/>
              </w:rPr>
            </w:pPr>
            <w:r>
              <w:rPr>
                <w:sz w:val="20"/>
                <w:szCs w:val="20"/>
              </w:rPr>
              <w:t> </w:t>
            </w:r>
          </w:p>
        </w:tc>
      </w:tr>
      <w:tr w:rsidR="00000000" w14:paraId="6CBD6DBB" w14:textId="77777777">
        <w:trPr>
          <w:divId w:val="911279972"/>
          <w:tblCellSpacing w:w="0" w:type="dxa"/>
        </w:trPr>
        <w:tc>
          <w:tcPr>
            <w:tcW w:w="0" w:type="auto"/>
            <w:shd w:val="clear" w:color="auto" w:fill="FFFFFF"/>
            <w:hideMark/>
          </w:tcPr>
          <w:p w14:paraId="4EF6EC44" w14:textId="77777777" w:rsidR="00000000" w:rsidRDefault="007E65A2">
            <w:pPr>
              <w:pStyle w:val="a3"/>
              <w:spacing w:before="0" w:beforeAutospacing="0" w:after="0" w:afterAutospacing="0"/>
              <w:ind w:left="225"/>
              <w:jc w:val="both"/>
              <w:rPr>
                <w:sz w:val="20"/>
                <w:szCs w:val="20"/>
              </w:rPr>
            </w:pPr>
            <w:r>
              <w:rPr>
                <w:sz w:val="20"/>
                <w:szCs w:val="20"/>
              </w:rPr>
              <w:t>Resolution of derivative liability upon conversion of debt</w:t>
            </w:r>
          </w:p>
        </w:tc>
        <w:tc>
          <w:tcPr>
            <w:tcW w:w="50" w:type="pct"/>
            <w:shd w:val="clear" w:color="auto" w:fill="FFFFFF"/>
            <w:vAlign w:val="bottom"/>
            <w:hideMark/>
          </w:tcPr>
          <w:p w14:paraId="71D2B95A"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3C1DAAEE"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9334267" w14:textId="77777777" w:rsidR="00000000" w:rsidRDefault="007E65A2">
            <w:pPr>
              <w:jc w:val="right"/>
              <w:rPr>
                <w:rFonts w:eastAsia="Times New Roman"/>
                <w:sz w:val="20"/>
                <w:szCs w:val="20"/>
              </w:rPr>
            </w:pPr>
            <w:r>
              <w:rPr>
                <w:rFonts w:eastAsia="Times New Roman"/>
                <w:sz w:val="20"/>
                <w:szCs w:val="20"/>
              </w:rPr>
              <w:t>987,744</w:t>
            </w:r>
          </w:p>
        </w:tc>
        <w:tc>
          <w:tcPr>
            <w:tcW w:w="50" w:type="pct"/>
            <w:shd w:val="clear" w:color="auto" w:fill="FFFFFF"/>
            <w:tcMar>
              <w:top w:w="0" w:type="dxa"/>
              <w:left w:w="0" w:type="dxa"/>
              <w:bottom w:w="45" w:type="dxa"/>
              <w:right w:w="0" w:type="dxa"/>
            </w:tcMar>
            <w:vAlign w:val="bottom"/>
            <w:hideMark/>
          </w:tcPr>
          <w:p w14:paraId="1E87505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8231604"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05107890"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3EDEF5F" w14:textId="77777777" w:rsidR="00000000" w:rsidRDefault="007E65A2">
            <w:pPr>
              <w:jc w:val="right"/>
              <w:rPr>
                <w:rFonts w:eastAsia="Times New Roman"/>
                <w:sz w:val="20"/>
                <w:szCs w:val="20"/>
              </w:rPr>
            </w:pPr>
            <w:r>
              <w:rPr>
                <w:rFonts w:eastAsia="Times New Roman"/>
                <w:sz w:val="20"/>
                <w:szCs w:val="20"/>
              </w:rPr>
              <w:t>295,541</w:t>
            </w:r>
          </w:p>
        </w:tc>
        <w:tc>
          <w:tcPr>
            <w:tcW w:w="50" w:type="pct"/>
            <w:shd w:val="clear" w:color="auto" w:fill="FFFFFF"/>
            <w:tcMar>
              <w:top w:w="0" w:type="dxa"/>
              <w:left w:w="0" w:type="dxa"/>
              <w:bottom w:w="45" w:type="dxa"/>
              <w:right w:w="0" w:type="dxa"/>
            </w:tcMar>
            <w:vAlign w:val="bottom"/>
            <w:hideMark/>
          </w:tcPr>
          <w:p w14:paraId="3A04FF28" w14:textId="77777777" w:rsidR="00000000" w:rsidRDefault="007E65A2">
            <w:pPr>
              <w:pStyle w:val="a3"/>
              <w:spacing w:before="0" w:beforeAutospacing="0" w:after="0" w:afterAutospacing="0"/>
              <w:jc w:val="both"/>
              <w:rPr>
                <w:sz w:val="20"/>
                <w:szCs w:val="20"/>
              </w:rPr>
            </w:pPr>
            <w:r>
              <w:rPr>
                <w:sz w:val="20"/>
                <w:szCs w:val="20"/>
              </w:rPr>
              <w:t> </w:t>
            </w:r>
          </w:p>
        </w:tc>
      </w:tr>
      <w:tr w:rsidR="00000000" w14:paraId="1D5CCAB0" w14:textId="77777777">
        <w:trPr>
          <w:divId w:val="911279972"/>
          <w:tblCellSpacing w:w="0" w:type="dxa"/>
        </w:trPr>
        <w:tc>
          <w:tcPr>
            <w:tcW w:w="0" w:type="auto"/>
            <w:shd w:val="clear" w:color="auto" w:fill="CCEEFF"/>
            <w:hideMark/>
          </w:tcPr>
          <w:p w14:paraId="3A2794B9" w14:textId="77777777" w:rsidR="00000000" w:rsidRDefault="007E65A2">
            <w:pPr>
              <w:pStyle w:val="a3"/>
              <w:spacing w:before="0" w:beforeAutospacing="0" w:after="0" w:afterAutospacing="0"/>
              <w:ind w:left="225"/>
              <w:jc w:val="both"/>
              <w:rPr>
                <w:sz w:val="20"/>
                <w:szCs w:val="20"/>
              </w:rPr>
            </w:pPr>
            <w:r>
              <w:rPr>
                <w:sz w:val="20"/>
                <w:szCs w:val="20"/>
              </w:rPr>
              <w:t>Derivative liability recognized as debt discount</w:t>
            </w:r>
          </w:p>
        </w:tc>
        <w:tc>
          <w:tcPr>
            <w:tcW w:w="50" w:type="pct"/>
            <w:shd w:val="clear" w:color="auto" w:fill="CCEEFF"/>
            <w:vAlign w:val="bottom"/>
            <w:hideMark/>
          </w:tcPr>
          <w:p w14:paraId="1B81455E"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94ED78D"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0B02319" w14:textId="77777777" w:rsidR="00000000" w:rsidRDefault="007E65A2">
            <w:pPr>
              <w:jc w:val="right"/>
              <w:rPr>
                <w:rFonts w:eastAsia="Times New Roman"/>
                <w:sz w:val="20"/>
                <w:szCs w:val="20"/>
              </w:rPr>
            </w:pPr>
            <w:r>
              <w:rPr>
                <w:rFonts w:eastAsia="Times New Roman"/>
                <w:sz w:val="20"/>
                <w:szCs w:val="20"/>
              </w:rPr>
              <w:t>100,000</w:t>
            </w:r>
          </w:p>
        </w:tc>
        <w:tc>
          <w:tcPr>
            <w:tcW w:w="50" w:type="pct"/>
            <w:shd w:val="clear" w:color="auto" w:fill="CCEEFF"/>
            <w:tcMar>
              <w:top w:w="0" w:type="dxa"/>
              <w:left w:w="0" w:type="dxa"/>
              <w:bottom w:w="45" w:type="dxa"/>
              <w:right w:w="0" w:type="dxa"/>
            </w:tcMar>
            <w:vAlign w:val="bottom"/>
            <w:hideMark/>
          </w:tcPr>
          <w:p w14:paraId="303F5EF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A2BA86A"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7E8AD32"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44923F7" w14:textId="77777777" w:rsidR="00000000" w:rsidRDefault="007E65A2">
            <w:pPr>
              <w:jc w:val="right"/>
              <w:rPr>
                <w:rFonts w:eastAsia="Times New Roman"/>
                <w:sz w:val="20"/>
                <w:szCs w:val="20"/>
              </w:rPr>
            </w:pPr>
            <w:r>
              <w:rPr>
                <w:rFonts w:eastAsia="Times New Roman"/>
                <w:sz w:val="20"/>
                <w:szCs w:val="20"/>
              </w:rPr>
              <w:t>285,500</w:t>
            </w:r>
          </w:p>
        </w:tc>
        <w:tc>
          <w:tcPr>
            <w:tcW w:w="50" w:type="pct"/>
            <w:shd w:val="clear" w:color="auto" w:fill="CCEEFF"/>
            <w:tcMar>
              <w:top w:w="0" w:type="dxa"/>
              <w:left w:w="0" w:type="dxa"/>
              <w:bottom w:w="45" w:type="dxa"/>
              <w:right w:w="0" w:type="dxa"/>
            </w:tcMar>
            <w:vAlign w:val="bottom"/>
            <w:hideMark/>
          </w:tcPr>
          <w:p w14:paraId="44F59B8A" w14:textId="77777777" w:rsidR="00000000" w:rsidRDefault="007E65A2">
            <w:pPr>
              <w:pStyle w:val="a3"/>
              <w:spacing w:before="0" w:beforeAutospacing="0" w:after="0" w:afterAutospacing="0"/>
              <w:jc w:val="both"/>
              <w:rPr>
                <w:sz w:val="20"/>
                <w:szCs w:val="20"/>
              </w:rPr>
            </w:pPr>
            <w:r>
              <w:rPr>
                <w:sz w:val="20"/>
                <w:szCs w:val="20"/>
              </w:rPr>
              <w:t> </w:t>
            </w:r>
          </w:p>
        </w:tc>
      </w:tr>
    </w:tbl>
    <w:p w14:paraId="0BD87558" w14:textId="77777777" w:rsidR="00000000" w:rsidRDefault="007E65A2">
      <w:pPr>
        <w:pStyle w:val="a3"/>
        <w:spacing w:before="0" w:beforeAutospacing="0" w:after="0" w:afterAutospacing="0"/>
        <w:jc w:val="center"/>
        <w:divId w:val="911279972"/>
        <w:rPr>
          <w:sz w:val="20"/>
          <w:szCs w:val="20"/>
        </w:rPr>
      </w:pPr>
      <w:r>
        <w:rPr>
          <w:sz w:val="20"/>
          <w:szCs w:val="20"/>
        </w:rPr>
        <w:t> </w:t>
      </w:r>
    </w:p>
    <w:p w14:paraId="0A1A5550" w14:textId="77777777" w:rsidR="00000000" w:rsidRDefault="007E65A2">
      <w:pPr>
        <w:pStyle w:val="a3"/>
        <w:spacing w:before="0" w:beforeAutospacing="0" w:after="0" w:afterAutospacing="0"/>
        <w:jc w:val="center"/>
        <w:divId w:val="911279972"/>
        <w:rPr>
          <w:sz w:val="20"/>
          <w:szCs w:val="20"/>
        </w:rPr>
      </w:pPr>
      <w:r>
        <w:rPr>
          <w:sz w:val="20"/>
          <w:szCs w:val="20"/>
        </w:rPr>
        <w:t>See accompanying notes to consolidated financial statements.</w:t>
      </w:r>
      <w:r>
        <w:rPr>
          <w:b/>
          <w:bCs/>
          <w:sz w:val="20"/>
          <w:szCs w:val="20"/>
        </w:rPr>
        <w:t xml:space="preserve"> </w:t>
      </w:r>
    </w:p>
    <w:p w14:paraId="2F479536"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EE8F8DF" w14:textId="77777777">
        <w:trPr>
          <w:divId w:val="911279972"/>
          <w:tblCellSpacing w:w="0" w:type="dxa"/>
        </w:trPr>
        <w:tc>
          <w:tcPr>
            <w:tcW w:w="0" w:type="auto"/>
            <w:vAlign w:val="center"/>
            <w:hideMark/>
          </w:tcPr>
          <w:p w14:paraId="68340677" w14:textId="77777777" w:rsidR="00000000" w:rsidRDefault="007E65A2">
            <w:pPr>
              <w:rPr>
                <w:rFonts w:eastAsia="Times New Roman"/>
                <w:sz w:val="20"/>
                <w:szCs w:val="20"/>
              </w:rPr>
            </w:pPr>
            <w:r>
              <w:rPr>
                <w:rFonts w:eastAsia="Times New Roman"/>
                <w:sz w:val="20"/>
                <w:szCs w:val="20"/>
              </w:rPr>
              <w:t> </w:t>
            </w:r>
          </w:p>
        </w:tc>
      </w:tr>
      <w:tr w:rsidR="00000000" w14:paraId="3059DF72" w14:textId="77777777">
        <w:trPr>
          <w:divId w:val="911279972"/>
          <w:tblCellSpacing w:w="0" w:type="dxa"/>
        </w:trPr>
        <w:tc>
          <w:tcPr>
            <w:tcW w:w="0" w:type="auto"/>
            <w:tcBorders>
              <w:bottom w:val="single" w:sz="6" w:space="0" w:color="000000"/>
            </w:tcBorders>
            <w:vAlign w:val="center"/>
            <w:hideMark/>
          </w:tcPr>
          <w:p w14:paraId="3AA03D3B" w14:textId="77777777" w:rsidR="00000000" w:rsidRDefault="007E65A2">
            <w:pPr>
              <w:jc w:val="center"/>
              <w:rPr>
                <w:rFonts w:eastAsia="Times New Roman"/>
                <w:sz w:val="20"/>
                <w:szCs w:val="20"/>
              </w:rPr>
            </w:pPr>
            <w:r>
              <w:rPr>
                <w:rFonts w:eastAsia="Times New Roman"/>
                <w:sz w:val="20"/>
                <w:szCs w:val="20"/>
              </w:rPr>
              <w:t>F-6</w:t>
            </w:r>
          </w:p>
        </w:tc>
      </w:tr>
      <w:tr w:rsidR="00000000" w14:paraId="13BB264B" w14:textId="77777777">
        <w:trPr>
          <w:divId w:val="911279972"/>
          <w:tblCellSpacing w:w="0" w:type="dxa"/>
        </w:trPr>
        <w:tc>
          <w:tcPr>
            <w:tcW w:w="0" w:type="auto"/>
            <w:vAlign w:val="center"/>
            <w:hideMark/>
          </w:tcPr>
          <w:p w14:paraId="02DDD82F" w14:textId="77777777" w:rsidR="00000000" w:rsidRDefault="007E65A2">
            <w:pPr>
              <w:rPr>
                <w:rFonts w:eastAsia="Times New Roman"/>
                <w:sz w:val="20"/>
                <w:szCs w:val="20"/>
              </w:rPr>
            </w:pPr>
            <w:r>
              <w:rPr>
                <w:rFonts w:eastAsia="Times New Roman"/>
                <w:sz w:val="20"/>
                <w:szCs w:val="20"/>
              </w:rPr>
              <w:t> </w:t>
            </w:r>
          </w:p>
        </w:tc>
      </w:tr>
      <w:tr w:rsidR="00000000" w14:paraId="059BCF50" w14:textId="77777777">
        <w:trPr>
          <w:divId w:val="911279972"/>
          <w:tblCellSpacing w:w="0" w:type="dxa"/>
        </w:trPr>
        <w:tc>
          <w:tcPr>
            <w:tcW w:w="0" w:type="auto"/>
            <w:vAlign w:val="center"/>
            <w:hideMark/>
          </w:tcPr>
          <w:p w14:paraId="0DB8CCF7"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456CF0A7"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p w14:paraId="7F59002B" w14:textId="77777777" w:rsidR="00000000" w:rsidRDefault="007E65A2">
      <w:pPr>
        <w:pStyle w:val="a3"/>
        <w:spacing w:before="0" w:beforeAutospacing="0" w:after="0" w:afterAutospacing="0"/>
        <w:jc w:val="center"/>
        <w:divId w:val="911279972"/>
        <w:rPr>
          <w:sz w:val="20"/>
          <w:szCs w:val="20"/>
        </w:rPr>
      </w:pPr>
      <w:r>
        <w:rPr>
          <w:b/>
          <w:bCs/>
          <w:sz w:val="20"/>
          <w:szCs w:val="20"/>
        </w:rPr>
        <w:t>APPYEA, INC.</w:t>
      </w:r>
    </w:p>
    <w:p w14:paraId="14687918" w14:textId="77777777" w:rsidR="00000000" w:rsidRDefault="007E65A2">
      <w:pPr>
        <w:pStyle w:val="a3"/>
        <w:spacing w:before="0" w:beforeAutospacing="0" w:after="0" w:afterAutospacing="0"/>
        <w:jc w:val="center"/>
        <w:divId w:val="911279972"/>
        <w:rPr>
          <w:sz w:val="20"/>
          <w:szCs w:val="20"/>
        </w:rPr>
      </w:pPr>
      <w:bookmarkStart w:id="20" w:name="NOTES_TO_CONSOLIDATED_FINANCIAL_STATEMEN"/>
      <w:r>
        <w:rPr>
          <w:b/>
          <w:bCs/>
          <w:sz w:val="20"/>
          <w:szCs w:val="20"/>
        </w:rPr>
        <w:t>NOTES TO CONSOLIDATED FINANCIAL STATEMENTS</w:t>
      </w:r>
      <w:bookmarkEnd w:id="20"/>
    </w:p>
    <w:p w14:paraId="06FA50C9" w14:textId="77777777" w:rsidR="00000000" w:rsidRDefault="007E65A2">
      <w:pPr>
        <w:pStyle w:val="a3"/>
        <w:spacing w:before="0" w:beforeAutospacing="0" w:after="0" w:afterAutospacing="0"/>
        <w:jc w:val="center"/>
        <w:divId w:val="911279972"/>
        <w:rPr>
          <w:sz w:val="20"/>
          <w:szCs w:val="20"/>
        </w:rPr>
      </w:pPr>
      <w:r>
        <w:rPr>
          <w:b/>
          <w:bCs/>
          <w:sz w:val="20"/>
          <w:szCs w:val="20"/>
        </w:rPr>
        <w:t>FOR THE YEARS ENDED JUNE 30, 2019 AND 2018</w:t>
      </w:r>
    </w:p>
    <w:p w14:paraId="4BF9D1F0" w14:textId="77777777" w:rsidR="00000000" w:rsidRDefault="007E65A2">
      <w:pPr>
        <w:pStyle w:val="a3"/>
        <w:spacing w:before="0" w:beforeAutospacing="0" w:after="0" w:afterAutospacing="0"/>
        <w:jc w:val="both"/>
        <w:divId w:val="911279972"/>
        <w:rPr>
          <w:sz w:val="20"/>
          <w:szCs w:val="20"/>
        </w:rPr>
      </w:pPr>
      <w:r>
        <w:rPr>
          <w:sz w:val="20"/>
          <w:szCs w:val="20"/>
        </w:rPr>
        <w:t> </w:t>
      </w:r>
    </w:p>
    <w:p w14:paraId="49F7B064" w14:textId="77777777" w:rsidR="00000000" w:rsidRDefault="007E65A2">
      <w:pPr>
        <w:pStyle w:val="a3"/>
        <w:spacing w:before="0" w:beforeAutospacing="0" w:after="0" w:afterAutospacing="0"/>
        <w:jc w:val="both"/>
        <w:divId w:val="911279972"/>
        <w:rPr>
          <w:sz w:val="20"/>
          <w:szCs w:val="20"/>
        </w:rPr>
      </w:pPr>
      <w:r>
        <w:rPr>
          <w:b/>
          <w:bCs/>
          <w:sz w:val="20"/>
          <w:szCs w:val="20"/>
        </w:rPr>
        <w:t>1. NATURE OF OPERATIONS</w:t>
      </w:r>
    </w:p>
    <w:p w14:paraId="3E36BBC1" w14:textId="77777777" w:rsidR="00000000" w:rsidRDefault="007E65A2">
      <w:pPr>
        <w:pStyle w:val="a3"/>
        <w:spacing w:before="0" w:beforeAutospacing="0" w:after="0" w:afterAutospacing="0"/>
        <w:jc w:val="both"/>
        <w:divId w:val="911279972"/>
        <w:rPr>
          <w:sz w:val="20"/>
          <w:szCs w:val="20"/>
        </w:rPr>
      </w:pPr>
      <w:r>
        <w:rPr>
          <w:sz w:val="20"/>
          <w:szCs w:val="20"/>
        </w:rPr>
        <w:t> </w:t>
      </w:r>
    </w:p>
    <w:p w14:paraId="54CDA345" w14:textId="77777777" w:rsidR="00000000" w:rsidRDefault="007E65A2">
      <w:pPr>
        <w:pStyle w:val="a3"/>
        <w:spacing w:before="0" w:beforeAutospacing="0" w:after="0" w:afterAutospacing="0"/>
        <w:jc w:val="both"/>
        <w:divId w:val="911279972"/>
        <w:rPr>
          <w:sz w:val="20"/>
          <w:szCs w:val="20"/>
        </w:rPr>
      </w:pPr>
      <w:r>
        <w:rPr>
          <w:sz w:val="20"/>
          <w:szCs w:val="20"/>
        </w:rPr>
        <w:t xml:space="preserve">AppYea, Inc. (“AppYea”, “the Company”, “we” or “us”) was incorporated in the State of South Dakota on November 26, 2012 to engage in the acquisition, purchase, maintenance and creation </w:t>
      </w:r>
      <w:r>
        <w:rPr>
          <w:sz w:val="20"/>
          <w:szCs w:val="20"/>
        </w:rPr>
        <w:t>of mobile software applications. The Company is in the development stage with no significant revenues and a limited operating history.</w:t>
      </w:r>
    </w:p>
    <w:p w14:paraId="6FFD64D5" w14:textId="77777777" w:rsidR="00000000" w:rsidRDefault="007E65A2">
      <w:pPr>
        <w:pStyle w:val="a3"/>
        <w:spacing w:before="0" w:beforeAutospacing="0" w:after="0" w:afterAutospacing="0"/>
        <w:jc w:val="both"/>
        <w:divId w:val="911279972"/>
        <w:rPr>
          <w:sz w:val="20"/>
          <w:szCs w:val="20"/>
        </w:rPr>
      </w:pPr>
      <w:r>
        <w:rPr>
          <w:sz w:val="20"/>
          <w:szCs w:val="20"/>
        </w:rPr>
        <w:t> </w:t>
      </w:r>
    </w:p>
    <w:p w14:paraId="67122641" w14:textId="77777777" w:rsidR="00000000" w:rsidRDefault="007E65A2">
      <w:pPr>
        <w:pStyle w:val="a3"/>
        <w:spacing w:before="0" w:beforeAutospacing="0" w:after="0" w:afterAutospacing="0"/>
        <w:jc w:val="both"/>
        <w:divId w:val="911279972"/>
        <w:rPr>
          <w:sz w:val="20"/>
          <w:szCs w:val="20"/>
        </w:rPr>
      </w:pPr>
      <w:r>
        <w:rPr>
          <w:sz w:val="20"/>
          <w:szCs w:val="20"/>
        </w:rPr>
        <w:t>The Company incorporated a wholly-owned subsidiary, “AppYea Holdings, Inc.” in state of South Dakota on January 13, 201</w:t>
      </w:r>
      <w:r>
        <w:rPr>
          <w:sz w:val="20"/>
          <w:szCs w:val="20"/>
        </w:rPr>
        <w:t>7 and “The Diagnostic Centers Inc.” in State of South Dakota on August 2, 2017.</w:t>
      </w:r>
    </w:p>
    <w:p w14:paraId="3E527497" w14:textId="77777777" w:rsidR="00000000" w:rsidRDefault="007E65A2">
      <w:pPr>
        <w:pStyle w:val="a3"/>
        <w:spacing w:before="0" w:beforeAutospacing="0" w:after="0" w:afterAutospacing="0"/>
        <w:jc w:val="both"/>
        <w:divId w:val="911279972"/>
        <w:rPr>
          <w:sz w:val="20"/>
          <w:szCs w:val="20"/>
        </w:rPr>
      </w:pPr>
      <w:r>
        <w:rPr>
          <w:sz w:val="20"/>
          <w:szCs w:val="20"/>
        </w:rPr>
        <w:t> </w:t>
      </w:r>
    </w:p>
    <w:p w14:paraId="7C4F8AAF" w14:textId="77777777" w:rsidR="00000000" w:rsidRDefault="007E65A2">
      <w:pPr>
        <w:pStyle w:val="a3"/>
        <w:spacing w:before="0" w:beforeAutospacing="0" w:after="0" w:afterAutospacing="0"/>
        <w:jc w:val="both"/>
        <w:divId w:val="911279972"/>
        <w:rPr>
          <w:sz w:val="20"/>
          <w:szCs w:val="20"/>
        </w:rPr>
      </w:pPr>
      <w:r>
        <w:rPr>
          <w:sz w:val="20"/>
          <w:szCs w:val="20"/>
        </w:rPr>
        <w:t>Through its wholly owned subsidiary, The Diagnostic Centers, Inc., AppYea markets comprehensive diagnostic testing services to physician offices, clinics, hospitals, long ter</w:t>
      </w:r>
      <w:r>
        <w:rPr>
          <w:sz w:val="20"/>
          <w:szCs w:val="20"/>
        </w:rPr>
        <w:t>m care facilities, healthcare groups, and other healthcare providers.</w:t>
      </w:r>
    </w:p>
    <w:p w14:paraId="128866DE" w14:textId="77777777" w:rsidR="00000000" w:rsidRDefault="007E65A2">
      <w:pPr>
        <w:pStyle w:val="a3"/>
        <w:spacing w:before="0" w:beforeAutospacing="0" w:after="0" w:afterAutospacing="0"/>
        <w:jc w:val="both"/>
        <w:divId w:val="911279972"/>
        <w:rPr>
          <w:sz w:val="20"/>
          <w:szCs w:val="20"/>
        </w:rPr>
      </w:pPr>
      <w:r>
        <w:rPr>
          <w:sz w:val="20"/>
          <w:szCs w:val="20"/>
        </w:rPr>
        <w:t> </w:t>
      </w:r>
    </w:p>
    <w:p w14:paraId="15DF1FE7" w14:textId="77777777" w:rsidR="00000000" w:rsidRDefault="007E65A2">
      <w:pPr>
        <w:pStyle w:val="a3"/>
        <w:spacing w:before="0" w:beforeAutospacing="0" w:after="0" w:afterAutospacing="0"/>
        <w:jc w:val="both"/>
        <w:divId w:val="911279972"/>
        <w:rPr>
          <w:sz w:val="20"/>
          <w:szCs w:val="20"/>
        </w:rPr>
      </w:pPr>
      <w:r>
        <w:rPr>
          <w:sz w:val="20"/>
          <w:szCs w:val="20"/>
        </w:rPr>
        <w:t xml:space="preserve">During the quarter ended March 31, 2019 the Company entered into a management and advisory agreement with Hempori, Inc. to assist the Company in identifying and managing the Company’s </w:t>
      </w:r>
      <w:r>
        <w:rPr>
          <w:sz w:val="20"/>
          <w:szCs w:val="20"/>
        </w:rPr>
        <w:t>overall business strategy and opportunities to enter the hemp based Cannabidiol (CBD) industry. Additionally, the Company entered into an exclusive CBD infused beverage licensing agreement with the Prouty Company to market flavored and non-flavored beverag</w:t>
      </w:r>
      <w:r>
        <w:rPr>
          <w:sz w:val="20"/>
          <w:szCs w:val="20"/>
        </w:rPr>
        <w:t>es in various formulas infused with CBD to achieve the following “mood enhancing” affects: Energy, Calm, Focus, and Sleep.</w:t>
      </w:r>
    </w:p>
    <w:p w14:paraId="2BD79ECF" w14:textId="77777777" w:rsidR="00000000" w:rsidRDefault="007E65A2">
      <w:pPr>
        <w:pStyle w:val="a3"/>
        <w:spacing w:before="0" w:beforeAutospacing="0" w:after="0" w:afterAutospacing="0"/>
        <w:jc w:val="both"/>
        <w:divId w:val="911279972"/>
        <w:rPr>
          <w:sz w:val="20"/>
          <w:szCs w:val="20"/>
        </w:rPr>
      </w:pPr>
      <w:r>
        <w:rPr>
          <w:sz w:val="20"/>
          <w:szCs w:val="20"/>
        </w:rPr>
        <w:t> </w:t>
      </w:r>
    </w:p>
    <w:p w14:paraId="09F44664" w14:textId="77777777" w:rsidR="00000000" w:rsidRDefault="007E65A2">
      <w:pPr>
        <w:pStyle w:val="a3"/>
        <w:spacing w:before="0" w:beforeAutospacing="0" w:after="0" w:afterAutospacing="0"/>
        <w:jc w:val="both"/>
        <w:divId w:val="911279972"/>
        <w:rPr>
          <w:sz w:val="20"/>
          <w:szCs w:val="20"/>
        </w:rPr>
      </w:pPr>
      <w:r>
        <w:rPr>
          <w:sz w:val="20"/>
          <w:szCs w:val="20"/>
        </w:rPr>
        <w:t>The Company’s common stock is traded on the OTC Markets (www.otcmarkets.com) under the symbol “APYP”. The first day of trading on t</w:t>
      </w:r>
      <w:r>
        <w:rPr>
          <w:sz w:val="20"/>
          <w:szCs w:val="20"/>
        </w:rPr>
        <w:t xml:space="preserve">he OTC Markets was December 15, 2014. </w:t>
      </w:r>
    </w:p>
    <w:p w14:paraId="7B3D1FF9" w14:textId="77777777" w:rsidR="00000000" w:rsidRDefault="007E65A2">
      <w:pPr>
        <w:pStyle w:val="a3"/>
        <w:spacing w:before="0" w:beforeAutospacing="0" w:after="0" w:afterAutospacing="0"/>
        <w:jc w:val="both"/>
        <w:divId w:val="911279972"/>
        <w:rPr>
          <w:sz w:val="20"/>
          <w:szCs w:val="20"/>
        </w:rPr>
      </w:pPr>
      <w:r>
        <w:rPr>
          <w:sz w:val="20"/>
          <w:szCs w:val="20"/>
        </w:rPr>
        <w:t> </w:t>
      </w:r>
    </w:p>
    <w:p w14:paraId="730095C1" w14:textId="77777777" w:rsidR="00000000" w:rsidRDefault="007E65A2">
      <w:pPr>
        <w:pStyle w:val="a3"/>
        <w:spacing w:before="0" w:beforeAutospacing="0" w:after="0" w:afterAutospacing="0"/>
        <w:jc w:val="both"/>
        <w:divId w:val="911279972"/>
        <w:rPr>
          <w:sz w:val="20"/>
          <w:szCs w:val="20"/>
        </w:rPr>
      </w:pPr>
      <w:r>
        <w:rPr>
          <w:b/>
          <w:bCs/>
          <w:sz w:val="20"/>
          <w:szCs w:val="20"/>
        </w:rPr>
        <w:t>2. SUMMARY OF SIGNIFICANT ACCOUNTING POLICIES</w:t>
      </w:r>
    </w:p>
    <w:p w14:paraId="787E0884" w14:textId="77777777" w:rsidR="00000000" w:rsidRDefault="007E65A2">
      <w:pPr>
        <w:pStyle w:val="a3"/>
        <w:spacing w:before="0" w:beforeAutospacing="0" w:after="0" w:afterAutospacing="0"/>
        <w:jc w:val="both"/>
        <w:divId w:val="911279972"/>
        <w:rPr>
          <w:sz w:val="20"/>
          <w:szCs w:val="20"/>
        </w:rPr>
      </w:pPr>
      <w:r>
        <w:rPr>
          <w:sz w:val="20"/>
          <w:szCs w:val="20"/>
        </w:rPr>
        <w:t> </w:t>
      </w:r>
    </w:p>
    <w:p w14:paraId="1619B674" w14:textId="77777777" w:rsidR="00000000" w:rsidRDefault="007E65A2">
      <w:pPr>
        <w:pStyle w:val="a3"/>
        <w:spacing w:before="0" w:beforeAutospacing="0" w:after="0" w:afterAutospacing="0"/>
        <w:jc w:val="both"/>
        <w:divId w:val="911279972"/>
        <w:rPr>
          <w:sz w:val="20"/>
          <w:szCs w:val="20"/>
        </w:rPr>
      </w:pPr>
      <w:r>
        <w:rPr>
          <w:i/>
          <w:iCs/>
          <w:sz w:val="20"/>
          <w:szCs w:val="20"/>
        </w:rPr>
        <w:t>Basis of Presentation</w:t>
      </w:r>
    </w:p>
    <w:p w14:paraId="73793569" w14:textId="77777777" w:rsidR="00000000" w:rsidRDefault="007E65A2">
      <w:pPr>
        <w:pStyle w:val="a3"/>
        <w:spacing w:before="0" w:beforeAutospacing="0" w:after="0" w:afterAutospacing="0"/>
        <w:jc w:val="both"/>
        <w:divId w:val="911279972"/>
        <w:rPr>
          <w:sz w:val="20"/>
          <w:szCs w:val="20"/>
        </w:rPr>
      </w:pPr>
      <w:r>
        <w:rPr>
          <w:sz w:val="20"/>
          <w:szCs w:val="20"/>
        </w:rPr>
        <w:t> </w:t>
      </w:r>
    </w:p>
    <w:p w14:paraId="0C0302F8" w14:textId="77777777" w:rsidR="00000000" w:rsidRDefault="007E65A2">
      <w:pPr>
        <w:pStyle w:val="a3"/>
        <w:spacing w:before="0" w:beforeAutospacing="0" w:after="0" w:afterAutospacing="0"/>
        <w:jc w:val="both"/>
        <w:divId w:val="911279972"/>
        <w:rPr>
          <w:sz w:val="20"/>
          <w:szCs w:val="20"/>
        </w:rPr>
      </w:pPr>
      <w:r>
        <w:rPr>
          <w:sz w:val="20"/>
          <w:szCs w:val="20"/>
        </w:rPr>
        <w:t>The consolidated financial statements of the Company have been prepared in accordance with generally accepted accounting principles in the United States of America and are presented in US dollars. The Company’s year-end is June 30.</w:t>
      </w:r>
    </w:p>
    <w:p w14:paraId="6A95A774" w14:textId="77777777" w:rsidR="00000000" w:rsidRDefault="007E65A2">
      <w:pPr>
        <w:pStyle w:val="a3"/>
        <w:spacing w:before="0" w:beforeAutospacing="0" w:after="0" w:afterAutospacing="0"/>
        <w:jc w:val="both"/>
        <w:divId w:val="911279972"/>
        <w:rPr>
          <w:sz w:val="20"/>
          <w:szCs w:val="20"/>
        </w:rPr>
      </w:pPr>
      <w:r>
        <w:rPr>
          <w:sz w:val="20"/>
          <w:szCs w:val="20"/>
        </w:rPr>
        <w:t> </w:t>
      </w:r>
    </w:p>
    <w:p w14:paraId="0A45F24C" w14:textId="77777777" w:rsidR="00000000" w:rsidRDefault="007E65A2">
      <w:pPr>
        <w:pStyle w:val="a3"/>
        <w:spacing w:before="0" w:beforeAutospacing="0" w:after="0" w:afterAutospacing="0"/>
        <w:jc w:val="both"/>
        <w:divId w:val="911279972"/>
        <w:rPr>
          <w:sz w:val="20"/>
          <w:szCs w:val="20"/>
        </w:rPr>
      </w:pPr>
      <w:r>
        <w:rPr>
          <w:i/>
          <w:iCs/>
          <w:sz w:val="20"/>
          <w:szCs w:val="20"/>
        </w:rPr>
        <w:t>Use of Estimates and A</w:t>
      </w:r>
      <w:r>
        <w:rPr>
          <w:i/>
          <w:iCs/>
          <w:sz w:val="20"/>
          <w:szCs w:val="20"/>
        </w:rPr>
        <w:t>ssumptions</w:t>
      </w:r>
    </w:p>
    <w:p w14:paraId="386D0954" w14:textId="77777777" w:rsidR="00000000" w:rsidRDefault="007E65A2">
      <w:pPr>
        <w:pStyle w:val="a3"/>
        <w:spacing w:before="0" w:beforeAutospacing="0" w:after="0" w:afterAutospacing="0"/>
        <w:jc w:val="both"/>
        <w:divId w:val="911279972"/>
        <w:rPr>
          <w:sz w:val="20"/>
          <w:szCs w:val="20"/>
        </w:rPr>
      </w:pPr>
      <w:r>
        <w:rPr>
          <w:sz w:val="20"/>
          <w:szCs w:val="20"/>
        </w:rPr>
        <w:t> </w:t>
      </w:r>
    </w:p>
    <w:p w14:paraId="4A0BAC70" w14:textId="77777777" w:rsidR="00000000" w:rsidRDefault="007E65A2">
      <w:pPr>
        <w:pStyle w:val="a3"/>
        <w:spacing w:before="0" w:beforeAutospacing="0" w:after="0" w:afterAutospacing="0"/>
        <w:jc w:val="both"/>
        <w:divId w:val="911279972"/>
        <w:rPr>
          <w:sz w:val="20"/>
          <w:szCs w:val="20"/>
        </w:rPr>
      </w:pPr>
      <w:r>
        <w:rPr>
          <w:sz w:val="20"/>
          <w:szCs w:val="20"/>
        </w:rPr>
        <w:t>The preparation of consolidated financial statements in conformity with generally accepted accounting principles requires that management makes estimates and assumptions that affect the reported amounts of assets and liabilities and disclosure</w:t>
      </w:r>
      <w:r>
        <w:rPr>
          <w:sz w:val="20"/>
          <w:szCs w:val="20"/>
        </w:rPr>
        <w:t xml:space="preserve"> of contingent assets and liabilities at the date of the consolidated financial statements and the reported amounts of revenues and expenses during the period. Actual results could differ from those estimates.</w:t>
      </w:r>
    </w:p>
    <w:p w14:paraId="3CE3251F" w14:textId="77777777" w:rsidR="00000000" w:rsidRDefault="007E65A2">
      <w:pPr>
        <w:pStyle w:val="a3"/>
        <w:spacing w:before="0" w:beforeAutospacing="0" w:after="0" w:afterAutospacing="0"/>
        <w:jc w:val="both"/>
        <w:divId w:val="911279972"/>
        <w:rPr>
          <w:sz w:val="20"/>
          <w:szCs w:val="20"/>
        </w:rPr>
      </w:pPr>
      <w:r>
        <w:rPr>
          <w:sz w:val="20"/>
          <w:szCs w:val="20"/>
        </w:rPr>
        <w:t> </w:t>
      </w:r>
    </w:p>
    <w:p w14:paraId="7113E755" w14:textId="77777777" w:rsidR="00000000" w:rsidRDefault="007E65A2">
      <w:pPr>
        <w:pStyle w:val="a3"/>
        <w:spacing w:before="0" w:beforeAutospacing="0" w:after="0" w:afterAutospacing="0"/>
        <w:jc w:val="both"/>
        <w:divId w:val="911279972"/>
        <w:rPr>
          <w:sz w:val="20"/>
          <w:szCs w:val="20"/>
        </w:rPr>
      </w:pPr>
      <w:r>
        <w:rPr>
          <w:i/>
          <w:iCs/>
          <w:sz w:val="20"/>
          <w:szCs w:val="20"/>
        </w:rPr>
        <w:t>Principles of Consolidation</w:t>
      </w:r>
    </w:p>
    <w:p w14:paraId="239E9640" w14:textId="77777777" w:rsidR="00000000" w:rsidRDefault="007E65A2">
      <w:pPr>
        <w:pStyle w:val="a3"/>
        <w:spacing w:before="0" w:beforeAutospacing="0" w:after="0" w:afterAutospacing="0"/>
        <w:jc w:val="both"/>
        <w:divId w:val="911279972"/>
        <w:rPr>
          <w:sz w:val="20"/>
          <w:szCs w:val="20"/>
        </w:rPr>
      </w:pPr>
      <w:r>
        <w:rPr>
          <w:sz w:val="20"/>
          <w:szCs w:val="20"/>
        </w:rPr>
        <w:t> </w:t>
      </w:r>
    </w:p>
    <w:p w14:paraId="15F6DE28" w14:textId="77777777" w:rsidR="00000000" w:rsidRDefault="007E65A2">
      <w:pPr>
        <w:pStyle w:val="a3"/>
        <w:spacing w:before="0" w:beforeAutospacing="0" w:after="0" w:afterAutospacing="0"/>
        <w:jc w:val="both"/>
        <w:divId w:val="911279972"/>
        <w:rPr>
          <w:sz w:val="20"/>
          <w:szCs w:val="20"/>
        </w:rPr>
      </w:pPr>
      <w:r>
        <w:rPr>
          <w:sz w:val="20"/>
          <w:szCs w:val="20"/>
        </w:rPr>
        <w:t>The consolidat</w:t>
      </w:r>
      <w:r>
        <w:rPr>
          <w:sz w:val="20"/>
          <w:szCs w:val="20"/>
        </w:rPr>
        <w:t>ed financial statements include the accounts of AppYea and its wholly owned subsidiaries. Intercompany transactions and balances have been eliminated.</w:t>
      </w:r>
    </w:p>
    <w:p w14:paraId="3AB57441" w14:textId="77777777" w:rsidR="00000000" w:rsidRDefault="007E65A2">
      <w:pPr>
        <w:pStyle w:val="a3"/>
        <w:spacing w:before="0" w:beforeAutospacing="0" w:after="0" w:afterAutospacing="0"/>
        <w:jc w:val="both"/>
        <w:divId w:val="911279972"/>
        <w:rPr>
          <w:sz w:val="20"/>
          <w:szCs w:val="20"/>
        </w:rPr>
      </w:pPr>
      <w:r>
        <w:rPr>
          <w:sz w:val="20"/>
          <w:szCs w:val="20"/>
        </w:rPr>
        <w:t> </w:t>
      </w:r>
    </w:p>
    <w:p w14:paraId="5E39C5A4" w14:textId="77777777" w:rsidR="00000000" w:rsidRDefault="007E65A2">
      <w:pPr>
        <w:pStyle w:val="a3"/>
        <w:spacing w:before="0" w:beforeAutospacing="0" w:after="0" w:afterAutospacing="0"/>
        <w:jc w:val="both"/>
        <w:divId w:val="911279972"/>
        <w:rPr>
          <w:sz w:val="20"/>
          <w:szCs w:val="20"/>
        </w:rPr>
      </w:pPr>
      <w:r>
        <w:rPr>
          <w:i/>
          <w:iCs/>
          <w:sz w:val="20"/>
          <w:szCs w:val="20"/>
        </w:rPr>
        <w:t>Cash and Cash Equivalents</w:t>
      </w:r>
    </w:p>
    <w:p w14:paraId="69601139" w14:textId="77777777" w:rsidR="00000000" w:rsidRDefault="007E65A2">
      <w:pPr>
        <w:pStyle w:val="a3"/>
        <w:spacing w:before="0" w:beforeAutospacing="0" w:after="0" w:afterAutospacing="0"/>
        <w:jc w:val="both"/>
        <w:divId w:val="911279972"/>
        <w:rPr>
          <w:sz w:val="20"/>
          <w:szCs w:val="20"/>
        </w:rPr>
      </w:pPr>
      <w:r>
        <w:rPr>
          <w:sz w:val="20"/>
          <w:szCs w:val="20"/>
        </w:rPr>
        <w:t> </w:t>
      </w:r>
    </w:p>
    <w:p w14:paraId="2581A016" w14:textId="77777777" w:rsidR="00000000" w:rsidRDefault="007E65A2">
      <w:pPr>
        <w:pStyle w:val="a3"/>
        <w:spacing w:before="0" w:beforeAutospacing="0" w:after="0" w:afterAutospacing="0"/>
        <w:jc w:val="both"/>
        <w:divId w:val="911279972"/>
        <w:rPr>
          <w:sz w:val="20"/>
          <w:szCs w:val="20"/>
        </w:rPr>
      </w:pPr>
      <w:r>
        <w:rPr>
          <w:sz w:val="20"/>
          <w:szCs w:val="20"/>
        </w:rPr>
        <w:t xml:space="preserve">The Company considers all highly liquid investments with original maturity </w:t>
      </w:r>
      <w:r>
        <w:rPr>
          <w:sz w:val="20"/>
          <w:szCs w:val="20"/>
        </w:rPr>
        <w:t>of three months or less to be cash equivalents.</w:t>
      </w:r>
    </w:p>
    <w:p w14:paraId="78E72070" w14:textId="77777777" w:rsidR="00000000" w:rsidRDefault="007E65A2">
      <w:pPr>
        <w:pStyle w:val="a3"/>
        <w:spacing w:before="0" w:beforeAutospacing="0" w:after="0" w:afterAutospacing="0"/>
        <w:jc w:val="both"/>
        <w:divId w:val="911279972"/>
        <w:rPr>
          <w:sz w:val="20"/>
          <w:szCs w:val="20"/>
        </w:rPr>
      </w:pPr>
      <w:r>
        <w:rPr>
          <w:sz w:val="20"/>
          <w:szCs w:val="20"/>
        </w:rPr>
        <w:t> </w:t>
      </w:r>
    </w:p>
    <w:p w14:paraId="55D46E95" w14:textId="77777777" w:rsidR="00000000" w:rsidRDefault="007E65A2">
      <w:pPr>
        <w:pStyle w:val="a3"/>
        <w:spacing w:before="0" w:beforeAutospacing="0" w:after="0" w:afterAutospacing="0"/>
        <w:jc w:val="both"/>
        <w:divId w:val="911279972"/>
        <w:rPr>
          <w:sz w:val="20"/>
          <w:szCs w:val="20"/>
        </w:rPr>
      </w:pPr>
      <w:r>
        <w:rPr>
          <w:i/>
          <w:iCs/>
          <w:sz w:val="20"/>
          <w:szCs w:val="20"/>
        </w:rPr>
        <w:t>Fixed Assets</w:t>
      </w:r>
    </w:p>
    <w:p w14:paraId="51A33ABF" w14:textId="77777777" w:rsidR="00000000" w:rsidRDefault="007E65A2">
      <w:pPr>
        <w:pStyle w:val="a3"/>
        <w:spacing w:before="0" w:beforeAutospacing="0" w:after="0" w:afterAutospacing="0"/>
        <w:jc w:val="both"/>
        <w:divId w:val="911279972"/>
        <w:rPr>
          <w:sz w:val="20"/>
          <w:szCs w:val="20"/>
        </w:rPr>
      </w:pPr>
      <w:r>
        <w:rPr>
          <w:sz w:val="20"/>
          <w:szCs w:val="20"/>
        </w:rPr>
        <w:t> </w:t>
      </w:r>
    </w:p>
    <w:p w14:paraId="7E118B72" w14:textId="77777777" w:rsidR="00000000" w:rsidRDefault="007E65A2">
      <w:pPr>
        <w:pStyle w:val="a3"/>
        <w:spacing w:before="0" w:beforeAutospacing="0" w:after="0" w:afterAutospacing="0"/>
        <w:jc w:val="both"/>
        <w:divId w:val="911279972"/>
        <w:rPr>
          <w:sz w:val="20"/>
          <w:szCs w:val="20"/>
        </w:rPr>
      </w:pPr>
      <w:r>
        <w:rPr>
          <w:sz w:val="20"/>
          <w:szCs w:val="20"/>
        </w:rPr>
        <w:t>The Company’s fixed assets represent mobile applications that is has purchased and upgrades that it has made to these applications. These mobile applications and any upgrades are being amorti</w:t>
      </w:r>
      <w:r>
        <w:rPr>
          <w:sz w:val="20"/>
          <w:szCs w:val="20"/>
        </w:rPr>
        <w:t>zed over their useful lives of 3 years. The Company also purchased a pre-owned vehicle. Due to the age of the vehicle, it is being depreciated over the useful life of 3 years.</w:t>
      </w:r>
    </w:p>
    <w:p w14:paraId="021FA15C"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4001438" w14:textId="77777777">
        <w:trPr>
          <w:divId w:val="911279972"/>
          <w:tblCellSpacing w:w="0" w:type="dxa"/>
        </w:trPr>
        <w:tc>
          <w:tcPr>
            <w:tcW w:w="0" w:type="auto"/>
            <w:vAlign w:val="center"/>
            <w:hideMark/>
          </w:tcPr>
          <w:p w14:paraId="127DED2A" w14:textId="77777777" w:rsidR="00000000" w:rsidRDefault="007E65A2">
            <w:pPr>
              <w:rPr>
                <w:rFonts w:eastAsia="Times New Roman"/>
                <w:sz w:val="20"/>
                <w:szCs w:val="20"/>
              </w:rPr>
            </w:pPr>
            <w:r>
              <w:rPr>
                <w:rFonts w:eastAsia="Times New Roman"/>
                <w:sz w:val="20"/>
                <w:szCs w:val="20"/>
              </w:rPr>
              <w:t> </w:t>
            </w:r>
          </w:p>
        </w:tc>
      </w:tr>
      <w:tr w:rsidR="00000000" w14:paraId="313602EC" w14:textId="77777777">
        <w:trPr>
          <w:divId w:val="911279972"/>
          <w:tblCellSpacing w:w="0" w:type="dxa"/>
        </w:trPr>
        <w:tc>
          <w:tcPr>
            <w:tcW w:w="0" w:type="auto"/>
            <w:tcBorders>
              <w:bottom w:val="single" w:sz="6" w:space="0" w:color="000000"/>
            </w:tcBorders>
            <w:vAlign w:val="center"/>
            <w:hideMark/>
          </w:tcPr>
          <w:p w14:paraId="1214560E" w14:textId="77777777" w:rsidR="00000000" w:rsidRDefault="007E65A2">
            <w:pPr>
              <w:jc w:val="center"/>
              <w:rPr>
                <w:rFonts w:eastAsia="Times New Roman"/>
                <w:sz w:val="20"/>
                <w:szCs w:val="20"/>
              </w:rPr>
            </w:pPr>
            <w:r>
              <w:rPr>
                <w:rFonts w:eastAsia="Times New Roman"/>
                <w:sz w:val="20"/>
                <w:szCs w:val="20"/>
              </w:rPr>
              <w:t>F-7</w:t>
            </w:r>
          </w:p>
        </w:tc>
      </w:tr>
      <w:tr w:rsidR="00000000" w14:paraId="2070F717" w14:textId="77777777">
        <w:trPr>
          <w:divId w:val="911279972"/>
          <w:tblCellSpacing w:w="0" w:type="dxa"/>
        </w:trPr>
        <w:tc>
          <w:tcPr>
            <w:tcW w:w="0" w:type="auto"/>
            <w:vAlign w:val="center"/>
            <w:hideMark/>
          </w:tcPr>
          <w:p w14:paraId="001AD52E" w14:textId="77777777" w:rsidR="00000000" w:rsidRDefault="007E65A2">
            <w:pPr>
              <w:rPr>
                <w:rFonts w:eastAsia="Times New Roman"/>
                <w:sz w:val="20"/>
                <w:szCs w:val="20"/>
              </w:rPr>
            </w:pPr>
            <w:r>
              <w:rPr>
                <w:rFonts w:eastAsia="Times New Roman"/>
                <w:sz w:val="20"/>
                <w:szCs w:val="20"/>
              </w:rPr>
              <w:t> </w:t>
            </w:r>
          </w:p>
        </w:tc>
      </w:tr>
      <w:tr w:rsidR="00000000" w14:paraId="019D1D03" w14:textId="77777777">
        <w:trPr>
          <w:divId w:val="911279972"/>
          <w:tblCellSpacing w:w="0" w:type="dxa"/>
        </w:trPr>
        <w:tc>
          <w:tcPr>
            <w:tcW w:w="0" w:type="auto"/>
            <w:vAlign w:val="center"/>
            <w:hideMark/>
          </w:tcPr>
          <w:p w14:paraId="28C3FBBC"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036EBB09" w14:textId="77777777" w:rsidR="00000000" w:rsidRDefault="007E65A2">
      <w:pPr>
        <w:pStyle w:val="a3"/>
        <w:spacing w:before="0" w:beforeAutospacing="0" w:after="0" w:afterAutospacing="0"/>
        <w:jc w:val="both"/>
        <w:divId w:val="911279972"/>
        <w:rPr>
          <w:sz w:val="20"/>
          <w:szCs w:val="20"/>
        </w:rPr>
      </w:pPr>
      <w:r>
        <w:rPr>
          <w:sz w:val="20"/>
          <w:szCs w:val="20"/>
        </w:rPr>
        <w:t> </w:t>
      </w:r>
    </w:p>
    <w:p w14:paraId="4A09EB90" w14:textId="77777777" w:rsidR="00000000" w:rsidRDefault="007E65A2">
      <w:pPr>
        <w:pStyle w:val="a3"/>
        <w:spacing w:before="0" w:beforeAutospacing="0" w:after="0" w:afterAutospacing="0"/>
        <w:jc w:val="both"/>
        <w:divId w:val="911279972"/>
        <w:rPr>
          <w:sz w:val="20"/>
          <w:szCs w:val="20"/>
        </w:rPr>
      </w:pPr>
      <w:r>
        <w:rPr>
          <w:i/>
          <w:iCs/>
          <w:sz w:val="20"/>
          <w:szCs w:val="20"/>
        </w:rPr>
        <w:t>Long-Lived Assets</w:t>
      </w:r>
    </w:p>
    <w:p w14:paraId="799EC77D" w14:textId="77777777" w:rsidR="00000000" w:rsidRDefault="007E65A2">
      <w:pPr>
        <w:pStyle w:val="a3"/>
        <w:spacing w:before="0" w:beforeAutospacing="0" w:after="0" w:afterAutospacing="0"/>
        <w:jc w:val="both"/>
        <w:divId w:val="911279972"/>
        <w:rPr>
          <w:sz w:val="20"/>
          <w:szCs w:val="20"/>
        </w:rPr>
      </w:pPr>
      <w:r>
        <w:rPr>
          <w:sz w:val="20"/>
          <w:szCs w:val="20"/>
        </w:rPr>
        <w:t> </w:t>
      </w:r>
    </w:p>
    <w:p w14:paraId="5B57EEA2" w14:textId="77777777" w:rsidR="00000000" w:rsidRDefault="007E65A2">
      <w:pPr>
        <w:pStyle w:val="a3"/>
        <w:spacing w:before="0" w:beforeAutospacing="0" w:after="0" w:afterAutospacing="0"/>
        <w:jc w:val="both"/>
        <w:divId w:val="911279972"/>
        <w:rPr>
          <w:sz w:val="20"/>
          <w:szCs w:val="20"/>
        </w:rPr>
      </w:pPr>
      <w:r>
        <w:rPr>
          <w:sz w:val="20"/>
          <w:szCs w:val="20"/>
        </w:rPr>
        <w:t xml:space="preserve">The long-lived assets of the Company are reviewed for impairment in accordance with ASC No. 360, “Property, Plant and Equipment” (“ASC No. 360”), whenever events or changes in circumstances indicate that the carrying amount of an asset </w:t>
      </w:r>
      <w:r>
        <w:rPr>
          <w:sz w:val="20"/>
          <w:szCs w:val="20"/>
        </w:rPr>
        <w:t>may not be recoverable. The recoverability of assets to be held and used is measured by a comparison of the carrying amount of an asset to the future undiscounted cash flows expected to be generated by the assets. If such assets are considered to be impair</w:t>
      </w:r>
      <w:r>
        <w:rPr>
          <w:sz w:val="20"/>
          <w:szCs w:val="20"/>
        </w:rPr>
        <w:t>ed, the impairment to be recognized is measured by the amount by which the carrying amount of the assets exceeds the fair value of the assets. During the years ended June 30, 2019 and 2018, no impairment losses have been identified.</w:t>
      </w:r>
    </w:p>
    <w:p w14:paraId="576AB02A" w14:textId="77777777" w:rsidR="00000000" w:rsidRDefault="007E65A2">
      <w:pPr>
        <w:pStyle w:val="a3"/>
        <w:spacing w:before="0" w:beforeAutospacing="0" w:after="0" w:afterAutospacing="0"/>
        <w:jc w:val="both"/>
        <w:divId w:val="911279972"/>
        <w:rPr>
          <w:sz w:val="20"/>
          <w:szCs w:val="20"/>
        </w:rPr>
      </w:pPr>
      <w:r>
        <w:rPr>
          <w:sz w:val="20"/>
          <w:szCs w:val="20"/>
        </w:rPr>
        <w:t> </w:t>
      </w:r>
    </w:p>
    <w:p w14:paraId="32F52A01" w14:textId="77777777" w:rsidR="00000000" w:rsidRDefault="007E65A2">
      <w:pPr>
        <w:pStyle w:val="a3"/>
        <w:spacing w:before="0" w:beforeAutospacing="0" w:after="0" w:afterAutospacing="0"/>
        <w:jc w:val="both"/>
        <w:divId w:val="911279972"/>
        <w:rPr>
          <w:sz w:val="20"/>
          <w:szCs w:val="20"/>
        </w:rPr>
      </w:pPr>
      <w:r>
        <w:rPr>
          <w:i/>
          <w:iCs/>
          <w:sz w:val="20"/>
          <w:szCs w:val="20"/>
        </w:rPr>
        <w:t>Stock-based Compensat</w:t>
      </w:r>
      <w:r>
        <w:rPr>
          <w:i/>
          <w:iCs/>
          <w:sz w:val="20"/>
          <w:szCs w:val="20"/>
        </w:rPr>
        <w:t>ion</w:t>
      </w:r>
    </w:p>
    <w:p w14:paraId="02592DAD" w14:textId="77777777" w:rsidR="00000000" w:rsidRDefault="007E65A2">
      <w:pPr>
        <w:pStyle w:val="a3"/>
        <w:spacing w:before="0" w:beforeAutospacing="0" w:after="0" w:afterAutospacing="0"/>
        <w:jc w:val="both"/>
        <w:divId w:val="911279972"/>
        <w:rPr>
          <w:sz w:val="20"/>
          <w:szCs w:val="20"/>
        </w:rPr>
      </w:pPr>
      <w:r>
        <w:rPr>
          <w:sz w:val="20"/>
          <w:szCs w:val="20"/>
        </w:rPr>
        <w:t> </w:t>
      </w:r>
    </w:p>
    <w:p w14:paraId="3239FA00" w14:textId="77777777" w:rsidR="00000000" w:rsidRDefault="007E65A2">
      <w:pPr>
        <w:pStyle w:val="a3"/>
        <w:spacing w:before="0" w:beforeAutospacing="0" w:after="0" w:afterAutospacing="0"/>
        <w:jc w:val="both"/>
        <w:divId w:val="911279972"/>
        <w:rPr>
          <w:sz w:val="20"/>
          <w:szCs w:val="20"/>
        </w:rPr>
      </w:pPr>
      <w:r>
        <w:rPr>
          <w:sz w:val="20"/>
          <w:szCs w:val="20"/>
        </w:rPr>
        <w:t>ASC 718 “Compensation – Stock Compensation,” prescribes accounting and reporting standards for all share-based payment transactions in which employee services are acquired. Transactions include incurring liabilities, or issuing or offering to issue s</w:t>
      </w:r>
      <w:r>
        <w:rPr>
          <w:sz w:val="20"/>
          <w:szCs w:val="20"/>
        </w:rPr>
        <w:t>hares, options, and other equity instruments such as employee stock ownership plans and stock appreciation rights. Share-based payments to employees, including grants of employee stock options, are recognized as compensation expense in the financial statem</w:t>
      </w:r>
      <w:r>
        <w:rPr>
          <w:sz w:val="20"/>
          <w:szCs w:val="20"/>
        </w:rPr>
        <w:t>ents based on their fair values. That expense is recognized over the period during which an employee is required to provide services in exchange for the award, known as the requisite service period (usually the vesting period).</w:t>
      </w:r>
    </w:p>
    <w:p w14:paraId="753895A9" w14:textId="77777777" w:rsidR="00000000" w:rsidRDefault="007E65A2">
      <w:pPr>
        <w:pStyle w:val="a3"/>
        <w:spacing w:before="0" w:beforeAutospacing="0" w:after="0" w:afterAutospacing="0"/>
        <w:jc w:val="both"/>
        <w:divId w:val="911279972"/>
        <w:rPr>
          <w:sz w:val="20"/>
          <w:szCs w:val="20"/>
        </w:rPr>
      </w:pPr>
      <w:r>
        <w:rPr>
          <w:sz w:val="20"/>
          <w:szCs w:val="20"/>
        </w:rPr>
        <w:t> </w:t>
      </w:r>
    </w:p>
    <w:p w14:paraId="16D26610" w14:textId="77777777" w:rsidR="00000000" w:rsidRDefault="007E65A2">
      <w:pPr>
        <w:pStyle w:val="a3"/>
        <w:spacing w:before="0" w:beforeAutospacing="0" w:after="0" w:afterAutospacing="0"/>
        <w:jc w:val="both"/>
        <w:divId w:val="911279972"/>
        <w:rPr>
          <w:sz w:val="20"/>
          <w:szCs w:val="20"/>
        </w:rPr>
      </w:pPr>
      <w:r>
        <w:rPr>
          <w:sz w:val="20"/>
          <w:szCs w:val="20"/>
        </w:rPr>
        <w:t>The Company accounts for s</w:t>
      </w:r>
      <w:r>
        <w:rPr>
          <w:sz w:val="20"/>
          <w:szCs w:val="20"/>
        </w:rPr>
        <w:t>tock-based compensation issued to non-employees and consultants in accordance with the provisions of ASC 505-50, “Equity – Based Payments to Non-Employees.” Measurement of share-based payment transactions with non-employees is based on the fair value of wh</w:t>
      </w:r>
      <w:r>
        <w:rPr>
          <w:sz w:val="20"/>
          <w:szCs w:val="20"/>
        </w:rPr>
        <w:t>ichever is more reliably measurable: (a) the goods or services received; or (b) the equity instruments issued. The fair value of the share-based payment transaction is determined at the earlier of performance commitment date or performance completion date.</w:t>
      </w:r>
    </w:p>
    <w:p w14:paraId="20A23C6C" w14:textId="77777777" w:rsidR="00000000" w:rsidRDefault="007E65A2">
      <w:pPr>
        <w:pStyle w:val="a3"/>
        <w:spacing w:before="0" w:beforeAutospacing="0" w:after="0" w:afterAutospacing="0"/>
        <w:jc w:val="both"/>
        <w:divId w:val="911279972"/>
        <w:rPr>
          <w:sz w:val="20"/>
          <w:szCs w:val="20"/>
        </w:rPr>
      </w:pPr>
      <w:r>
        <w:rPr>
          <w:sz w:val="20"/>
          <w:szCs w:val="20"/>
        </w:rPr>
        <w:t> </w:t>
      </w:r>
    </w:p>
    <w:p w14:paraId="0AF4AF17" w14:textId="77777777" w:rsidR="00000000" w:rsidRDefault="007E65A2">
      <w:pPr>
        <w:pStyle w:val="a3"/>
        <w:spacing w:before="0" w:beforeAutospacing="0" w:after="0" w:afterAutospacing="0"/>
        <w:jc w:val="both"/>
        <w:divId w:val="911279972"/>
        <w:rPr>
          <w:sz w:val="20"/>
          <w:szCs w:val="20"/>
        </w:rPr>
      </w:pPr>
      <w:r>
        <w:rPr>
          <w:i/>
          <w:iCs/>
          <w:sz w:val="20"/>
          <w:szCs w:val="20"/>
        </w:rPr>
        <w:t>Related Parties</w:t>
      </w:r>
    </w:p>
    <w:p w14:paraId="67EDAD24" w14:textId="77777777" w:rsidR="00000000" w:rsidRDefault="007E65A2">
      <w:pPr>
        <w:pStyle w:val="a3"/>
        <w:spacing w:before="0" w:beforeAutospacing="0" w:after="0" w:afterAutospacing="0"/>
        <w:jc w:val="both"/>
        <w:divId w:val="911279972"/>
        <w:rPr>
          <w:sz w:val="20"/>
          <w:szCs w:val="20"/>
        </w:rPr>
      </w:pPr>
      <w:r>
        <w:rPr>
          <w:sz w:val="20"/>
          <w:szCs w:val="20"/>
        </w:rPr>
        <w:t> </w:t>
      </w:r>
    </w:p>
    <w:p w14:paraId="2418293A" w14:textId="77777777" w:rsidR="00000000" w:rsidRDefault="007E65A2">
      <w:pPr>
        <w:pStyle w:val="a3"/>
        <w:spacing w:before="0" w:beforeAutospacing="0" w:after="0" w:afterAutospacing="0"/>
        <w:jc w:val="both"/>
        <w:divId w:val="911279972"/>
        <w:rPr>
          <w:sz w:val="20"/>
          <w:szCs w:val="20"/>
        </w:rPr>
      </w:pPr>
      <w:r>
        <w:rPr>
          <w:sz w:val="20"/>
          <w:szCs w:val="20"/>
        </w:rPr>
        <w:t>The Company follows ASC 850, “Related Party Disclosures,” for the identification of related parties and disclosure of related party transactions. See note 11.</w:t>
      </w:r>
    </w:p>
    <w:p w14:paraId="4DF2662B" w14:textId="77777777" w:rsidR="00000000" w:rsidRDefault="007E65A2">
      <w:pPr>
        <w:pStyle w:val="a3"/>
        <w:spacing w:before="0" w:beforeAutospacing="0" w:after="0" w:afterAutospacing="0"/>
        <w:jc w:val="both"/>
        <w:divId w:val="911279972"/>
        <w:rPr>
          <w:sz w:val="20"/>
          <w:szCs w:val="20"/>
        </w:rPr>
      </w:pPr>
      <w:r>
        <w:rPr>
          <w:sz w:val="20"/>
          <w:szCs w:val="20"/>
        </w:rPr>
        <w:t> </w:t>
      </w:r>
    </w:p>
    <w:p w14:paraId="67466020" w14:textId="77777777" w:rsidR="00000000" w:rsidRDefault="007E65A2">
      <w:pPr>
        <w:pStyle w:val="a3"/>
        <w:spacing w:before="0" w:beforeAutospacing="0" w:after="0" w:afterAutospacing="0"/>
        <w:jc w:val="both"/>
        <w:divId w:val="911279972"/>
        <w:rPr>
          <w:sz w:val="20"/>
          <w:szCs w:val="20"/>
        </w:rPr>
      </w:pPr>
      <w:r>
        <w:rPr>
          <w:i/>
          <w:iCs/>
          <w:sz w:val="20"/>
          <w:szCs w:val="20"/>
        </w:rPr>
        <w:t>Financial Instruments and Fair Value Measurements</w:t>
      </w:r>
    </w:p>
    <w:p w14:paraId="11E2AA08" w14:textId="77777777" w:rsidR="00000000" w:rsidRDefault="007E65A2">
      <w:pPr>
        <w:pStyle w:val="a3"/>
        <w:spacing w:before="0" w:beforeAutospacing="0" w:after="0" w:afterAutospacing="0"/>
        <w:jc w:val="both"/>
        <w:divId w:val="911279972"/>
        <w:rPr>
          <w:sz w:val="20"/>
          <w:szCs w:val="20"/>
        </w:rPr>
      </w:pPr>
      <w:r>
        <w:rPr>
          <w:sz w:val="20"/>
          <w:szCs w:val="20"/>
        </w:rPr>
        <w:t> </w:t>
      </w:r>
    </w:p>
    <w:p w14:paraId="3FA1B8CB" w14:textId="77777777" w:rsidR="00000000" w:rsidRDefault="007E65A2">
      <w:pPr>
        <w:pStyle w:val="a3"/>
        <w:spacing w:before="0" w:beforeAutospacing="0" w:after="0" w:afterAutospacing="0"/>
        <w:jc w:val="both"/>
        <w:divId w:val="911279972"/>
        <w:rPr>
          <w:sz w:val="20"/>
          <w:szCs w:val="20"/>
        </w:rPr>
      </w:pPr>
      <w:r>
        <w:rPr>
          <w:sz w:val="20"/>
          <w:szCs w:val="20"/>
        </w:rPr>
        <w:t>As defined in ASC 820”</w:t>
      </w:r>
      <w:r>
        <w:rPr>
          <w:sz w:val="20"/>
          <w:szCs w:val="20"/>
        </w:rPr>
        <w:t xml:space="preserve"> Fair Value Measurements,” fair value is the price that would be received to sell an asset or paid to transfer a liability in an orderly transaction between market participants at the measurement date (exit price). The Company utilizes market data or assum</w:t>
      </w:r>
      <w:r>
        <w:rPr>
          <w:sz w:val="20"/>
          <w:szCs w:val="20"/>
        </w:rPr>
        <w:t>ptions that market participants would use in pricing the asset or liability, including assumptions about risk and the risks inherent in the inputs to the valuation technique. These inputs can be readily observable, market corroborated, or generally unobser</w:t>
      </w:r>
      <w:r>
        <w:rPr>
          <w:sz w:val="20"/>
          <w:szCs w:val="20"/>
        </w:rPr>
        <w:t>vable. The Company classifies fair value balances based on the observability of those inputs. ASC 820 establishes a fair value hierarchy that prioritizes the inputs used to measure fair value. The hierarchy gives the highest priority to unadjusted quoted p</w:t>
      </w:r>
      <w:r>
        <w:rPr>
          <w:sz w:val="20"/>
          <w:szCs w:val="20"/>
        </w:rPr>
        <w:t>rices in active markets for identical assets or liabilities (level 1 measurement) and the lowest priority to unobservable inputs (level 3 measurement).</w:t>
      </w:r>
    </w:p>
    <w:p w14:paraId="3A3B0CF4"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2F0B1EC" w14:textId="77777777">
        <w:trPr>
          <w:divId w:val="911279972"/>
          <w:tblCellSpacing w:w="0" w:type="dxa"/>
        </w:trPr>
        <w:tc>
          <w:tcPr>
            <w:tcW w:w="0" w:type="auto"/>
            <w:vAlign w:val="center"/>
            <w:hideMark/>
          </w:tcPr>
          <w:p w14:paraId="066CB1E1" w14:textId="77777777" w:rsidR="00000000" w:rsidRDefault="007E65A2">
            <w:pPr>
              <w:rPr>
                <w:rFonts w:eastAsia="Times New Roman"/>
                <w:sz w:val="20"/>
                <w:szCs w:val="20"/>
              </w:rPr>
            </w:pPr>
            <w:r>
              <w:rPr>
                <w:rFonts w:eastAsia="Times New Roman"/>
                <w:sz w:val="20"/>
                <w:szCs w:val="20"/>
              </w:rPr>
              <w:t> </w:t>
            </w:r>
          </w:p>
        </w:tc>
      </w:tr>
      <w:tr w:rsidR="00000000" w14:paraId="41C40C3E" w14:textId="77777777">
        <w:trPr>
          <w:divId w:val="911279972"/>
          <w:tblCellSpacing w:w="0" w:type="dxa"/>
        </w:trPr>
        <w:tc>
          <w:tcPr>
            <w:tcW w:w="0" w:type="auto"/>
            <w:tcBorders>
              <w:bottom w:val="single" w:sz="6" w:space="0" w:color="000000"/>
            </w:tcBorders>
            <w:vAlign w:val="center"/>
            <w:hideMark/>
          </w:tcPr>
          <w:p w14:paraId="36E67284" w14:textId="77777777" w:rsidR="00000000" w:rsidRDefault="007E65A2">
            <w:pPr>
              <w:jc w:val="center"/>
              <w:rPr>
                <w:rFonts w:eastAsia="Times New Roman"/>
                <w:sz w:val="20"/>
                <w:szCs w:val="20"/>
              </w:rPr>
            </w:pPr>
            <w:r>
              <w:rPr>
                <w:rFonts w:eastAsia="Times New Roman"/>
                <w:sz w:val="20"/>
                <w:szCs w:val="20"/>
              </w:rPr>
              <w:t>F-8</w:t>
            </w:r>
          </w:p>
        </w:tc>
      </w:tr>
      <w:tr w:rsidR="00000000" w14:paraId="0E92299C" w14:textId="77777777">
        <w:trPr>
          <w:divId w:val="911279972"/>
          <w:tblCellSpacing w:w="0" w:type="dxa"/>
        </w:trPr>
        <w:tc>
          <w:tcPr>
            <w:tcW w:w="0" w:type="auto"/>
            <w:vAlign w:val="center"/>
            <w:hideMark/>
          </w:tcPr>
          <w:p w14:paraId="19167BA5" w14:textId="77777777" w:rsidR="00000000" w:rsidRDefault="007E65A2">
            <w:pPr>
              <w:rPr>
                <w:rFonts w:eastAsia="Times New Roman"/>
                <w:sz w:val="20"/>
                <w:szCs w:val="20"/>
              </w:rPr>
            </w:pPr>
            <w:r>
              <w:rPr>
                <w:rFonts w:eastAsia="Times New Roman"/>
                <w:sz w:val="20"/>
                <w:szCs w:val="20"/>
              </w:rPr>
              <w:t> </w:t>
            </w:r>
          </w:p>
        </w:tc>
      </w:tr>
      <w:tr w:rsidR="00000000" w14:paraId="40C5A8A4" w14:textId="77777777">
        <w:trPr>
          <w:divId w:val="911279972"/>
          <w:tblCellSpacing w:w="0" w:type="dxa"/>
        </w:trPr>
        <w:tc>
          <w:tcPr>
            <w:tcW w:w="0" w:type="auto"/>
            <w:vAlign w:val="center"/>
            <w:hideMark/>
          </w:tcPr>
          <w:p w14:paraId="1852EFC9"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79E38560" w14:textId="77777777" w:rsidR="00000000" w:rsidRDefault="007E65A2">
      <w:pPr>
        <w:pStyle w:val="a3"/>
        <w:spacing w:before="0" w:beforeAutospacing="0" w:after="0" w:afterAutospacing="0"/>
        <w:jc w:val="both"/>
        <w:divId w:val="911279972"/>
        <w:rPr>
          <w:sz w:val="20"/>
          <w:szCs w:val="20"/>
        </w:rPr>
      </w:pPr>
      <w:r>
        <w:rPr>
          <w:sz w:val="20"/>
          <w:szCs w:val="20"/>
        </w:rPr>
        <w:t> </w:t>
      </w:r>
    </w:p>
    <w:p w14:paraId="2880A000" w14:textId="77777777" w:rsidR="00000000" w:rsidRDefault="007E65A2">
      <w:pPr>
        <w:pStyle w:val="a3"/>
        <w:spacing w:before="0" w:beforeAutospacing="0" w:after="0" w:afterAutospacing="0"/>
        <w:jc w:val="both"/>
        <w:divId w:val="911279972"/>
        <w:rPr>
          <w:sz w:val="20"/>
          <w:szCs w:val="20"/>
        </w:rPr>
      </w:pPr>
      <w:r>
        <w:rPr>
          <w:sz w:val="20"/>
          <w:szCs w:val="20"/>
        </w:rPr>
        <w:t>The following table summarizes fair value measurements by level at June 30, 2019 and 2018, measured at fair value on a recurring basis:</w:t>
      </w:r>
    </w:p>
    <w:p w14:paraId="6986D7AB"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1"/>
        <w:gridCol w:w="742"/>
        <w:gridCol w:w="77"/>
        <w:gridCol w:w="77"/>
        <w:gridCol w:w="101"/>
        <w:gridCol w:w="742"/>
        <w:gridCol w:w="78"/>
        <w:gridCol w:w="78"/>
        <w:gridCol w:w="100"/>
        <w:gridCol w:w="743"/>
        <w:gridCol w:w="78"/>
        <w:gridCol w:w="78"/>
        <w:gridCol w:w="100"/>
        <w:gridCol w:w="743"/>
        <w:gridCol w:w="78"/>
      </w:tblGrid>
      <w:tr w:rsidR="00000000" w14:paraId="774935E2" w14:textId="77777777">
        <w:trPr>
          <w:divId w:val="911279972"/>
          <w:tblCellSpacing w:w="0" w:type="dxa"/>
        </w:trPr>
        <w:tc>
          <w:tcPr>
            <w:tcW w:w="0" w:type="auto"/>
            <w:tcBorders>
              <w:bottom w:val="single" w:sz="6" w:space="0" w:color="auto"/>
            </w:tcBorders>
            <w:vAlign w:val="bottom"/>
            <w:hideMark/>
          </w:tcPr>
          <w:p w14:paraId="750CB9BF" w14:textId="77777777" w:rsidR="00000000" w:rsidRDefault="007E65A2">
            <w:pPr>
              <w:pStyle w:val="a3"/>
              <w:spacing w:before="0" w:beforeAutospacing="0" w:after="0" w:afterAutospacing="0"/>
              <w:jc w:val="both"/>
              <w:rPr>
                <w:sz w:val="20"/>
                <w:szCs w:val="20"/>
              </w:rPr>
            </w:pPr>
            <w:r>
              <w:rPr>
                <w:b/>
                <w:bCs/>
                <w:sz w:val="20"/>
                <w:szCs w:val="20"/>
              </w:rPr>
              <w:t>June 30, 2019</w:t>
            </w:r>
          </w:p>
        </w:tc>
        <w:tc>
          <w:tcPr>
            <w:tcW w:w="0" w:type="auto"/>
            <w:vAlign w:val="bottom"/>
            <w:hideMark/>
          </w:tcPr>
          <w:p w14:paraId="043ED38B"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79463869" w14:textId="77777777" w:rsidR="00000000" w:rsidRDefault="007E65A2">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15EF07D6"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0E0C619B"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0C092804" w14:textId="77777777" w:rsidR="00000000" w:rsidRDefault="007E65A2">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5650D77A"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6673BBC"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716B8205" w14:textId="77777777" w:rsidR="00000000" w:rsidRDefault="007E65A2">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4467FB38"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41D617E"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563209EB" w14:textId="77777777" w:rsidR="00000000" w:rsidRDefault="007E65A2">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58B372D5" w14:textId="77777777" w:rsidR="00000000" w:rsidRDefault="007E65A2">
            <w:pPr>
              <w:pStyle w:val="a3"/>
              <w:spacing w:before="0" w:beforeAutospacing="0" w:after="0" w:afterAutospacing="0"/>
              <w:jc w:val="both"/>
              <w:rPr>
                <w:sz w:val="20"/>
                <w:szCs w:val="20"/>
              </w:rPr>
            </w:pPr>
            <w:r>
              <w:rPr>
                <w:sz w:val="20"/>
                <w:szCs w:val="20"/>
              </w:rPr>
              <w:t> </w:t>
            </w:r>
          </w:p>
        </w:tc>
      </w:tr>
      <w:tr w:rsidR="00000000" w14:paraId="697B57AF" w14:textId="77777777">
        <w:trPr>
          <w:divId w:val="911279972"/>
          <w:tblCellSpacing w:w="0" w:type="dxa"/>
        </w:trPr>
        <w:tc>
          <w:tcPr>
            <w:tcW w:w="0" w:type="auto"/>
            <w:shd w:val="clear" w:color="auto" w:fill="CCEEFF"/>
            <w:hideMark/>
          </w:tcPr>
          <w:p w14:paraId="4EA51D81" w14:textId="77777777" w:rsidR="00000000" w:rsidRDefault="007E65A2">
            <w:pPr>
              <w:pStyle w:val="a3"/>
              <w:spacing w:before="0" w:beforeAutospacing="0" w:after="0" w:afterAutospacing="0"/>
              <w:jc w:val="both"/>
              <w:rPr>
                <w:sz w:val="20"/>
                <w:szCs w:val="20"/>
              </w:rPr>
            </w:pPr>
            <w:r>
              <w:rPr>
                <w:b/>
                <w:bCs/>
                <w:sz w:val="20"/>
                <w:szCs w:val="20"/>
              </w:rPr>
              <w:t>Assets</w:t>
            </w:r>
          </w:p>
        </w:tc>
        <w:tc>
          <w:tcPr>
            <w:tcW w:w="50" w:type="pct"/>
            <w:shd w:val="clear" w:color="auto" w:fill="CCEEFF"/>
            <w:vAlign w:val="bottom"/>
            <w:hideMark/>
          </w:tcPr>
          <w:p w14:paraId="2F69C830"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0831A99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7444AD2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9B35EBA"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4145C9D5"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D5CB61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8C15ACE"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0CC56642"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BF0A82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6FA029"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175FFD05"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587A5E2A" w14:textId="77777777" w:rsidR="00000000" w:rsidRDefault="007E65A2">
            <w:pPr>
              <w:pStyle w:val="a3"/>
              <w:spacing w:before="0" w:beforeAutospacing="0" w:after="0" w:afterAutospacing="0"/>
              <w:jc w:val="both"/>
              <w:rPr>
                <w:sz w:val="20"/>
                <w:szCs w:val="20"/>
              </w:rPr>
            </w:pPr>
            <w:r>
              <w:rPr>
                <w:sz w:val="20"/>
                <w:szCs w:val="20"/>
              </w:rPr>
              <w:t> </w:t>
            </w:r>
          </w:p>
        </w:tc>
      </w:tr>
      <w:tr w:rsidR="00000000" w14:paraId="224992B2" w14:textId="77777777">
        <w:trPr>
          <w:divId w:val="911279972"/>
          <w:tblCellSpacing w:w="0" w:type="dxa"/>
        </w:trPr>
        <w:tc>
          <w:tcPr>
            <w:tcW w:w="0" w:type="auto"/>
            <w:shd w:val="clear" w:color="auto" w:fill="FFFFFF"/>
            <w:hideMark/>
          </w:tcPr>
          <w:p w14:paraId="3BDFBA07" w14:textId="77777777" w:rsidR="00000000" w:rsidRDefault="007E65A2">
            <w:pPr>
              <w:pStyle w:val="a3"/>
              <w:spacing w:before="0" w:beforeAutospacing="0" w:after="0" w:afterAutospacing="0"/>
              <w:jc w:val="both"/>
              <w:rPr>
                <w:sz w:val="20"/>
                <w:szCs w:val="20"/>
              </w:rPr>
            </w:pPr>
            <w:r>
              <w:rPr>
                <w:sz w:val="20"/>
                <w:szCs w:val="20"/>
              </w:rPr>
              <w:t>None</w:t>
            </w:r>
          </w:p>
        </w:tc>
        <w:tc>
          <w:tcPr>
            <w:tcW w:w="50" w:type="pct"/>
            <w:shd w:val="clear" w:color="auto" w:fill="FFFFFF"/>
            <w:vAlign w:val="bottom"/>
            <w:hideMark/>
          </w:tcPr>
          <w:p w14:paraId="10F0762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3F0DD26"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A610319"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6C0BF8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B7FA79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B4CD260"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5D2F7F2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22D993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A5BA69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91330B3"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104009D6"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3C6232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3400CF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3DA86F"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7738236"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557544B" w14:textId="77777777" w:rsidR="00000000" w:rsidRDefault="007E65A2">
            <w:pPr>
              <w:pStyle w:val="a3"/>
              <w:spacing w:before="0" w:beforeAutospacing="0" w:after="0" w:afterAutospacing="0"/>
              <w:jc w:val="both"/>
              <w:rPr>
                <w:sz w:val="20"/>
                <w:szCs w:val="20"/>
              </w:rPr>
            </w:pPr>
            <w:r>
              <w:rPr>
                <w:sz w:val="20"/>
                <w:szCs w:val="20"/>
              </w:rPr>
              <w:t> </w:t>
            </w:r>
          </w:p>
        </w:tc>
      </w:tr>
      <w:tr w:rsidR="00000000" w14:paraId="508C8003" w14:textId="77777777">
        <w:trPr>
          <w:divId w:val="911279972"/>
          <w:tblCellSpacing w:w="0" w:type="dxa"/>
        </w:trPr>
        <w:tc>
          <w:tcPr>
            <w:tcW w:w="0" w:type="auto"/>
            <w:shd w:val="clear" w:color="auto" w:fill="CCEEFF"/>
            <w:vAlign w:val="center"/>
            <w:hideMark/>
          </w:tcPr>
          <w:p w14:paraId="7B8D7B2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DBA3B6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C855C6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3366C47"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9E4B4A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5F4961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32D9A4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784BE6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A88839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22D882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CD3EE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7F1D0C7"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2E30BA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B42E9B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0C3E5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DBF4514"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4DC9C4B7" w14:textId="77777777" w:rsidR="00000000" w:rsidRDefault="007E65A2">
            <w:pPr>
              <w:pStyle w:val="a3"/>
              <w:spacing w:before="0" w:beforeAutospacing="0" w:after="0" w:afterAutospacing="0"/>
              <w:jc w:val="both"/>
              <w:rPr>
                <w:sz w:val="20"/>
                <w:szCs w:val="20"/>
              </w:rPr>
            </w:pPr>
            <w:r>
              <w:rPr>
                <w:sz w:val="20"/>
                <w:szCs w:val="20"/>
              </w:rPr>
              <w:t> </w:t>
            </w:r>
          </w:p>
        </w:tc>
      </w:tr>
      <w:tr w:rsidR="00000000" w14:paraId="1D6CEA13" w14:textId="77777777">
        <w:trPr>
          <w:divId w:val="911279972"/>
          <w:tblCellSpacing w:w="0" w:type="dxa"/>
        </w:trPr>
        <w:tc>
          <w:tcPr>
            <w:tcW w:w="0" w:type="auto"/>
            <w:shd w:val="clear" w:color="auto" w:fill="FFFFFF"/>
            <w:hideMark/>
          </w:tcPr>
          <w:p w14:paraId="3917E3A2" w14:textId="77777777" w:rsidR="00000000" w:rsidRDefault="007E65A2">
            <w:pPr>
              <w:pStyle w:val="a3"/>
              <w:spacing w:before="0" w:beforeAutospacing="0" w:after="0" w:afterAutospacing="0"/>
              <w:jc w:val="both"/>
              <w:rPr>
                <w:sz w:val="20"/>
                <w:szCs w:val="20"/>
              </w:rPr>
            </w:pPr>
            <w:r>
              <w:rPr>
                <w:b/>
                <w:bCs/>
                <w:sz w:val="20"/>
                <w:szCs w:val="20"/>
              </w:rPr>
              <w:t>Liabilities</w:t>
            </w:r>
          </w:p>
        </w:tc>
        <w:tc>
          <w:tcPr>
            <w:tcW w:w="50" w:type="pct"/>
            <w:shd w:val="clear" w:color="auto" w:fill="FFFFFF"/>
            <w:vAlign w:val="bottom"/>
            <w:hideMark/>
          </w:tcPr>
          <w:p w14:paraId="648490F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CB97E9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33B19B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D5547D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BB0A5F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2DCF14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12136F4"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245FE1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2309A5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D9D85A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F1D08D3"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7E8401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3F0CB5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7B4A50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82C3677"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3325828" w14:textId="77777777" w:rsidR="00000000" w:rsidRDefault="007E65A2">
            <w:pPr>
              <w:pStyle w:val="a3"/>
              <w:spacing w:before="0" w:beforeAutospacing="0" w:after="0" w:afterAutospacing="0"/>
              <w:jc w:val="both"/>
              <w:rPr>
                <w:sz w:val="20"/>
                <w:szCs w:val="20"/>
              </w:rPr>
            </w:pPr>
            <w:r>
              <w:rPr>
                <w:sz w:val="20"/>
                <w:szCs w:val="20"/>
              </w:rPr>
              <w:t> </w:t>
            </w:r>
          </w:p>
        </w:tc>
      </w:tr>
      <w:tr w:rsidR="00000000" w14:paraId="4F4817D8" w14:textId="77777777">
        <w:trPr>
          <w:divId w:val="911279972"/>
          <w:tblCellSpacing w:w="0" w:type="dxa"/>
        </w:trPr>
        <w:tc>
          <w:tcPr>
            <w:tcW w:w="0" w:type="auto"/>
            <w:shd w:val="clear" w:color="auto" w:fill="CCEEFF"/>
            <w:hideMark/>
          </w:tcPr>
          <w:p w14:paraId="765C91D2" w14:textId="77777777" w:rsidR="00000000" w:rsidRDefault="007E65A2">
            <w:pPr>
              <w:pStyle w:val="a3"/>
              <w:spacing w:before="0" w:beforeAutospacing="0" w:after="0" w:afterAutospacing="0"/>
              <w:jc w:val="both"/>
              <w:rPr>
                <w:sz w:val="20"/>
                <w:szCs w:val="20"/>
              </w:rPr>
            </w:pPr>
            <w:r>
              <w:rPr>
                <w:sz w:val="20"/>
                <w:szCs w:val="20"/>
              </w:rPr>
              <w:t>Derivative liabilities</w:t>
            </w:r>
          </w:p>
        </w:tc>
        <w:tc>
          <w:tcPr>
            <w:tcW w:w="50" w:type="pct"/>
            <w:shd w:val="clear" w:color="auto" w:fill="CCEEFF"/>
            <w:vAlign w:val="bottom"/>
            <w:hideMark/>
          </w:tcPr>
          <w:p w14:paraId="58532AF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9A3FB02"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2E134D2"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4B445D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2E9069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0AE26B1"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40F46B7"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918C25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5E4074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7F804CF"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00DD6720" w14:textId="77777777" w:rsidR="00000000" w:rsidRDefault="007E65A2">
            <w:pPr>
              <w:jc w:val="right"/>
              <w:rPr>
                <w:rFonts w:eastAsia="Times New Roman"/>
                <w:sz w:val="20"/>
                <w:szCs w:val="20"/>
              </w:rPr>
            </w:pPr>
            <w:r>
              <w:rPr>
                <w:rFonts w:eastAsia="Times New Roman"/>
                <w:sz w:val="20"/>
                <w:szCs w:val="20"/>
              </w:rPr>
              <w:t>578,812</w:t>
            </w:r>
          </w:p>
        </w:tc>
        <w:tc>
          <w:tcPr>
            <w:tcW w:w="50" w:type="pct"/>
            <w:shd w:val="clear" w:color="auto" w:fill="CCEEFF"/>
            <w:vAlign w:val="bottom"/>
            <w:hideMark/>
          </w:tcPr>
          <w:p w14:paraId="48C9D5B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218DC4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EC8167F"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D13B32C" w14:textId="77777777" w:rsidR="00000000" w:rsidRDefault="007E65A2">
            <w:pPr>
              <w:jc w:val="right"/>
              <w:rPr>
                <w:rFonts w:eastAsia="Times New Roman"/>
                <w:sz w:val="20"/>
                <w:szCs w:val="20"/>
              </w:rPr>
            </w:pPr>
            <w:r>
              <w:rPr>
                <w:rFonts w:eastAsia="Times New Roman"/>
                <w:sz w:val="20"/>
                <w:szCs w:val="20"/>
              </w:rPr>
              <w:t>578,812</w:t>
            </w:r>
          </w:p>
        </w:tc>
        <w:tc>
          <w:tcPr>
            <w:tcW w:w="50" w:type="pct"/>
            <w:shd w:val="clear" w:color="auto" w:fill="CCEEFF"/>
            <w:vAlign w:val="bottom"/>
            <w:hideMark/>
          </w:tcPr>
          <w:p w14:paraId="67CD6FD4" w14:textId="77777777" w:rsidR="00000000" w:rsidRDefault="007E65A2">
            <w:pPr>
              <w:pStyle w:val="a3"/>
              <w:spacing w:before="0" w:beforeAutospacing="0" w:after="0" w:afterAutospacing="0"/>
              <w:jc w:val="both"/>
              <w:rPr>
                <w:sz w:val="20"/>
                <w:szCs w:val="20"/>
              </w:rPr>
            </w:pPr>
            <w:r>
              <w:rPr>
                <w:sz w:val="20"/>
                <w:szCs w:val="20"/>
              </w:rPr>
              <w:t> </w:t>
            </w:r>
          </w:p>
        </w:tc>
      </w:tr>
    </w:tbl>
    <w:p w14:paraId="1BC78EAA"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03"/>
        <w:gridCol w:w="67"/>
        <w:gridCol w:w="101"/>
        <w:gridCol w:w="732"/>
        <w:gridCol w:w="67"/>
        <w:gridCol w:w="67"/>
        <w:gridCol w:w="101"/>
        <w:gridCol w:w="732"/>
        <w:gridCol w:w="67"/>
        <w:gridCol w:w="67"/>
        <w:gridCol w:w="100"/>
        <w:gridCol w:w="800"/>
        <w:gridCol w:w="67"/>
        <w:gridCol w:w="67"/>
        <w:gridCol w:w="100"/>
        <w:gridCol w:w="800"/>
        <w:gridCol w:w="68"/>
      </w:tblGrid>
      <w:tr w:rsidR="00000000" w14:paraId="7BEB6E57" w14:textId="77777777">
        <w:trPr>
          <w:divId w:val="911279972"/>
          <w:tblCellSpacing w:w="0" w:type="dxa"/>
        </w:trPr>
        <w:tc>
          <w:tcPr>
            <w:tcW w:w="0" w:type="auto"/>
            <w:tcBorders>
              <w:bottom w:val="single" w:sz="6" w:space="0" w:color="auto"/>
            </w:tcBorders>
            <w:vAlign w:val="bottom"/>
            <w:hideMark/>
          </w:tcPr>
          <w:p w14:paraId="51B8D763" w14:textId="77777777" w:rsidR="00000000" w:rsidRDefault="007E65A2">
            <w:pPr>
              <w:pStyle w:val="a3"/>
              <w:spacing w:before="0" w:beforeAutospacing="0" w:after="0" w:afterAutospacing="0"/>
              <w:jc w:val="both"/>
              <w:rPr>
                <w:sz w:val="20"/>
                <w:szCs w:val="20"/>
              </w:rPr>
            </w:pPr>
            <w:r>
              <w:rPr>
                <w:b/>
                <w:bCs/>
                <w:sz w:val="20"/>
                <w:szCs w:val="20"/>
              </w:rPr>
              <w:t>June 30, 2018</w:t>
            </w:r>
          </w:p>
        </w:tc>
        <w:tc>
          <w:tcPr>
            <w:tcW w:w="0" w:type="auto"/>
            <w:vAlign w:val="bottom"/>
            <w:hideMark/>
          </w:tcPr>
          <w:p w14:paraId="3B2BE3AE"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1DCA6793" w14:textId="77777777" w:rsidR="00000000" w:rsidRDefault="007E65A2">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78F43250"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4B3B24F1"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37051163" w14:textId="77777777" w:rsidR="00000000" w:rsidRDefault="007E65A2">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5878C2A7"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2BD069A5"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7571A4C6" w14:textId="77777777" w:rsidR="00000000" w:rsidRDefault="007E65A2">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23CB24DC"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4351D92C"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3605513D" w14:textId="77777777" w:rsidR="00000000" w:rsidRDefault="007E65A2">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050A6C5A" w14:textId="77777777" w:rsidR="00000000" w:rsidRDefault="007E65A2">
            <w:pPr>
              <w:pStyle w:val="a3"/>
              <w:spacing w:before="0" w:beforeAutospacing="0" w:after="0" w:afterAutospacing="0"/>
              <w:jc w:val="both"/>
              <w:rPr>
                <w:sz w:val="20"/>
                <w:szCs w:val="20"/>
              </w:rPr>
            </w:pPr>
            <w:r>
              <w:rPr>
                <w:sz w:val="20"/>
                <w:szCs w:val="20"/>
              </w:rPr>
              <w:t> </w:t>
            </w:r>
          </w:p>
        </w:tc>
      </w:tr>
      <w:tr w:rsidR="00000000" w14:paraId="63EE0034" w14:textId="77777777">
        <w:trPr>
          <w:divId w:val="911279972"/>
          <w:tblCellSpacing w:w="0" w:type="dxa"/>
        </w:trPr>
        <w:tc>
          <w:tcPr>
            <w:tcW w:w="0" w:type="auto"/>
            <w:shd w:val="clear" w:color="auto" w:fill="CCEEFF"/>
            <w:hideMark/>
          </w:tcPr>
          <w:p w14:paraId="11F501E9" w14:textId="77777777" w:rsidR="00000000" w:rsidRDefault="007E65A2">
            <w:pPr>
              <w:pStyle w:val="a3"/>
              <w:spacing w:before="0" w:beforeAutospacing="0" w:after="0" w:afterAutospacing="0"/>
              <w:jc w:val="both"/>
              <w:rPr>
                <w:sz w:val="20"/>
                <w:szCs w:val="20"/>
              </w:rPr>
            </w:pPr>
            <w:r>
              <w:rPr>
                <w:b/>
                <w:bCs/>
                <w:sz w:val="20"/>
                <w:szCs w:val="20"/>
              </w:rPr>
              <w:t>Assets</w:t>
            </w:r>
          </w:p>
        </w:tc>
        <w:tc>
          <w:tcPr>
            <w:tcW w:w="50" w:type="pct"/>
            <w:shd w:val="clear" w:color="auto" w:fill="CCEEFF"/>
            <w:vAlign w:val="bottom"/>
            <w:hideMark/>
          </w:tcPr>
          <w:p w14:paraId="7F56F652"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4634AE36"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E0C225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28F0DF8"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2517C853"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C6CDAD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71436E9"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7D8B4316"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29996E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93F1C1F"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4526A2EF"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76458436" w14:textId="77777777" w:rsidR="00000000" w:rsidRDefault="007E65A2">
            <w:pPr>
              <w:pStyle w:val="a3"/>
              <w:spacing w:before="0" w:beforeAutospacing="0" w:after="0" w:afterAutospacing="0"/>
              <w:jc w:val="both"/>
              <w:rPr>
                <w:sz w:val="20"/>
                <w:szCs w:val="20"/>
              </w:rPr>
            </w:pPr>
            <w:r>
              <w:rPr>
                <w:sz w:val="20"/>
                <w:szCs w:val="20"/>
              </w:rPr>
              <w:t> </w:t>
            </w:r>
          </w:p>
        </w:tc>
      </w:tr>
      <w:tr w:rsidR="00000000" w14:paraId="24C7252D" w14:textId="77777777">
        <w:trPr>
          <w:divId w:val="911279972"/>
          <w:tblCellSpacing w:w="0" w:type="dxa"/>
        </w:trPr>
        <w:tc>
          <w:tcPr>
            <w:tcW w:w="0" w:type="auto"/>
            <w:shd w:val="clear" w:color="auto" w:fill="FFFFFF"/>
            <w:hideMark/>
          </w:tcPr>
          <w:p w14:paraId="3C8ABD02" w14:textId="77777777" w:rsidR="00000000" w:rsidRDefault="007E65A2">
            <w:pPr>
              <w:pStyle w:val="a3"/>
              <w:spacing w:before="0" w:beforeAutospacing="0" w:after="0" w:afterAutospacing="0"/>
              <w:jc w:val="both"/>
              <w:rPr>
                <w:sz w:val="20"/>
                <w:szCs w:val="20"/>
              </w:rPr>
            </w:pPr>
            <w:r>
              <w:rPr>
                <w:sz w:val="20"/>
                <w:szCs w:val="20"/>
              </w:rPr>
              <w:t>None</w:t>
            </w:r>
          </w:p>
        </w:tc>
        <w:tc>
          <w:tcPr>
            <w:tcW w:w="50" w:type="pct"/>
            <w:shd w:val="clear" w:color="auto" w:fill="FFFFFF"/>
            <w:vAlign w:val="bottom"/>
            <w:hideMark/>
          </w:tcPr>
          <w:p w14:paraId="3181C1B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9F0F746"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0C4B0CF4"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63C9BE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E3677D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A9F408E"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6A7C40D4"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BCFFC8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517960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4E30286"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3E4BE2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960829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67F98C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814D8AC"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2C8F1F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1F73C0B" w14:textId="77777777" w:rsidR="00000000" w:rsidRDefault="007E65A2">
            <w:pPr>
              <w:pStyle w:val="a3"/>
              <w:spacing w:before="0" w:beforeAutospacing="0" w:after="0" w:afterAutospacing="0"/>
              <w:jc w:val="both"/>
              <w:rPr>
                <w:sz w:val="20"/>
                <w:szCs w:val="20"/>
              </w:rPr>
            </w:pPr>
            <w:r>
              <w:rPr>
                <w:sz w:val="20"/>
                <w:szCs w:val="20"/>
              </w:rPr>
              <w:t> </w:t>
            </w:r>
          </w:p>
        </w:tc>
      </w:tr>
      <w:tr w:rsidR="00000000" w14:paraId="2F89AC61" w14:textId="77777777">
        <w:trPr>
          <w:divId w:val="911279972"/>
          <w:tblCellSpacing w:w="0" w:type="dxa"/>
        </w:trPr>
        <w:tc>
          <w:tcPr>
            <w:tcW w:w="0" w:type="auto"/>
            <w:shd w:val="clear" w:color="auto" w:fill="CCEEFF"/>
            <w:vAlign w:val="center"/>
            <w:hideMark/>
          </w:tcPr>
          <w:p w14:paraId="06E9E52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608A65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4E13E2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01A380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38E3766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942009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41DA36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011AA1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0B7E74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2FCF2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72BE96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AA5397E"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F9B73A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9B0736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14931C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00791EF"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D765438" w14:textId="77777777" w:rsidR="00000000" w:rsidRDefault="007E65A2">
            <w:pPr>
              <w:pStyle w:val="a3"/>
              <w:spacing w:before="0" w:beforeAutospacing="0" w:after="0" w:afterAutospacing="0"/>
              <w:jc w:val="both"/>
              <w:rPr>
                <w:sz w:val="20"/>
                <w:szCs w:val="20"/>
              </w:rPr>
            </w:pPr>
            <w:r>
              <w:rPr>
                <w:sz w:val="20"/>
                <w:szCs w:val="20"/>
              </w:rPr>
              <w:t> </w:t>
            </w:r>
          </w:p>
        </w:tc>
      </w:tr>
      <w:tr w:rsidR="00000000" w14:paraId="0CA28EF2" w14:textId="77777777">
        <w:trPr>
          <w:divId w:val="911279972"/>
          <w:tblCellSpacing w:w="0" w:type="dxa"/>
        </w:trPr>
        <w:tc>
          <w:tcPr>
            <w:tcW w:w="0" w:type="auto"/>
            <w:shd w:val="clear" w:color="auto" w:fill="FFFFFF"/>
            <w:hideMark/>
          </w:tcPr>
          <w:p w14:paraId="4FA6DC61" w14:textId="77777777" w:rsidR="00000000" w:rsidRDefault="007E65A2">
            <w:pPr>
              <w:pStyle w:val="a3"/>
              <w:spacing w:before="0" w:beforeAutospacing="0" w:after="0" w:afterAutospacing="0"/>
              <w:jc w:val="both"/>
              <w:rPr>
                <w:sz w:val="20"/>
                <w:szCs w:val="20"/>
              </w:rPr>
            </w:pPr>
            <w:r>
              <w:rPr>
                <w:b/>
                <w:bCs/>
                <w:sz w:val="20"/>
                <w:szCs w:val="20"/>
              </w:rPr>
              <w:t>Liabilities</w:t>
            </w:r>
          </w:p>
        </w:tc>
        <w:tc>
          <w:tcPr>
            <w:tcW w:w="50" w:type="pct"/>
            <w:shd w:val="clear" w:color="auto" w:fill="FFFFFF"/>
            <w:vAlign w:val="bottom"/>
            <w:hideMark/>
          </w:tcPr>
          <w:p w14:paraId="4F61589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490938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977EFB2"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93330B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E1C1E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ED80BA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14354D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F199F4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500605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A7C41D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BF5DDE4"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24E746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6D487E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26FA09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F7150C5"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9347614" w14:textId="77777777" w:rsidR="00000000" w:rsidRDefault="007E65A2">
            <w:pPr>
              <w:pStyle w:val="a3"/>
              <w:spacing w:before="0" w:beforeAutospacing="0" w:after="0" w:afterAutospacing="0"/>
              <w:jc w:val="both"/>
              <w:rPr>
                <w:sz w:val="20"/>
                <w:szCs w:val="20"/>
              </w:rPr>
            </w:pPr>
            <w:r>
              <w:rPr>
                <w:sz w:val="20"/>
                <w:szCs w:val="20"/>
              </w:rPr>
              <w:t> </w:t>
            </w:r>
          </w:p>
        </w:tc>
      </w:tr>
      <w:tr w:rsidR="00000000" w14:paraId="79314756" w14:textId="77777777">
        <w:trPr>
          <w:divId w:val="911279972"/>
          <w:tblCellSpacing w:w="0" w:type="dxa"/>
        </w:trPr>
        <w:tc>
          <w:tcPr>
            <w:tcW w:w="0" w:type="auto"/>
            <w:shd w:val="clear" w:color="auto" w:fill="CCEEFF"/>
            <w:hideMark/>
          </w:tcPr>
          <w:p w14:paraId="53529DCC" w14:textId="77777777" w:rsidR="00000000" w:rsidRDefault="007E65A2">
            <w:pPr>
              <w:pStyle w:val="a3"/>
              <w:spacing w:before="0" w:beforeAutospacing="0" w:after="0" w:afterAutospacing="0"/>
              <w:jc w:val="both"/>
              <w:rPr>
                <w:sz w:val="20"/>
                <w:szCs w:val="20"/>
              </w:rPr>
            </w:pPr>
            <w:r>
              <w:rPr>
                <w:sz w:val="20"/>
                <w:szCs w:val="20"/>
              </w:rPr>
              <w:t>Derivative liabilities</w:t>
            </w:r>
          </w:p>
        </w:tc>
        <w:tc>
          <w:tcPr>
            <w:tcW w:w="50" w:type="pct"/>
            <w:shd w:val="clear" w:color="auto" w:fill="CCEEFF"/>
            <w:vAlign w:val="bottom"/>
            <w:hideMark/>
          </w:tcPr>
          <w:p w14:paraId="237C8AA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BE0FA71"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00F4BAF7"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7B5373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E1466F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FBEEE31"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AC4AD30"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634C6A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1B6DC8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F37D0CF"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B5268E5" w14:textId="77777777" w:rsidR="00000000" w:rsidRDefault="007E65A2">
            <w:pPr>
              <w:jc w:val="right"/>
              <w:rPr>
                <w:rFonts w:eastAsia="Times New Roman"/>
                <w:sz w:val="20"/>
                <w:szCs w:val="20"/>
              </w:rPr>
            </w:pPr>
            <w:r>
              <w:rPr>
                <w:rFonts w:eastAsia="Times New Roman"/>
                <w:sz w:val="20"/>
                <w:szCs w:val="20"/>
              </w:rPr>
              <w:t>1,016,865</w:t>
            </w:r>
          </w:p>
        </w:tc>
        <w:tc>
          <w:tcPr>
            <w:tcW w:w="50" w:type="pct"/>
            <w:shd w:val="clear" w:color="auto" w:fill="CCEEFF"/>
            <w:vAlign w:val="bottom"/>
            <w:hideMark/>
          </w:tcPr>
          <w:p w14:paraId="138EEEE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D7032B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455862C"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008FFC1" w14:textId="77777777" w:rsidR="00000000" w:rsidRDefault="007E65A2">
            <w:pPr>
              <w:jc w:val="right"/>
              <w:rPr>
                <w:rFonts w:eastAsia="Times New Roman"/>
                <w:sz w:val="20"/>
                <w:szCs w:val="20"/>
              </w:rPr>
            </w:pPr>
            <w:r>
              <w:rPr>
                <w:rFonts w:eastAsia="Times New Roman"/>
                <w:sz w:val="20"/>
                <w:szCs w:val="20"/>
              </w:rPr>
              <w:t>1,016,865</w:t>
            </w:r>
          </w:p>
        </w:tc>
        <w:tc>
          <w:tcPr>
            <w:tcW w:w="50" w:type="pct"/>
            <w:shd w:val="clear" w:color="auto" w:fill="CCEEFF"/>
            <w:vAlign w:val="bottom"/>
            <w:hideMark/>
          </w:tcPr>
          <w:p w14:paraId="54486AAD" w14:textId="77777777" w:rsidR="00000000" w:rsidRDefault="007E65A2">
            <w:pPr>
              <w:pStyle w:val="a3"/>
              <w:spacing w:before="0" w:beforeAutospacing="0" w:after="0" w:afterAutospacing="0"/>
              <w:jc w:val="both"/>
              <w:rPr>
                <w:sz w:val="20"/>
                <w:szCs w:val="20"/>
              </w:rPr>
            </w:pPr>
            <w:r>
              <w:rPr>
                <w:sz w:val="20"/>
                <w:szCs w:val="20"/>
              </w:rPr>
              <w:t> </w:t>
            </w:r>
          </w:p>
        </w:tc>
      </w:tr>
    </w:tbl>
    <w:p w14:paraId="728A9BEF" w14:textId="77777777" w:rsidR="00000000" w:rsidRDefault="007E65A2">
      <w:pPr>
        <w:pStyle w:val="a3"/>
        <w:spacing w:before="0" w:beforeAutospacing="0" w:after="0" w:afterAutospacing="0"/>
        <w:jc w:val="both"/>
        <w:divId w:val="911279972"/>
        <w:rPr>
          <w:sz w:val="20"/>
          <w:szCs w:val="20"/>
        </w:rPr>
      </w:pPr>
      <w:r>
        <w:rPr>
          <w:sz w:val="20"/>
          <w:szCs w:val="20"/>
        </w:rPr>
        <w:t> </w:t>
      </w:r>
    </w:p>
    <w:p w14:paraId="4A8D1D07" w14:textId="77777777" w:rsidR="00000000" w:rsidRDefault="007E65A2">
      <w:pPr>
        <w:pStyle w:val="a3"/>
        <w:spacing w:before="0" w:beforeAutospacing="0" w:after="0" w:afterAutospacing="0"/>
        <w:jc w:val="both"/>
        <w:divId w:val="911279972"/>
        <w:rPr>
          <w:sz w:val="20"/>
          <w:szCs w:val="20"/>
        </w:rPr>
      </w:pPr>
      <w:r>
        <w:rPr>
          <w:i/>
          <w:iCs/>
          <w:sz w:val="20"/>
          <w:szCs w:val="20"/>
        </w:rPr>
        <w:t>Derivative Financial Instruments</w:t>
      </w:r>
    </w:p>
    <w:p w14:paraId="229F8377" w14:textId="77777777" w:rsidR="00000000" w:rsidRDefault="007E65A2">
      <w:pPr>
        <w:pStyle w:val="a3"/>
        <w:spacing w:before="0" w:beforeAutospacing="0" w:after="0" w:afterAutospacing="0"/>
        <w:jc w:val="both"/>
        <w:divId w:val="911279972"/>
        <w:rPr>
          <w:sz w:val="20"/>
          <w:szCs w:val="20"/>
        </w:rPr>
      </w:pPr>
      <w:r>
        <w:rPr>
          <w:sz w:val="20"/>
          <w:szCs w:val="20"/>
        </w:rPr>
        <w:t> </w:t>
      </w:r>
    </w:p>
    <w:p w14:paraId="5C83319D" w14:textId="77777777" w:rsidR="00000000" w:rsidRDefault="007E65A2">
      <w:pPr>
        <w:pStyle w:val="a3"/>
        <w:spacing w:before="0" w:beforeAutospacing="0" w:after="0" w:afterAutospacing="0"/>
        <w:jc w:val="both"/>
        <w:divId w:val="911279972"/>
        <w:rPr>
          <w:sz w:val="20"/>
          <w:szCs w:val="20"/>
        </w:rPr>
      </w:pPr>
      <w:r>
        <w:rPr>
          <w:sz w:val="20"/>
          <w:szCs w:val="20"/>
        </w:rPr>
        <w:t>The Company does not use derivative instruments to hedge exposures to cash flow, market or foreign currency risks. We evaluate all of our financial instruments to determine if such instruments are derivatives or contain f</w:t>
      </w:r>
      <w:r>
        <w:rPr>
          <w:sz w:val="20"/>
          <w:szCs w:val="20"/>
        </w:rPr>
        <w:t>eatures that qualify as embedded derivatives. For derivative financial instruments that are accounted for as liabilities, the derivative instrument is initially recorded at its fair value and is then re-valued at each reporting date, with changes in the fa</w:t>
      </w:r>
      <w:r>
        <w:rPr>
          <w:sz w:val="20"/>
          <w:szCs w:val="20"/>
        </w:rPr>
        <w:t xml:space="preserve">ir value reported in the statements of operations. For stock-based derivative financial instruments, the Company used a Black Scholes valuation model to value the derivative instruments at inception and on subsequent valuation dates. The classification of </w:t>
      </w:r>
      <w:r>
        <w:rPr>
          <w:sz w:val="20"/>
          <w:szCs w:val="20"/>
        </w:rPr>
        <w:t>derivative instruments, including whether such instruments should be recorded as liabilities or as equity, is evaluated at the end of each reporting period. Derivative liabilities are classified in the balance sheet as current or non-current based on wheth</w:t>
      </w:r>
      <w:r>
        <w:rPr>
          <w:sz w:val="20"/>
          <w:szCs w:val="20"/>
        </w:rPr>
        <w:t>er or not net-cash settlement or conversion of the instrument could be required within 12 months of the balance sheet date.</w:t>
      </w:r>
    </w:p>
    <w:p w14:paraId="30133585" w14:textId="77777777" w:rsidR="00000000" w:rsidRDefault="007E65A2">
      <w:pPr>
        <w:pStyle w:val="a3"/>
        <w:spacing w:before="0" w:beforeAutospacing="0" w:after="0" w:afterAutospacing="0"/>
        <w:jc w:val="both"/>
        <w:divId w:val="911279972"/>
        <w:rPr>
          <w:sz w:val="20"/>
          <w:szCs w:val="20"/>
        </w:rPr>
      </w:pPr>
      <w:r>
        <w:rPr>
          <w:sz w:val="20"/>
          <w:szCs w:val="20"/>
        </w:rPr>
        <w:t> </w:t>
      </w:r>
    </w:p>
    <w:p w14:paraId="6BF8EEDA" w14:textId="77777777" w:rsidR="00000000" w:rsidRDefault="007E65A2">
      <w:pPr>
        <w:pStyle w:val="a3"/>
        <w:spacing w:before="0" w:beforeAutospacing="0" w:after="0" w:afterAutospacing="0"/>
        <w:jc w:val="both"/>
        <w:divId w:val="911279972"/>
        <w:rPr>
          <w:sz w:val="20"/>
          <w:szCs w:val="20"/>
        </w:rPr>
      </w:pPr>
      <w:r>
        <w:rPr>
          <w:i/>
          <w:iCs/>
          <w:sz w:val="20"/>
          <w:szCs w:val="20"/>
        </w:rPr>
        <w:t>Revenue Recognition</w:t>
      </w:r>
    </w:p>
    <w:p w14:paraId="47F02299" w14:textId="77777777" w:rsidR="00000000" w:rsidRDefault="007E65A2">
      <w:pPr>
        <w:pStyle w:val="a3"/>
        <w:spacing w:before="0" w:beforeAutospacing="0" w:after="0" w:afterAutospacing="0"/>
        <w:jc w:val="both"/>
        <w:divId w:val="911279972"/>
        <w:rPr>
          <w:sz w:val="20"/>
          <w:szCs w:val="20"/>
        </w:rPr>
      </w:pPr>
      <w:r>
        <w:rPr>
          <w:sz w:val="20"/>
          <w:szCs w:val="20"/>
        </w:rPr>
        <w:t> </w:t>
      </w:r>
    </w:p>
    <w:p w14:paraId="626C15BB" w14:textId="77777777" w:rsidR="00000000" w:rsidRDefault="007E65A2">
      <w:pPr>
        <w:pStyle w:val="a3"/>
        <w:spacing w:before="0" w:beforeAutospacing="0" w:after="0" w:afterAutospacing="0"/>
        <w:jc w:val="both"/>
        <w:divId w:val="911279972"/>
        <w:rPr>
          <w:sz w:val="20"/>
          <w:szCs w:val="20"/>
        </w:rPr>
      </w:pPr>
      <w:r>
        <w:rPr>
          <w:sz w:val="20"/>
          <w:szCs w:val="20"/>
        </w:rPr>
        <w:t xml:space="preserve">The Company generates it revenue from the sale of its mobile software applications through online mobile applications stores. </w:t>
      </w:r>
    </w:p>
    <w:p w14:paraId="678A9214" w14:textId="77777777" w:rsidR="00000000" w:rsidRDefault="007E65A2">
      <w:pPr>
        <w:pStyle w:val="a3"/>
        <w:spacing w:before="0" w:beforeAutospacing="0" w:after="0" w:afterAutospacing="0"/>
        <w:jc w:val="both"/>
        <w:divId w:val="911279972"/>
        <w:rPr>
          <w:sz w:val="20"/>
          <w:szCs w:val="20"/>
        </w:rPr>
      </w:pPr>
      <w:r>
        <w:rPr>
          <w:sz w:val="20"/>
          <w:szCs w:val="20"/>
        </w:rPr>
        <w:t> </w:t>
      </w:r>
    </w:p>
    <w:p w14:paraId="4A12FFBA" w14:textId="77777777" w:rsidR="00000000" w:rsidRDefault="007E65A2">
      <w:pPr>
        <w:pStyle w:val="a3"/>
        <w:spacing w:before="0" w:beforeAutospacing="0" w:after="0" w:afterAutospacing="0"/>
        <w:jc w:val="both"/>
        <w:divId w:val="911279972"/>
        <w:rPr>
          <w:sz w:val="20"/>
          <w:szCs w:val="20"/>
        </w:rPr>
      </w:pPr>
      <w:r>
        <w:rPr>
          <w:sz w:val="20"/>
          <w:szCs w:val="20"/>
        </w:rPr>
        <w:t>Revenues are recognized when control of the promised goods or services are transferred to a customer, in an amount that reflect</w:t>
      </w:r>
      <w:r>
        <w:rPr>
          <w:sz w:val="20"/>
          <w:szCs w:val="20"/>
        </w:rPr>
        <w:t>s the consideration that the Company expects to receive in exchange for those goods or services. The Company applies the following five steps in order to determine the appropriate amount of revenue to be recognized as it fulfills its obligations under each</w:t>
      </w:r>
      <w:r>
        <w:rPr>
          <w:sz w:val="20"/>
          <w:szCs w:val="20"/>
        </w:rPr>
        <w:t xml:space="preserve"> of its agreements:</w:t>
      </w:r>
    </w:p>
    <w:p w14:paraId="55E96314"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0F979F01" w14:textId="77777777">
        <w:trPr>
          <w:divId w:val="911279972"/>
          <w:tblCellSpacing w:w="0" w:type="dxa"/>
        </w:trPr>
        <w:tc>
          <w:tcPr>
            <w:tcW w:w="200" w:type="pct"/>
            <w:hideMark/>
          </w:tcPr>
          <w:p w14:paraId="758ACE4E"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69197095" w14:textId="77777777" w:rsidR="00000000" w:rsidRDefault="007E65A2">
            <w:pPr>
              <w:jc w:val="both"/>
              <w:rPr>
                <w:rFonts w:eastAsia="Times New Roman"/>
                <w:sz w:val="20"/>
                <w:szCs w:val="20"/>
              </w:rPr>
            </w:pPr>
            <w:r>
              <w:rPr>
                <w:rFonts w:ascii="Symbol" w:eastAsia="Times New Roman" w:hAnsi="Symbol"/>
                <w:sz w:val="20"/>
                <w:szCs w:val="20"/>
              </w:rPr>
              <w:t>·</w:t>
            </w:r>
          </w:p>
        </w:tc>
        <w:tc>
          <w:tcPr>
            <w:tcW w:w="0" w:type="auto"/>
            <w:hideMark/>
          </w:tcPr>
          <w:p w14:paraId="1000F3DA" w14:textId="77777777" w:rsidR="00000000" w:rsidRDefault="007E65A2">
            <w:pPr>
              <w:jc w:val="both"/>
              <w:rPr>
                <w:rFonts w:eastAsia="Times New Roman"/>
                <w:sz w:val="20"/>
                <w:szCs w:val="20"/>
              </w:rPr>
            </w:pPr>
            <w:r>
              <w:rPr>
                <w:rFonts w:eastAsia="Times New Roman"/>
                <w:sz w:val="20"/>
                <w:szCs w:val="20"/>
              </w:rPr>
              <w:t>identify the contract with a customer;</w:t>
            </w:r>
          </w:p>
        </w:tc>
      </w:tr>
      <w:tr w:rsidR="00000000" w14:paraId="3C5FE448" w14:textId="77777777">
        <w:trPr>
          <w:divId w:val="911279972"/>
          <w:tblCellSpacing w:w="0" w:type="dxa"/>
        </w:trPr>
        <w:tc>
          <w:tcPr>
            <w:tcW w:w="0" w:type="auto"/>
            <w:hideMark/>
          </w:tcPr>
          <w:p w14:paraId="46BBB4AB"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2A0ECCA7" w14:textId="77777777" w:rsidR="00000000" w:rsidRDefault="007E65A2">
            <w:pPr>
              <w:jc w:val="both"/>
              <w:rPr>
                <w:rFonts w:eastAsia="Times New Roman"/>
                <w:sz w:val="20"/>
                <w:szCs w:val="20"/>
              </w:rPr>
            </w:pPr>
            <w:r>
              <w:rPr>
                <w:rFonts w:ascii="Symbol" w:eastAsia="Times New Roman" w:hAnsi="Symbol"/>
                <w:sz w:val="20"/>
                <w:szCs w:val="20"/>
              </w:rPr>
              <w:t>·</w:t>
            </w:r>
          </w:p>
        </w:tc>
        <w:tc>
          <w:tcPr>
            <w:tcW w:w="0" w:type="auto"/>
            <w:hideMark/>
          </w:tcPr>
          <w:p w14:paraId="14CDF5EB" w14:textId="77777777" w:rsidR="00000000" w:rsidRDefault="007E65A2">
            <w:pPr>
              <w:jc w:val="both"/>
              <w:rPr>
                <w:rFonts w:eastAsia="Times New Roman"/>
                <w:sz w:val="20"/>
                <w:szCs w:val="20"/>
              </w:rPr>
            </w:pPr>
            <w:r>
              <w:rPr>
                <w:rFonts w:eastAsia="Times New Roman"/>
                <w:sz w:val="20"/>
                <w:szCs w:val="20"/>
              </w:rPr>
              <w:t>identify the performance obligations in the contract;</w:t>
            </w:r>
          </w:p>
        </w:tc>
      </w:tr>
      <w:tr w:rsidR="00000000" w14:paraId="24B33197" w14:textId="77777777">
        <w:trPr>
          <w:divId w:val="911279972"/>
          <w:tblCellSpacing w:w="0" w:type="dxa"/>
        </w:trPr>
        <w:tc>
          <w:tcPr>
            <w:tcW w:w="0" w:type="auto"/>
            <w:hideMark/>
          </w:tcPr>
          <w:p w14:paraId="45C56291"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4063284C" w14:textId="77777777" w:rsidR="00000000" w:rsidRDefault="007E65A2">
            <w:pPr>
              <w:jc w:val="both"/>
              <w:rPr>
                <w:rFonts w:eastAsia="Times New Roman"/>
                <w:sz w:val="20"/>
                <w:szCs w:val="20"/>
              </w:rPr>
            </w:pPr>
            <w:r>
              <w:rPr>
                <w:rFonts w:ascii="Symbol" w:eastAsia="Times New Roman" w:hAnsi="Symbol"/>
                <w:sz w:val="20"/>
                <w:szCs w:val="20"/>
              </w:rPr>
              <w:t>·</w:t>
            </w:r>
          </w:p>
        </w:tc>
        <w:tc>
          <w:tcPr>
            <w:tcW w:w="0" w:type="auto"/>
            <w:hideMark/>
          </w:tcPr>
          <w:p w14:paraId="370DBA5C" w14:textId="77777777" w:rsidR="00000000" w:rsidRDefault="007E65A2">
            <w:pPr>
              <w:jc w:val="both"/>
              <w:rPr>
                <w:rFonts w:eastAsia="Times New Roman"/>
                <w:sz w:val="20"/>
                <w:szCs w:val="20"/>
              </w:rPr>
            </w:pPr>
            <w:r>
              <w:rPr>
                <w:rFonts w:eastAsia="Times New Roman"/>
                <w:sz w:val="20"/>
                <w:szCs w:val="20"/>
              </w:rPr>
              <w:t>determine the transaction price;</w:t>
            </w:r>
          </w:p>
        </w:tc>
      </w:tr>
      <w:tr w:rsidR="00000000" w14:paraId="7E278650" w14:textId="77777777">
        <w:trPr>
          <w:divId w:val="911279972"/>
          <w:tblCellSpacing w:w="0" w:type="dxa"/>
        </w:trPr>
        <w:tc>
          <w:tcPr>
            <w:tcW w:w="0" w:type="auto"/>
            <w:hideMark/>
          </w:tcPr>
          <w:p w14:paraId="0982435A"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655E90D6" w14:textId="77777777" w:rsidR="00000000" w:rsidRDefault="007E65A2">
            <w:pPr>
              <w:jc w:val="both"/>
              <w:rPr>
                <w:rFonts w:eastAsia="Times New Roman"/>
                <w:sz w:val="20"/>
                <w:szCs w:val="20"/>
              </w:rPr>
            </w:pPr>
            <w:r>
              <w:rPr>
                <w:rFonts w:ascii="Symbol" w:eastAsia="Times New Roman" w:hAnsi="Symbol"/>
                <w:sz w:val="20"/>
                <w:szCs w:val="20"/>
              </w:rPr>
              <w:t>·</w:t>
            </w:r>
          </w:p>
        </w:tc>
        <w:tc>
          <w:tcPr>
            <w:tcW w:w="0" w:type="auto"/>
            <w:hideMark/>
          </w:tcPr>
          <w:p w14:paraId="77E743F8" w14:textId="77777777" w:rsidR="00000000" w:rsidRDefault="007E65A2">
            <w:pPr>
              <w:jc w:val="both"/>
              <w:rPr>
                <w:rFonts w:eastAsia="Times New Roman"/>
                <w:sz w:val="20"/>
                <w:szCs w:val="20"/>
              </w:rPr>
            </w:pPr>
            <w:r>
              <w:rPr>
                <w:rFonts w:eastAsia="Times New Roman"/>
                <w:sz w:val="20"/>
                <w:szCs w:val="20"/>
              </w:rPr>
              <w:t>allocate the transaction price to performance obligations in the contract; and</w:t>
            </w:r>
          </w:p>
        </w:tc>
      </w:tr>
      <w:tr w:rsidR="00000000" w14:paraId="2411D9C4" w14:textId="77777777">
        <w:trPr>
          <w:divId w:val="911279972"/>
          <w:tblCellSpacing w:w="0" w:type="dxa"/>
        </w:trPr>
        <w:tc>
          <w:tcPr>
            <w:tcW w:w="0" w:type="auto"/>
            <w:hideMark/>
          </w:tcPr>
          <w:p w14:paraId="4D58A9C4"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5D75A409" w14:textId="77777777" w:rsidR="00000000" w:rsidRDefault="007E65A2">
            <w:pPr>
              <w:jc w:val="both"/>
              <w:rPr>
                <w:rFonts w:eastAsia="Times New Roman"/>
                <w:sz w:val="20"/>
                <w:szCs w:val="20"/>
              </w:rPr>
            </w:pPr>
            <w:r>
              <w:rPr>
                <w:rFonts w:ascii="Symbol" w:eastAsia="Times New Roman" w:hAnsi="Symbol"/>
                <w:sz w:val="20"/>
                <w:szCs w:val="20"/>
              </w:rPr>
              <w:t>·</w:t>
            </w:r>
          </w:p>
        </w:tc>
        <w:tc>
          <w:tcPr>
            <w:tcW w:w="0" w:type="auto"/>
            <w:hideMark/>
          </w:tcPr>
          <w:p w14:paraId="0522D353" w14:textId="77777777" w:rsidR="00000000" w:rsidRDefault="007E65A2">
            <w:pPr>
              <w:jc w:val="both"/>
              <w:rPr>
                <w:rFonts w:eastAsia="Times New Roman"/>
                <w:sz w:val="20"/>
                <w:szCs w:val="20"/>
              </w:rPr>
            </w:pPr>
            <w:r>
              <w:rPr>
                <w:rFonts w:eastAsia="Times New Roman"/>
                <w:sz w:val="20"/>
                <w:szCs w:val="20"/>
              </w:rPr>
              <w:t>recognize revenue as the performance obligation is satisfied.</w:t>
            </w:r>
          </w:p>
        </w:tc>
      </w:tr>
    </w:tbl>
    <w:p w14:paraId="5BDBFA09" w14:textId="77777777" w:rsidR="00000000" w:rsidRDefault="007E65A2">
      <w:pPr>
        <w:pStyle w:val="a3"/>
        <w:spacing w:before="0" w:beforeAutospacing="0" w:after="0" w:afterAutospacing="0"/>
        <w:jc w:val="both"/>
        <w:divId w:val="911279972"/>
        <w:rPr>
          <w:sz w:val="20"/>
          <w:szCs w:val="20"/>
        </w:rPr>
      </w:pPr>
      <w:r>
        <w:rPr>
          <w:sz w:val="20"/>
          <w:szCs w:val="20"/>
        </w:rPr>
        <w:t> </w:t>
      </w:r>
    </w:p>
    <w:p w14:paraId="21141033" w14:textId="77777777" w:rsidR="00000000" w:rsidRDefault="007E65A2">
      <w:pPr>
        <w:pStyle w:val="a3"/>
        <w:spacing w:before="0" w:beforeAutospacing="0" w:after="0" w:afterAutospacing="0"/>
        <w:jc w:val="both"/>
        <w:divId w:val="911279972"/>
        <w:rPr>
          <w:sz w:val="20"/>
          <w:szCs w:val="20"/>
        </w:rPr>
      </w:pPr>
      <w:r>
        <w:rPr>
          <w:sz w:val="20"/>
          <w:szCs w:val="20"/>
        </w:rPr>
        <w:t>The Company has no remaining obligation to customers after the date on which its customers purchase its mobile software applications.</w:t>
      </w:r>
    </w:p>
    <w:p w14:paraId="19BE41B5" w14:textId="77777777" w:rsidR="00000000" w:rsidRDefault="007E65A2">
      <w:pPr>
        <w:pStyle w:val="a3"/>
        <w:spacing w:before="0" w:beforeAutospacing="0" w:after="0" w:afterAutospacing="0"/>
        <w:jc w:val="both"/>
        <w:divId w:val="911279972"/>
        <w:rPr>
          <w:sz w:val="20"/>
          <w:szCs w:val="20"/>
        </w:rPr>
      </w:pPr>
      <w:r>
        <w:rPr>
          <w:sz w:val="20"/>
          <w:szCs w:val="20"/>
        </w:rPr>
        <w:t> </w:t>
      </w:r>
    </w:p>
    <w:p w14:paraId="32EB73AD" w14:textId="77777777" w:rsidR="00000000" w:rsidRDefault="007E65A2">
      <w:pPr>
        <w:pStyle w:val="a3"/>
        <w:spacing w:before="0" w:beforeAutospacing="0" w:after="0" w:afterAutospacing="0"/>
        <w:jc w:val="both"/>
        <w:divId w:val="911279972"/>
        <w:rPr>
          <w:sz w:val="20"/>
          <w:szCs w:val="20"/>
        </w:rPr>
      </w:pPr>
      <w:r>
        <w:rPr>
          <w:i/>
          <w:iCs/>
          <w:sz w:val="20"/>
          <w:szCs w:val="20"/>
        </w:rPr>
        <w:t>Equity Method Investment</w:t>
      </w:r>
    </w:p>
    <w:p w14:paraId="0DC19329" w14:textId="77777777" w:rsidR="00000000" w:rsidRDefault="007E65A2">
      <w:pPr>
        <w:pStyle w:val="a3"/>
        <w:spacing w:before="0" w:beforeAutospacing="0" w:after="0" w:afterAutospacing="0"/>
        <w:jc w:val="both"/>
        <w:divId w:val="911279972"/>
        <w:rPr>
          <w:sz w:val="20"/>
          <w:szCs w:val="20"/>
        </w:rPr>
      </w:pPr>
      <w:r>
        <w:rPr>
          <w:sz w:val="20"/>
          <w:szCs w:val="20"/>
        </w:rPr>
        <w:t> </w:t>
      </w:r>
    </w:p>
    <w:p w14:paraId="5637412B" w14:textId="77777777" w:rsidR="00000000" w:rsidRDefault="007E65A2">
      <w:pPr>
        <w:pStyle w:val="a3"/>
        <w:spacing w:before="0" w:beforeAutospacing="0" w:after="0" w:afterAutospacing="0"/>
        <w:jc w:val="both"/>
        <w:divId w:val="911279972"/>
        <w:rPr>
          <w:sz w:val="20"/>
          <w:szCs w:val="20"/>
        </w:rPr>
      </w:pPr>
      <w:r>
        <w:rPr>
          <w:sz w:val="20"/>
          <w:szCs w:val="20"/>
        </w:rPr>
        <w:t xml:space="preserve">The Company owns membership </w:t>
      </w:r>
      <w:r>
        <w:rPr>
          <w:sz w:val="20"/>
          <w:szCs w:val="20"/>
        </w:rPr>
        <w:t>interests of 5% in Cedar Creek Labs Series Two LLC. The Company accounts for its interest in this entity using the equity method. The Company’s investment in this entity was $25,000 at June 30, 2018. Under the equity method of accounting, the Company recor</w:t>
      </w:r>
      <w:r>
        <w:rPr>
          <w:sz w:val="20"/>
          <w:szCs w:val="20"/>
        </w:rPr>
        <w:t>ds the investment at cost. The Company’s investment in the entity is increased by additional contributions to the entity as well as its proportionate share of earnings in the entity. Conversely, the Company’s investment is decreased by distributions made b</w:t>
      </w:r>
      <w:r>
        <w:rPr>
          <w:sz w:val="20"/>
          <w:szCs w:val="20"/>
        </w:rPr>
        <w:t>y the Company and by its proportionate share of losses. During the year ended June 30, 2018, the Company recognized loss on Investment in equity method investee of $476. The Company reviewed Cedar Creek Labs Series Two LLC financial condition at June 30, 2</w:t>
      </w:r>
      <w:r>
        <w:rPr>
          <w:sz w:val="20"/>
          <w:szCs w:val="20"/>
        </w:rPr>
        <w:t>018 and concluded that there is a 100% impairment loss related to the Company’s investment, and recorded an impairment loss of $24,524, for the year ended June 30, 2018.</w:t>
      </w:r>
    </w:p>
    <w:p w14:paraId="20CBEE15"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D383553" w14:textId="77777777">
        <w:trPr>
          <w:divId w:val="911279972"/>
          <w:tblCellSpacing w:w="0" w:type="dxa"/>
        </w:trPr>
        <w:tc>
          <w:tcPr>
            <w:tcW w:w="0" w:type="auto"/>
            <w:vAlign w:val="center"/>
            <w:hideMark/>
          </w:tcPr>
          <w:p w14:paraId="4A795ED7" w14:textId="77777777" w:rsidR="00000000" w:rsidRDefault="007E65A2">
            <w:pPr>
              <w:rPr>
                <w:rFonts w:eastAsia="Times New Roman"/>
                <w:sz w:val="20"/>
                <w:szCs w:val="20"/>
              </w:rPr>
            </w:pPr>
            <w:r>
              <w:rPr>
                <w:rFonts w:eastAsia="Times New Roman"/>
                <w:sz w:val="20"/>
                <w:szCs w:val="20"/>
              </w:rPr>
              <w:t> </w:t>
            </w:r>
          </w:p>
        </w:tc>
      </w:tr>
      <w:tr w:rsidR="00000000" w14:paraId="3C33A9B6" w14:textId="77777777">
        <w:trPr>
          <w:divId w:val="911279972"/>
          <w:tblCellSpacing w:w="0" w:type="dxa"/>
        </w:trPr>
        <w:tc>
          <w:tcPr>
            <w:tcW w:w="0" w:type="auto"/>
            <w:tcBorders>
              <w:bottom w:val="single" w:sz="6" w:space="0" w:color="000000"/>
            </w:tcBorders>
            <w:vAlign w:val="center"/>
            <w:hideMark/>
          </w:tcPr>
          <w:p w14:paraId="6062751C" w14:textId="77777777" w:rsidR="00000000" w:rsidRDefault="007E65A2">
            <w:pPr>
              <w:jc w:val="center"/>
              <w:rPr>
                <w:rFonts w:eastAsia="Times New Roman"/>
                <w:sz w:val="20"/>
                <w:szCs w:val="20"/>
              </w:rPr>
            </w:pPr>
            <w:r>
              <w:rPr>
                <w:rFonts w:eastAsia="Times New Roman"/>
                <w:sz w:val="20"/>
                <w:szCs w:val="20"/>
              </w:rPr>
              <w:t>F-9</w:t>
            </w:r>
          </w:p>
        </w:tc>
      </w:tr>
      <w:tr w:rsidR="00000000" w14:paraId="68FEE75A" w14:textId="77777777">
        <w:trPr>
          <w:divId w:val="911279972"/>
          <w:tblCellSpacing w:w="0" w:type="dxa"/>
        </w:trPr>
        <w:tc>
          <w:tcPr>
            <w:tcW w:w="0" w:type="auto"/>
            <w:vAlign w:val="center"/>
            <w:hideMark/>
          </w:tcPr>
          <w:p w14:paraId="25026C3B" w14:textId="77777777" w:rsidR="00000000" w:rsidRDefault="007E65A2">
            <w:pPr>
              <w:rPr>
                <w:rFonts w:eastAsia="Times New Roman"/>
                <w:sz w:val="20"/>
                <w:szCs w:val="20"/>
              </w:rPr>
            </w:pPr>
            <w:r>
              <w:rPr>
                <w:rFonts w:eastAsia="Times New Roman"/>
                <w:sz w:val="20"/>
                <w:szCs w:val="20"/>
              </w:rPr>
              <w:t> </w:t>
            </w:r>
          </w:p>
        </w:tc>
      </w:tr>
      <w:tr w:rsidR="00000000" w14:paraId="58A8D979" w14:textId="77777777">
        <w:trPr>
          <w:divId w:val="911279972"/>
          <w:tblCellSpacing w:w="0" w:type="dxa"/>
        </w:trPr>
        <w:tc>
          <w:tcPr>
            <w:tcW w:w="0" w:type="auto"/>
            <w:vAlign w:val="center"/>
            <w:hideMark/>
          </w:tcPr>
          <w:p w14:paraId="15FE5252"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60ABCDF2" w14:textId="77777777" w:rsidR="00000000" w:rsidRDefault="007E65A2">
      <w:pPr>
        <w:pStyle w:val="a3"/>
        <w:spacing w:before="0" w:beforeAutospacing="0" w:after="0" w:afterAutospacing="0"/>
        <w:jc w:val="both"/>
        <w:divId w:val="911279972"/>
        <w:rPr>
          <w:sz w:val="20"/>
          <w:szCs w:val="20"/>
        </w:rPr>
      </w:pPr>
      <w:r>
        <w:rPr>
          <w:sz w:val="20"/>
          <w:szCs w:val="20"/>
        </w:rPr>
        <w:t> </w:t>
      </w:r>
    </w:p>
    <w:p w14:paraId="3A08B8B2" w14:textId="77777777" w:rsidR="00000000" w:rsidRDefault="007E65A2">
      <w:pPr>
        <w:pStyle w:val="a3"/>
        <w:spacing w:before="0" w:beforeAutospacing="0" w:after="0" w:afterAutospacing="0"/>
        <w:jc w:val="both"/>
        <w:divId w:val="911279972"/>
        <w:rPr>
          <w:sz w:val="20"/>
          <w:szCs w:val="20"/>
        </w:rPr>
      </w:pPr>
      <w:r>
        <w:rPr>
          <w:i/>
          <w:iCs/>
          <w:sz w:val="20"/>
          <w:szCs w:val="20"/>
        </w:rPr>
        <w:t>Income Taxes</w:t>
      </w:r>
    </w:p>
    <w:p w14:paraId="7BA26132" w14:textId="77777777" w:rsidR="00000000" w:rsidRDefault="007E65A2">
      <w:pPr>
        <w:pStyle w:val="a3"/>
        <w:spacing w:before="0" w:beforeAutospacing="0" w:after="0" w:afterAutospacing="0"/>
        <w:jc w:val="both"/>
        <w:divId w:val="911279972"/>
        <w:rPr>
          <w:sz w:val="20"/>
          <w:szCs w:val="20"/>
        </w:rPr>
      </w:pPr>
      <w:r>
        <w:rPr>
          <w:sz w:val="20"/>
          <w:szCs w:val="20"/>
        </w:rPr>
        <w:t> </w:t>
      </w:r>
    </w:p>
    <w:p w14:paraId="1F77C7E2" w14:textId="77777777" w:rsidR="00000000" w:rsidRDefault="007E65A2">
      <w:pPr>
        <w:pStyle w:val="a3"/>
        <w:spacing w:before="0" w:beforeAutospacing="0" w:after="0" w:afterAutospacing="0"/>
        <w:jc w:val="both"/>
        <w:divId w:val="911279972"/>
        <w:rPr>
          <w:sz w:val="20"/>
          <w:szCs w:val="20"/>
        </w:rPr>
      </w:pPr>
      <w:r>
        <w:rPr>
          <w:sz w:val="20"/>
          <w:szCs w:val="20"/>
        </w:rPr>
        <w:t>The Company accounts for income taxes in accordance with FASB ASC 740 “Income Taxes”. Under FASB ASC 740, deferred income taxes are recognized for the tax consequences in future years of differences between the tax bases of assets and liabilities and their</w:t>
      </w:r>
      <w:r>
        <w:rPr>
          <w:sz w:val="20"/>
          <w:szCs w:val="20"/>
        </w:rPr>
        <w:t xml:space="preserve"> financial statement reported amounts at each period end, based on enacted tax laws and statutory tax rates applicable to the periods in which the differences are expected to affect taxable income. Valuation allowances are established, when necessary, to r</w:t>
      </w:r>
      <w:r>
        <w:rPr>
          <w:sz w:val="20"/>
          <w:szCs w:val="20"/>
        </w:rPr>
        <w:t>educe deferred tax assets to the amounts expected to be realized. The provision for income taxes represents the tax expense for the period, if any, and the change during the period in deferred tax assets and liabilities. FASB ASC 740 also provides criteria</w:t>
      </w:r>
      <w:r>
        <w:rPr>
          <w:sz w:val="20"/>
          <w:szCs w:val="20"/>
        </w:rPr>
        <w:t xml:space="preserve"> for the recognition, measurement, presentation and disclosure of uncertain tax positions. Under FASB ASC 740, the impact of an uncertain tax position on the income tax return may only be recognized at the largest amount that is more-likely-than-not to be </w:t>
      </w:r>
      <w:r>
        <w:rPr>
          <w:sz w:val="20"/>
          <w:szCs w:val="20"/>
        </w:rPr>
        <w:t>sustained upon audit by the relevant taxing authority. At June 30, 2019 and 2018, a full deferred tax asset valuation allowance has been provided and no deferred tax asset has been recorded.</w:t>
      </w:r>
    </w:p>
    <w:p w14:paraId="513BE15F" w14:textId="77777777" w:rsidR="00000000" w:rsidRDefault="007E65A2">
      <w:pPr>
        <w:pStyle w:val="a3"/>
        <w:spacing w:before="0" w:beforeAutospacing="0" w:after="0" w:afterAutospacing="0"/>
        <w:jc w:val="both"/>
        <w:divId w:val="911279972"/>
        <w:rPr>
          <w:sz w:val="20"/>
          <w:szCs w:val="20"/>
        </w:rPr>
      </w:pPr>
      <w:r>
        <w:rPr>
          <w:sz w:val="20"/>
          <w:szCs w:val="20"/>
        </w:rPr>
        <w:t> </w:t>
      </w:r>
    </w:p>
    <w:p w14:paraId="0141E32A" w14:textId="77777777" w:rsidR="00000000" w:rsidRDefault="007E65A2">
      <w:pPr>
        <w:pStyle w:val="a3"/>
        <w:spacing w:before="0" w:beforeAutospacing="0" w:after="0" w:afterAutospacing="0"/>
        <w:jc w:val="both"/>
        <w:divId w:val="911279972"/>
        <w:rPr>
          <w:sz w:val="20"/>
          <w:szCs w:val="20"/>
        </w:rPr>
      </w:pPr>
      <w:r>
        <w:rPr>
          <w:i/>
          <w:iCs/>
          <w:sz w:val="20"/>
          <w:szCs w:val="20"/>
        </w:rPr>
        <w:t>Basic and Diluted Net Income (Loss) per Share</w:t>
      </w:r>
    </w:p>
    <w:p w14:paraId="57B47A14" w14:textId="77777777" w:rsidR="00000000" w:rsidRDefault="007E65A2">
      <w:pPr>
        <w:pStyle w:val="a3"/>
        <w:spacing w:before="0" w:beforeAutospacing="0" w:after="0" w:afterAutospacing="0"/>
        <w:jc w:val="both"/>
        <w:divId w:val="911279972"/>
        <w:rPr>
          <w:sz w:val="20"/>
          <w:szCs w:val="20"/>
        </w:rPr>
      </w:pPr>
      <w:r>
        <w:rPr>
          <w:sz w:val="20"/>
          <w:szCs w:val="20"/>
        </w:rPr>
        <w:t> </w:t>
      </w:r>
    </w:p>
    <w:p w14:paraId="41BC3778" w14:textId="77777777" w:rsidR="00000000" w:rsidRDefault="007E65A2">
      <w:pPr>
        <w:pStyle w:val="a3"/>
        <w:spacing w:before="0" w:beforeAutospacing="0" w:after="0" w:afterAutospacing="0"/>
        <w:jc w:val="both"/>
        <w:divId w:val="911279972"/>
        <w:rPr>
          <w:sz w:val="20"/>
          <w:szCs w:val="20"/>
        </w:rPr>
      </w:pPr>
      <w:r>
        <w:rPr>
          <w:sz w:val="20"/>
          <w:szCs w:val="20"/>
        </w:rPr>
        <w:t>The Company com</w:t>
      </w:r>
      <w:r>
        <w:rPr>
          <w:sz w:val="20"/>
          <w:szCs w:val="20"/>
        </w:rPr>
        <w:t>putes net income (loss) per share in accordance with ASC 260, “Earnings per Share” which requires presentation of both basic and diluted earnings per share (EPS) on the face of the income statement. Basic EPS is computed by dividing net income (loss) avail</w:t>
      </w:r>
      <w:r>
        <w:rPr>
          <w:sz w:val="20"/>
          <w:szCs w:val="20"/>
        </w:rPr>
        <w:t>able to common shareholders (numerator) by the weighted average number of common shares outstanding (denominator) during the period. Diluted EPS gives effect to all dilutive potential common shares outstanding during the period including stock options, usi</w:t>
      </w:r>
      <w:r>
        <w:rPr>
          <w:sz w:val="20"/>
          <w:szCs w:val="20"/>
        </w:rPr>
        <w:t>ng the treasury stock method, and convertible preferred stock, using the if-converted method. In computing diluted EPS, the average stock price for the period is used in determining the number of shares assumed to be purchased from the exercise of stock op</w:t>
      </w:r>
      <w:r>
        <w:rPr>
          <w:sz w:val="20"/>
          <w:szCs w:val="20"/>
        </w:rPr>
        <w:t xml:space="preserve">tions or warrants. Diluted EPS excludes all dilutive potential common shares if their effect is anti-dilutive. During the year ended June 30, 2019 and 2018, there were shares of convertible preferred stock outstanding and conversion privileges attached to </w:t>
      </w:r>
      <w:r>
        <w:rPr>
          <w:sz w:val="20"/>
          <w:szCs w:val="20"/>
        </w:rPr>
        <w:t>convertible promissory notes payable. The common share equivalents of these securities have not been included in the calculations of loss per share because such inclusions would have an anti-dilutive effect as the Company has incurred losses during the yea</w:t>
      </w:r>
      <w:r>
        <w:rPr>
          <w:sz w:val="20"/>
          <w:szCs w:val="20"/>
        </w:rPr>
        <w:t>r ended June 30, 2019 and 2018.</w:t>
      </w:r>
    </w:p>
    <w:p w14:paraId="6CA8D29A" w14:textId="77777777" w:rsidR="00000000" w:rsidRDefault="007E65A2">
      <w:pPr>
        <w:pStyle w:val="a3"/>
        <w:spacing w:before="0" w:beforeAutospacing="0" w:after="0" w:afterAutospacing="0"/>
        <w:jc w:val="both"/>
        <w:divId w:val="911279972"/>
        <w:rPr>
          <w:sz w:val="20"/>
          <w:szCs w:val="20"/>
        </w:rPr>
      </w:pPr>
      <w:r>
        <w:rPr>
          <w:sz w:val="20"/>
          <w:szCs w:val="20"/>
        </w:rPr>
        <w:t> </w:t>
      </w:r>
    </w:p>
    <w:p w14:paraId="23A4603F" w14:textId="77777777" w:rsidR="00000000" w:rsidRDefault="007E65A2">
      <w:pPr>
        <w:pStyle w:val="a3"/>
        <w:spacing w:before="0" w:beforeAutospacing="0" w:after="0" w:afterAutospacing="0"/>
        <w:jc w:val="both"/>
        <w:divId w:val="911279972"/>
        <w:rPr>
          <w:sz w:val="20"/>
          <w:szCs w:val="20"/>
        </w:rPr>
      </w:pPr>
      <w:r>
        <w:rPr>
          <w:i/>
          <w:iCs/>
          <w:sz w:val="20"/>
          <w:szCs w:val="20"/>
        </w:rPr>
        <w:t>Recent Accounting Pronouncements</w:t>
      </w:r>
    </w:p>
    <w:p w14:paraId="740D25ED" w14:textId="77777777" w:rsidR="00000000" w:rsidRDefault="007E65A2">
      <w:pPr>
        <w:pStyle w:val="a3"/>
        <w:spacing w:before="0" w:beforeAutospacing="0" w:after="0" w:afterAutospacing="0"/>
        <w:jc w:val="both"/>
        <w:divId w:val="911279972"/>
        <w:rPr>
          <w:sz w:val="20"/>
          <w:szCs w:val="20"/>
        </w:rPr>
      </w:pPr>
      <w:r>
        <w:rPr>
          <w:sz w:val="20"/>
          <w:szCs w:val="20"/>
        </w:rPr>
        <w:t> </w:t>
      </w:r>
    </w:p>
    <w:p w14:paraId="3774FB85" w14:textId="77777777" w:rsidR="00000000" w:rsidRDefault="007E65A2">
      <w:pPr>
        <w:pStyle w:val="a3"/>
        <w:spacing w:before="0" w:beforeAutospacing="0" w:after="0" w:afterAutospacing="0"/>
        <w:jc w:val="both"/>
        <w:divId w:val="911279972"/>
        <w:rPr>
          <w:sz w:val="20"/>
          <w:szCs w:val="20"/>
        </w:rPr>
      </w:pPr>
      <w:r>
        <w:rPr>
          <w:sz w:val="20"/>
          <w:szCs w:val="20"/>
        </w:rPr>
        <w:t>In July 2018, the FASB issued ASU 2018-07, Compensation—Stock Compensation (Topic 718): Improvements to Nonemployee Share-Based Payment Accounting. This update addresses several aspects o</w:t>
      </w:r>
      <w:r>
        <w:rPr>
          <w:sz w:val="20"/>
          <w:szCs w:val="20"/>
        </w:rPr>
        <w:t xml:space="preserve">f the accounting for nonemployee share-based payment transactions and expands the scope of ASC 718 to include share-based payment transactions for acquiring goods and services from nonemployees. The main provisions of the update change the way nonemployee </w:t>
      </w:r>
      <w:r>
        <w:rPr>
          <w:sz w:val="20"/>
          <w:szCs w:val="20"/>
        </w:rPr>
        <w:t>awards are measured in the financial statements. Under the simplified standards, nonemployee options will be valued once at the date of grant, as compared to at each reporting period end under ASC 505-50. At adoption, all awards without established measure</w:t>
      </w:r>
      <w:r>
        <w:rPr>
          <w:sz w:val="20"/>
          <w:szCs w:val="20"/>
        </w:rPr>
        <w:t>ment dates will be revalued one final time, and a cumulative effect adjustment to retained earnings will be recorded as the difference between the pre-adoption value and new value. Companies will be permitted to make elections to establish the expected ter</w:t>
      </w:r>
      <w:r>
        <w:rPr>
          <w:sz w:val="20"/>
          <w:szCs w:val="20"/>
        </w:rPr>
        <w:t>m and either recognize forfeitures as they occur or apply a forfeiture rate. Compensation expense recognition using a graded vesting schedule will no longer be permitted. This pending content is the result of the FASB’s Simplification Initiative, to mainta</w:t>
      </w:r>
      <w:r>
        <w:rPr>
          <w:sz w:val="20"/>
          <w:szCs w:val="20"/>
        </w:rPr>
        <w:t>in or improve the usefulness of the information provided to the users of financial statements while reducing cost and complexity in financial reporting. This ASU is effective for fiscal years, and interim periods within those years, beginning after Decembe</w:t>
      </w:r>
      <w:r>
        <w:rPr>
          <w:sz w:val="20"/>
          <w:szCs w:val="20"/>
        </w:rPr>
        <w:t>r 15, 2018. Early adoption is permitted, but no earlier than an entity’s adoption date of Topic 606. Because the Company does not currently have any outstanding awards to non-employees for which a measurement date has not been established the adoption of A</w:t>
      </w:r>
      <w:r>
        <w:rPr>
          <w:sz w:val="20"/>
          <w:szCs w:val="20"/>
        </w:rPr>
        <w:t>SU 2018-07 does not have a material impact to the Company’s financial statements and related disclosures upon adoption. The adoption of this standard will change the way that the Company accounts for non-employee compensation in the future.</w:t>
      </w:r>
    </w:p>
    <w:p w14:paraId="1DE1F210" w14:textId="77777777" w:rsidR="00000000" w:rsidRDefault="007E65A2">
      <w:pPr>
        <w:pStyle w:val="a3"/>
        <w:spacing w:before="0" w:beforeAutospacing="0" w:after="0" w:afterAutospacing="0"/>
        <w:jc w:val="both"/>
        <w:divId w:val="911279972"/>
        <w:rPr>
          <w:sz w:val="20"/>
          <w:szCs w:val="20"/>
        </w:rPr>
      </w:pPr>
      <w:r>
        <w:rPr>
          <w:sz w:val="20"/>
          <w:szCs w:val="20"/>
        </w:rPr>
        <w:t> </w:t>
      </w:r>
    </w:p>
    <w:p w14:paraId="00101400" w14:textId="77777777" w:rsidR="00000000" w:rsidRDefault="007E65A2">
      <w:pPr>
        <w:pStyle w:val="a3"/>
        <w:spacing w:before="0" w:beforeAutospacing="0" w:after="0" w:afterAutospacing="0"/>
        <w:jc w:val="both"/>
        <w:divId w:val="911279972"/>
        <w:rPr>
          <w:sz w:val="20"/>
          <w:szCs w:val="20"/>
        </w:rPr>
      </w:pPr>
      <w:r>
        <w:rPr>
          <w:sz w:val="20"/>
          <w:szCs w:val="20"/>
        </w:rPr>
        <w:t>In February 2</w:t>
      </w:r>
      <w:r>
        <w:rPr>
          <w:sz w:val="20"/>
          <w:szCs w:val="20"/>
        </w:rPr>
        <w:t>016, the FASB issued ASU 2016-02, Leases (Topic 842). Under this guidance, lessees will be required to recognize on the balance sheet a lease liability and a right-of-use asset for all leases, with the exception of short-term leases. The lease liability re</w:t>
      </w:r>
      <w:r>
        <w:rPr>
          <w:sz w:val="20"/>
          <w:szCs w:val="20"/>
        </w:rPr>
        <w:t>presents the lessee’s obligation to make lease payments arising from a lease, and will be measured as the present value of the lease payments. The right-of-use asset represents the lessee’s right to use a specified asset for the lease term, and will be mea</w:t>
      </w:r>
      <w:r>
        <w:rPr>
          <w:sz w:val="20"/>
          <w:szCs w:val="20"/>
        </w:rPr>
        <w:t>sured at the lease liability amount, adjusted for lease prepayment, lease incentives received and the lessee’s initial direct costs. The standard also requires a lessee to recognize a single lease cost allocated over the lease term, generally on a straight</w:t>
      </w:r>
      <w:r>
        <w:rPr>
          <w:sz w:val="20"/>
          <w:szCs w:val="20"/>
        </w:rPr>
        <w:t>-line basis. The new guidance is effective for fiscal years beginning after December 15, 2018. ASU 2016-02 is required to be applied using the modified retrospective approach for all leases existing as of the effective date and provides for certain practic</w:t>
      </w:r>
      <w:r>
        <w:rPr>
          <w:sz w:val="20"/>
          <w:szCs w:val="20"/>
        </w:rPr>
        <w:t>al expedients. Early adoption is permitted. The Company is currently evaluating the effects that the adoption of ASU 2016-02 will have on the Company’s financial statements.</w:t>
      </w:r>
    </w:p>
    <w:p w14:paraId="03DC02B8"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68706EA" w14:textId="77777777">
        <w:trPr>
          <w:divId w:val="911279972"/>
          <w:tblCellSpacing w:w="0" w:type="dxa"/>
        </w:trPr>
        <w:tc>
          <w:tcPr>
            <w:tcW w:w="0" w:type="auto"/>
            <w:vAlign w:val="center"/>
            <w:hideMark/>
          </w:tcPr>
          <w:p w14:paraId="2A610199" w14:textId="77777777" w:rsidR="00000000" w:rsidRDefault="007E65A2">
            <w:pPr>
              <w:rPr>
                <w:rFonts w:eastAsia="Times New Roman"/>
                <w:sz w:val="20"/>
                <w:szCs w:val="20"/>
              </w:rPr>
            </w:pPr>
            <w:r>
              <w:rPr>
                <w:rFonts w:eastAsia="Times New Roman"/>
                <w:sz w:val="20"/>
                <w:szCs w:val="20"/>
              </w:rPr>
              <w:t> </w:t>
            </w:r>
          </w:p>
        </w:tc>
      </w:tr>
      <w:tr w:rsidR="00000000" w14:paraId="4799CB41" w14:textId="77777777">
        <w:trPr>
          <w:divId w:val="911279972"/>
          <w:tblCellSpacing w:w="0" w:type="dxa"/>
        </w:trPr>
        <w:tc>
          <w:tcPr>
            <w:tcW w:w="0" w:type="auto"/>
            <w:tcBorders>
              <w:bottom w:val="single" w:sz="6" w:space="0" w:color="000000"/>
            </w:tcBorders>
            <w:vAlign w:val="center"/>
            <w:hideMark/>
          </w:tcPr>
          <w:p w14:paraId="65213FCF" w14:textId="77777777" w:rsidR="00000000" w:rsidRDefault="007E65A2">
            <w:pPr>
              <w:jc w:val="center"/>
              <w:rPr>
                <w:rFonts w:eastAsia="Times New Roman"/>
                <w:sz w:val="20"/>
                <w:szCs w:val="20"/>
              </w:rPr>
            </w:pPr>
            <w:r>
              <w:rPr>
                <w:rFonts w:eastAsia="Times New Roman"/>
                <w:sz w:val="20"/>
                <w:szCs w:val="20"/>
              </w:rPr>
              <w:t>F-10</w:t>
            </w:r>
          </w:p>
        </w:tc>
      </w:tr>
      <w:tr w:rsidR="00000000" w14:paraId="051A2948" w14:textId="77777777">
        <w:trPr>
          <w:divId w:val="911279972"/>
          <w:tblCellSpacing w:w="0" w:type="dxa"/>
        </w:trPr>
        <w:tc>
          <w:tcPr>
            <w:tcW w:w="0" w:type="auto"/>
            <w:vAlign w:val="center"/>
            <w:hideMark/>
          </w:tcPr>
          <w:p w14:paraId="72175B65" w14:textId="77777777" w:rsidR="00000000" w:rsidRDefault="007E65A2">
            <w:pPr>
              <w:rPr>
                <w:rFonts w:eastAsia="Times New Roman"/>
                <w:sz w:val="20"/>
                <w:szCs w:val="20"/>
              </w:rPr>
            </w:pPr>
            <w:r>
              <w:rPr>
                <w:rFonts w:eastAsia="Times New Roman"/>
                <w:sz w:val="20"/>
                <w:szCs w:val="20"/>
              </w:rPr>
              <w:t> </w:t>
            </w:r>
          </w:p>
        </w:tc>
      </w:tr>
      <w:tr w:rsidR="00000000" w14:paraId="5775393F" w14:textId="77777777">
        <w:trPr>
          <w:divId w:val="911279972"/>
          <w:tblCellSpacing w:w="0" w:type="dxa"/>
        </w:trPr>
        <w:tc>
          <w:tcPr>
            <w:tcW w:w="0" w:type="auto"/>
            <w:vAlign w:val="center"/>
            <w:hideMark/>
          </w:tcPr>
          <w:p w14:paraId="57AE5EBC"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472215C1" w14:textId="77777777" w:rsidR="00000000" w:rsidRDefault="007E65A2">
      <w:pPr>
        <w:pStyle w:val="a3"/>
        <w:spacing w:before="0" w:beforeAutospacing="0" w:after="0" w:afterAutospacing="0"/>
        <w:jc w:val="both"/>
        <w:divId w:val="911279972"/>
        <w:rPr>
          <w:sz w:val="20"/>
          <w:szCs w:val="20"/>
        </w:rPr>
      </w:pPr>
      <w:r>
        <w:rPr>
          <w:sz w:val="20"/>
          <w:szCs w:val="20"/>
        </w:rPr>
        <w:t> </w:t>
      </w:r>
    </w:p>
    <w:p w14:paraId="01A96E39" w14:textId="77777777" w:rsidR="00000000" w:rsidRDefault="007E65A2">
      <w:pPr>
        <w:pStyle w:val="a3"/>
        <w:spacing w:before="0" w:beforeAutospacing="0" w:after="0" w:afterAutospacing="0"/>
        <w:jc w:val="both"/>
        <w:divId w:val="911279972"/>
        <w:rPr>
          <w:sz w:val="20"/>
          <w:szCs w:val="20"/>
        </w:rPr>
      </w:pPr>
      <w:r>
        <w:rPr>
          <w:sz w:val="20"/>
          <w:szCs w:val="20"/>
        </w:rPr>
        <w:t>The Company has reviewed all recently issued, but not yet effective, accounting pronouncements and does not believe the future adoption of any such pronouncements may be expected to cause a material impact on our financial statements.</w:t>
      </w:r>
    </w:p>
    <w:p w14:paraId="5BF643C4" w14:textId="77777777" w:rsidR="00000000" w:rsidRDefault="007E65A2">
      <w:pPr>
        <w:pStyle w:val="a3"/>
        <w:spacing w:before="0" w:beforeAutospacing="0" w:after="0" w:afterAutospacing="0"/>
        <w:jc w:val="both"/>
        <w:divId w:val="911279972"/>
        <w:rPr>
          <w:sz w:val="20"/>
          <w:szCs w:val="20"/>
        </w:rPr>
      </w:pPr>
      <w:r>
        <w:rPr>
          <w:sz w:val="20"/>
          <w:szCs w:val="20"/>
        </w:rPr>
        <w:t> </w:t>
      </w:r>
    </w:p>
    <w:p w14:paraId="1192A5DA" w14:textId="77777777" w:rsidR="00000000" w:rsidRDefault="007E65A2">
      <w:pPr>
        <w:pStyle w:val="a3"/>
        <w:spacing w:before="0" w:beforeAutospacing="0" w:after="0" w:afterAutospacing="0"/>
        <w:jc w:val="both"/>
        <w:divId w:val="911279972"/>
        <w:rPr>
          <w:sz w:val="20"/>
          <w:szCs w:val="20"/>
        </w:rPr>
      </w:pPr>
      <w:r>
        <w:rPr>
          <w:b/>
          <w:bCs/>
          <w:sz w:val="20"/>
          <w:szCs w:val="20"/>
        </w:rPr>
        <w:t>3. GOING CONCERN AN</w:t>
      </w:r>
      <w:r>
        <w:rPr>
          <w:b/>
          <w:bCs/>
          <w:sz w:val="20"/>
          <w:szCs w:val="20"/>
        </w:rPr>
        <w:t>D LIQUIDITY</w:t>
      </w:r>
    </w:p>
    <w:p w14:paraId="41F14D80" w14:textId="77777777" w:rsidR="00000000" w:rsidRDefault="007E65A2">
      <w:pPr>
        <w:pStyle w:val="a3"/>
        <w:spacing w:before="0" w:beforeAutospacing="0" w:after="0" w:afterAutospacing="0"/>
        <w:jc w:val="both"/>
        <w:divId w:val="911279972"/>
        <w:rPr>
          <w:sz w:val="20"/>
          <w:szCs w:val="20"/>
        </w:rPr>
      </w:pPr>
      <w:r>
        <w:rPr>
          <w:sz w:val="20"/>
          <w:szCs w:val="20"/>
        </w:rPr>
        <w:t> </w:t>
      </w:r>
    </w:p>
    <w:p w14:paraId="6136EEE8" w14:textId="77777777" w:rsidR="00000000" w:rsidRDefault="007E65A2">
      <w:pPr>
        <w:pStyle w:val="a3"/>
        <w:spacing w:before="0" w:beforeAutospacing="0" w:after="0" w:afterAutospacing="0"/>
        <w:jc w:val="both"/>
        <w:divId w:val="911279972"/>
        <w:rPr>
          <w:sz w:val="20"/>
          <w:szCs w:val="20"/>
        </w:rPr>
      </w:pPr>
      <w:r>
        <w:rPr>
          <w:sz w:val="20"/>
          <w:szCs w:val="20"/>
        </w:rPr>
        <w:t>At June 30, 2019, the Company had cash of $45,056 and current liabilities of $1,030,167 and had a working capital deficit of $975,611 and an accumulated deficit of $7,841,929. The Company anticipates future losses in its business. These condi</w:t>
      </w:r>
      <w:r>
        <w:rPr>
          <w:sz w:val="20"/>
          <w:szCs w:val="20"/>
        </w:rPr>
        <w:t>tions raise substantial doubt regarding the Company’s ability to continue as a going concern.</w:t>
      </w:r>
    </w:p>
    <w:p w14:paraId="13781818" w14:textId="77777777" w:rsidR="00000000" w:rsidRDefault="007E65A2">
      <w:pPr>
        <w:pStyle w:val="a3"/>
        <w:spacing w:before="0" w:beforeAutospacing="0" w:after="0" w:afterAutospacing="0"/>
        <w:jc w:val="both"/>
        <w:divId w:val="911279972"/>
        <w:rPr>
          <w:sz w:val="20"/>
          <w:szCs w:val="20"/>
        </w:rPr>
      </w:pPr>
      <w:r>
        <w:rPr>
          <w:sz w:val="20"/>
          <w:szCs w:val="20"/>
        </w:rPr>
        <w:t> </w:t>
      </w:r>
    </w:p>
    <w:p w14:paraId="01411415" w14:textId="77777777" w:rsidR="00000000" w:rsidRDefault="007E65A2">
      <w:pPr>
        <w:pStyle w:val="a3"/>
        <w:spacing w:before="0" w:beforeAutospacing="0" w:after="0" w:afterAutospacing="0"/>
        <w:jc w:val="both"/>
        <w:divId w:val="911279972"/>
        <w:rPr>
          <w:sz w:val="20"/>
          <w:szCs w:val="20"/>
        </w:rPr>
      </w:pPr>
      <w:r>
        <w:rPr>
          <w:sz w:val="20"/>
          <w:szCs w:val="20"/>
        </w:rPr>
        <w:t xml:space="preserve">In our financial statements for the year ended June 30, 2019, the Report of the Independent Registered Public Accounting Firm includes an explanatory paragraph </w:t>
      </w:r>
      <w:r>
        <w:rPr>
          <w:sz w:val="20"/>
          <w:szCs w:val="20"/>
        </w:rPr>
        <w:t>that describes substantial doubt about our ability to continue as a going concern.</w:t>
      </w:r>
    </w:p>
    <w:p w14:paraId="38AC286B" w14:textId="77777777" w:rsidR="00000000" w:rsidRDefault="007E65A2">
      <w:pPr>
        <w:pStyle w:val="a3"/>
        <w:spacing w:before="0" w:beforeAutospacing="0" w:after="0" w:afterAutospacing="0"/>
        <w:jc w:val="both"/>
        <w:divId w:val="911279972"/>
        <w:rPr>
          <w:sz w:val="20"/>
          <w:szCs w:val="20"/>
        </w:rPr>
      </w:pPr>
      <w:r>
        <w:rPr>
          <w:sz w:val="20"/>
          <w:szCs w:val="20"/>
        </w:rPr>
        <w:t> </w:t>
      </w:r>
    </w:p>
    <w:p w14:paraId="3F9772F4" w14:textId="77777777" w:rsidR="00000000" w:rsidRDefault="007E65A2">
      <w:pPr>
        <w:pStyle w:val="a3"/>
        <w:spacing w:before="0" w:beforeAutospacing="0" w:after="0" w:afterAutospacing="0"/>
        <w:jc w:val="both"/>
        <w:divId w:val="911279972"/>
        <w:rPr>
          <w:sz w:val="20"/>
          <w:szCs w:val="20"/>
        </w:rPr>
      </w:pPr>
      <w:r>
        <w:rPr>
          <w:sz w:val="20"/>
          <w:szCs w:val="20"/>
        </w:rPr>
        <w:t xml:space="preserve">The Company’s ability to continue as a going concern is dependent upon the Company generating profitable operations in the future and/or obtaining the necessary financing </w:t>
      </w:r>
      <w:r>
        <w:rPr>
          <w:sz w:val="20"/>
          <w:szCs w:val="20"/>
        </w:rPr>
        <w:t>to meet its obligations and repay its liabilities arising from normal business operations when they come due. There is no assurance that this series of events will be satisfactorily completed.</w:t>
      </w:r>
    </w:p>
    <w:p w14:paraId="3021D707" w14:textId="77777777" w:rsidR="00000000" w:rsidRDefault="007E65A2">
      <w:pPr>
        <w:pStyle w:val="a3"/>
        <w:spacing w:before="0" w:beforeAutospacing="0" w:after="0" w:afterAutospacing="0"/>
        <w:jc w:val="both"/>
        <w:divId w:val="911279972"/>
        <w:rPr>
          <w:sz w:val="20"/>
          <w:szCs w:val="20"/>
        </w:rPr>
      </w:pPr>
      <w:r>
        <w:rPr>
          <w:sz w:val="20"/>
          <w:szCs w:val="20"/>
        </w:rPr>
        <w:t> </w:t>
      </w:r>
    </w:p>
    <w:p w14:paraId="1D42FFF6" w14:textId="77777777" w:rsidR="00000000" w:rsidRDefault="007E65A2">
      <w:pPr>
        <w:pStyle w:val="a3"/>
        <w:spacing w:before="0" w:beforeAutospacing="0" w:after="0" w:afterAutospacing="0"/>
        <w:jc w:val="both"/>
        <w:divId w:val="911279972"/>
        <w:rPr>
          <w:sz w:val="20"/>
          <w:szCs w:val="20"/>
        </w:rPr>
      </w:pPr>
      <w:r>
        <w:rPr>
          <w:b/>
          <w:bCs/>
          <w:sz w:val="20"/>
          <w:szCs w:val="20"/>
        </w:rPr>
        <w:t>4. FIXED ASSETS</w:t>
      </w:r>
    </w:p>
    <w:p w14:paraId="2E6240BB" w14:textId="77777777" w:rsidR="00000000" w:rsidRDefault="007E65A2">
      <w:pPr>
        <w:pStyle w:val="a3"/>
        <w:spacing w:before="0" w:beforeAutospacing="0" w:after="0" w:afterAutospacing="0"/>
        <w:jc w:val="both"/>
        <w:divId w:val="911279972"/>
        <w:rPr>
          <w:sz w:val="20"/>
          <w:szCs w:val="20"/>
        </w:rPr>
      </w:pPr>
      <w:r>
        <w:rPr>
          <w:sz w:val="20"/>
          <w:szCs w:val="20"/>
        </w:rPr>
        <w:t> </w:t>
      </w:r>
    </w:p>
    <w:p w14:paraId="0A5A20E6" w14:textId="77777777" w:rsidR="00000000" w:rsidRDefault="007E65A2">
      <w:pPr>
        <w:pStyle w:val="a3"/>
        <w:spacing w:before="0" w:beforeAutospacing="0" w:after="0" w:afterAutospacing="0"/>
        <w:jc w:val="both"/>
        <w:divId w:val="911279972"/>
        <w:rPr>
          <w:sz w:val="20"/>
          <w:szCs w:val="20"/>
        </w:rPr>
      </w:pPr>
      <w:r>
        <w:rPr>
          <w:sz w:val="20"/>
          <w:szCs w:val="20"/>
        </w:rPr>
        <w:t>As at June 30, 2019 and 2018, the balance of fixed assets represented a vehicle and mobile application software as follows:</w:t>
      </w:r>
    </w:p>
    <w:p w14:paraId="3EACDEA9"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14:paraId="20E0637E" w14:textId="77777777">
        <w:trPr>
          <w:divId w:val="911279972"/>
          <w:tblCellSpacing w:w="0" w:type="dxa"/>
        </w:trPr>
        <w:tc>
          <w:tcPr>
            <w:tcW w:w="0" w:type="auto"/>
            <w:vAlign w:val="bottom"/>
            <w:hideMark/>
          </w:tcPr>
          <w:p w14:paraId="08E6E1B3"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1C6D3D83"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25DD87E2"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3EB2B2E8"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688644E5"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020E0480"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6ECF46EA" w14:textId="77777777" w:rsidR="00000000" w:rsidRDefault="007E65A2">
            <w:pPr>
              <w:pStyle w:val="a3"/>
              <w:spacing w:before="0" w:beforeAutospacing="0" w:after="0" w:afterAutospacing="0"/>
              <w:jc w:val="both"/>
              <w:rPr>
                <w:sz w:val="20"/>
                <w:szCs w:val="20"/>
              </w:rPr>
            </w:pPr>
            <w:r>
              <w:rPr>
                <w:b/>
                <w:bCs/>
                <w:sz w:val="20"/>
                <w:szCs w:val="20"/>
              </w:rPr>
              <w:t> </w:t>
            </w:r>
          </w:p>
        </w:tc>
      </w:tr>
      <w:tr w:rsidR="00000000" w14:paraId="1E7F6AF4" w14:textId="77777777">
        <w:trPr>
          <w:divId w:val="911279972"/>
          <w:tblCellSpacing w:w="0" w:type="dxa"/>
        </w:trPr>
        <w:tc>
          <w:tcPr>
            <w:tcW w:w="0" w:type="auto"/>
            <w:vAlign w:val="bottom"/>
            <w:hideMark/>
          </w:tcPr>
          <w:p w14:paraId="5B559324"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7CFAB905"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000000"/>
            </w:tcBorders>
            <w:vAlign w:val="bottom"/>
            <w:hideMark/>
          </w:tcPr>
          <w:p w14:paraId="3998F911"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C97CB95"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2669D4C5"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000000"/>
            </w:tcBorders>
            <w:vAlign w:val="bottom"/>
            <w:hideMark/>
          </w:tcPr>
          <w:p w14:paraId="4514418A"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52318E9" w14:textId="77777777" w:rsidR="00000000" w:rsidRDefault="007E65A2">
            <w:pPr>
              <w:pStyle w:val="a3"/>
              <w:spacing w:before="0" w:beforeAutospacing="0" w:after="0" w:afterAutospacing="0"/>
              <w:jc w:val="both"/>
              <w:rPr>
                <w:sz w:val="20"/>
                <w:szCs w:val="20"/>
              </w:rPr>
            </w:pPr>
            <w:r>
              <w:rPr>
                <w:sz w:val="20"/>
                <w:szCs w:val="20"/>
              </w:rPr>
              <w:t> </w:t>
            </w:r>
          </w:p>
        </w:tc>
      </w:tr>
      <w:tr w:rsidR="00000000" w14:paraId="632DF52A" w14:textId="77777777">
        <w:trPr>
          <w:divId w:val="911279972"/>
          <w:tblCellSpacing w:w="0" w:type="dxa"/>
        </w:trPr>
        <w:tc>
          <w:tcPr>
            <w:tcW w:w="0" w:type="auto"/>
            <w:shd w:val="clear" w:color="auto" w:fill="CCEEFF"/>
            <w:hideMark/>
          </w:tcPr>
          <w:p w14:paraId="1936D0FC" w14:textId="77777777" w:rsidR="00000000" w:rsidRDefault="007E65A2">
            <w:pPr>
              <w:pStyle w:val="a3"/>
              <w:spacing w:before="0" w:beforeAutospacing="0" w:after="0" w:afterAutospacing="0"/>
              <w:jc w:val="both"/>
              <w:rPr>
                <w:sz w:val="20"/>
                <w:szCs w:val="20"/>
              </w:rPr>
            </w:pPr>
            <w:r>
              <w:rPr>
                <w:sz w:val="20"/>
                <w:szCs w:val="20"/>
              </w:rPr>
              <w:t>Mobile applications</w:t>
            </w:r>
          </w:p>
        </w:tc>
        <w:tc>
          <w:tcPr>
            <w:tcW w:w="50" w:type="pct"/>
            <w:shd w:val="clear" w:color="auto" w:fill="CCEEFF"/>
            <w:vAlign w:val="bottom"/>
            <w:hideMark/>
          </w:tcPr>
          <w:p w14:paraId="66FC0BD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E5E3A92"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FF9F797" w14:textId="77777777" w:rsidR="00000000" w:rsidRDefault="007E65A2">
            <w:pPr>
              <w:jc w:val="right"/>
              <w:rPr>
                <w:rFonts w:eastAsia="Times New Roman"/>
                <w:sz w:val="20"/>
                <w:szCs w:val="20"/>
              </w:rPr>
            </w:pPr>
            <w:r>
              <w:rPr>
                <w:rFonts w:eastAsia="Times New Roman"/>
                <w:sz w:val="20"/>
                <w:szCs w:val="20"/>
              </w:rPr>
              <w:t>257,870</w:t>
            </w:r>
          </w:p>
        </w:tc>
        <w:tc>
          <w:tcPr>
            <w:tcW w:w="50" w:type="pct"/>
            <w:shd w:val="clear" w:color="auto" w:fill="CCEEFF"/>
            <w:vAlign w:val="bottom"/>
            <w:hideMark/>
          </w:tcPr>
          <w:p w14:paraId="239C1BC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6E22C1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DC20177"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36BEF1EC" w14:textId="77777777" w:rsidR="00000000" w:rsidRDefault="007E65A2">
            <w:pPr>
              <w:jc w:val="right"/>
              <w:rPr>
                <w:rFonts w:eastAsia="Times New Roman"/>
                <w:sz w:val="20"/>
                <w:szCs w:val="20"/>
              </w:rPr>
            </w:pPr>
            <w:r>
              <w:rPr>
                <w:rFonts w:eastAsia="Times New Roman"/>
                <w:sz w:val="20"/>
                <w:szCs w:val="20"/>
              </w:rPr>
              <w:t>257,870</w:t>
            </w:r>
          </w:p>
        </w:tc>
        <w:tc>
          <w:tcPr>
            <w:tcW w:w="50" w:type="pct"/>
            <w:shd w:val="clear" w:color="auto" w:fill="CCEEFF"/>
            <w:vAlign w:val="bottom"/>
            <w:hideMark/>
          </w:tcPr>
          <w:p w14:paraId="5653AD58" w14:textId="77777777" w:rsidR="00000000" w:rsidRDefault="007E65A2">
            <w:pPr>
              <w:pStyle w:val="a3"/>
              <w:spacing w:before="0" w:beforeAutospacing="0" w:after="0" w:afterAutospacing="0"/>
              <w:jc w:val="both"/>
              <w:rPr>
                <w:sz w:val="20"/>
                <w:szCs w:val="20"/>
              </w:rPr>
            </w:pPr>
            <w:r>
              <w:rPr>
                <w:sz w:val="20"/>
                <w:szCs w:val="20"/>
              </w:rPr>
              <w:t> </w:t>
            </w:r>
          </w:p>
        </w:tc>
      </w:tr>
      <w:tr w:rsidR="00000000" w14:paraId="67B7DCE7" w14:textId="77777777">
        <w:trPr>
          <w:divId w:val="911279972"/>
          <w:tblCellSpacing w:w="0" w:type="dxa"/>
        </w:trPr>
        <w:tc>
          <w:tcPr>
            <w:tcW w:w="0" w:type="auto"/>
            <w:shd w:val="clear" w:color="auto" w:fill="FFFFFF"/>
            <w:hideMark/>
          </w:tcPr>
          <w:p w14:paraId="7523312F" w14:textId="77777777" w:rsidR="00000000" w:rsidRDefault="007E65A2">
            <w:pPr>
              <w:pStyle w:val="a3"/>
              <w:spacing w:before="0" w:beforeAutospacing="0" w:after="0" w:afterAutospacing="0"/>
              <w:jc w:val="both"/>
              <w:rPr>
                <w:sz w:val="20"/>
                <w:szCs w:val="20"/>
              </w:rPr>
            </w:pPr>
            <w:r>
              <w:rPr>
                <w:sz w:val="20"/>
                <w:szCs w:val="20"/>
              </w:rPr>
              <w:t>Accumulated depreciation</w:t>
            </w:r>
          </w:p>
        </w:tc>
        <w:tc>
          <w:tcPr>
            <w:tcW w:w="50" w:type="pct"/>
            <w:shd w:val="clear" w:color="auto" w:fill="FFFFFF"/>
            <w:vAlign w:val="bottom"/>
            <w:hideMark/>
          </w:tcPr>
          <w:p w14:paraId="6222CB9D"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6BEA2378"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105F9FD8" w14:textId="77777777" w:rsidR="00000000" w:rsidRDefault="007E65A2">
            <w:pPr>
              <w:jc w:val="right"/>
              <w:rPr>
                <w:rFonts w:eastAsia="Times New Roman"/>
                <w:sz w:val="20"/>
                <w:szCs w:val="20"/>
              </w:rPr>
            </w:pPr>
            <w:r>
              <w:rPr>
                <w:rFonts w:eastAsia="Times New Roman"/>
                <w:sz w:val="20"/>
                <w:szCs w:val="20"/>
              </w:rPr>
              <w:t>(257,870</w:t>
            </w:r>
          </w:p>
        </w:tc>
        <w:tc>
          <w:tcPr>
            <w:tcW w:w="50" w:type="pct"/>
            <w:shd w:val="clear" w:color="auto" w:fill="FFFFFF"/>
            <w:tcMar>
              <w:top w:w="0" w:type="dxa"/>
              <w:left w:w="0" w:type="dxa"/>
              <w:bottom w:w="15" w:type="dxa"/>
              <w:right w:w="0" w:type="dxa"/>
            </w:tcMar>
            <w:vAlign w:val="bottom"/>
            <w:hideMark/>
          </w:tcPr>
          <w:p w14:paraId="3F83CEA7"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3E9BA473"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7400AA10"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5889234B" w14:textId="77777777" w:rsidR="00000000" w:rsidRDefault="007E65A2">
            <w:pPr>
              <w:jc w:val="right"/>
              <w:rPr>
                <w:rFonts w:eastAsia="Times New Roman"/>
                <w:sz w:val="20"/>
                <w:szCs w:val="20"/>
              </w:rPr>
            </w:pPr>
            <w:r>
              <w:rPr>
                <w:rFonts w:eastAsia="Times New Roman"/>
                <w:sz w:val="20"/>
                <w:szCs w:val="20"/>
              </w:rPr>
              <w:t>(250,570</w:t>
            </w:r>
          </w:p>
        </w:tc>
        <w:tc>
          <w:tcPr>
            <w:tcW w:w="50" w:type="pct"/>
            <w:shd w:val="clear" w:color="auto" w:fill="FFFFFF"/>
            <w:tcMar>
              <w:top w:w="0" w:type="dxa"/>
              <w:left w:w="0" w:type="dxa"/>
              <w:bottom w:w="15" w:type="dxa"/>
              <w:right w:w="0" w:type="dxa"/>
            </w:tcMar>
            <w:vAlign w:val="bottom"/>
            <w:hideMark/>
          </w:tcPr>
          <w:p w14:paraId="201BDB46" w14:textId="77777777" w:rsidR="00000000" w:rsidRDefault="007E65A2">
            <w:pPr>
              <w:jc w:val="both"/>
              <w:rPr>
                <w:rFonts w:eastAsia="Times New Roman"/>
                <w:sz w:val="20"/>
                <w:szCs w:val="20"/>
              </w:rPr>
            </w:pPr>
            <w:r>
              <w:rPr>
                <w:rFonts w:eastAsia="Times New Roman"/>
                <w:sz w:val="20"/>
                <w:szCs w:val="20"/>
              </w:rPr>
              <w:t>)</w:t>
            </w:r>
          </w:p>
        </w:tc>
      </w:tr>
      <w:tr w:rsidR="00000000" w14:paraId="75F72F03" w14:textId="77777777">
        <w:trPr>
          <w:divId w:val="911279972"/>
          <w:tblCellSpacing w:w="0" w:type="dxa"/>
        </w:trPr>
        <w:tc>
          <w:tcPr>
            <w:tcW w:w="0" w:type="auto"/>
            <w:shd w:val="clear" w:color="auto" w:fill="CCEEFF"/>
            <w:hideMark/>
          </w:tcPr>
          <w:p w14:paraId="13A266E8" w14:textId="77777777" w:rsidR="00000000" w:rsidRDefault="007E65A2">
            <w:pPr>
              <w:pStyle w:val="a3"/>
              <w:spacing w:before="0" w:beforeAutospacing="0" w:after="0" w:afterAutospacing="0"/>
              <w:jc w:val="both"/>
              <w:rPr>
                <w:sz w:val="20"/>
                <w:szCs w:val="20"/>
              </w:rPr>
            </w:pPr>
            <w:r>
              <w:rPr>
                <w:sz w:val="20"/>
                <w:szCs w:val="20"/>
              </w:rPr>
              <w:t>Fixed assets, net</w:t>
            </w:r>
          </w:p>
        </w:tc>
        <w:tc>
          <w:tcPr>
            <w:tcW w:w="50" w:type="pct"/>
            <w:shd w:val="clear" w:color="auto" w:fill="CCEEFF"/>
            <w:vAlign w:val="bottom"/>
            <w:hideMark/>
          </w:tcPr>
          <w:p w14:paraId="585295B7"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3467999"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14:paraId="71B3E6E7"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DAE23B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C9D817E"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017DA056"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14:paraId="4B7CA363" w14:textId="77777777" w:rsidR="00000000" w:rsidRDefault="007E65A2">
            <w:pPr>
              <w:jc w:val="right"/>
              <w:rPr>
                <w:rFonts w:eastAsia="Times New Roman"/>
                <w:sz w:val="20"/>
                <w:szCs w:val="20"/>
              </w:rPr>
            </w:pPr>
            <w:r>
              <w:rPr>
                <w:rFonts w:eastAsia="Times New Roman"/>
                <w:sz w:val="20"/>
                <w:szCs w:val="20"/>
              </w:rPr>
              <w:t>7,300</w:t>
            </w:r>
          </w:p>
        </w:tc>
        <w:tc>
          <w:tcPr>
            <w:tcW w:w="50" w:type="pct"/>
            <w:shd w:val="clear" w:color="auto" w:fill="CCEEFF"/>
            <w:tcMar>
              <w:top w:w="0" w:type="dxa"/>
              <w:left w:w="0" w:type="dxa"/>
              <w:bottom w:w="15" w:type="dxa"/>
              <w:right w:w="0" w:type="dxa"/>
            </w:tcMar>
            <w:vAlign w:val="bottom"/>
            <w:hideMark/>
          </w:tcPr>
          <w:p w14:paraId="0794E3E3" w14:textId="77777777" w:rsidR="00000000" w:rsidRDefault="007E65A2">
            <w:pPr>
              <w:pStyle w:val="a3"/>
              <w:spacing w:before="0" w:beforeAutospacing="0" w:after="0" w:afterAutospacing="0"/>
              <w:jc w:val="both"/>
              <w:rPr>
                <w:sz w:val="20"/>
                <w:szCs w:val="20"/>
              </w:rPr>
            </w:pPr>
            <w:r>
              <w:rPr>
                <w:sz w:val="20"/>
                <w:szCs w:val="20"/>
              </w:rPr>
              <w:t> </w:t>
            </w:r>
          </w:p>
        </w:tc>
      </w:tr>
    </w:tbl>
    <w:p w14:paraId="26D38518" w14:textId="77777777" w:rsidR="00000000" w:rsidRDefault="007E65A2">
      <w:pPr>
        <w:pStyle w:val="a3"/>
        <w:spacing w:before="0" w:beforeAutospacing="0" w:after="0" w:afterAutospacing="0"/>
        <w:jc w:val="both"/>
        <w:divId w:val="911279972"/>
        <w:rPr>
          <w:sz w:val="20"/>
          <w:szCs w:val="20"/>
        </w:rPr>
      </w:pPr>
      <w:r>
        <w:rPr>
          <w:sz w:val="20"/>
          <w:szCs w:val="20"/>
        </w:rPr>
        <w:t> </w:t>
      </w:r>
    </w:p>
    <w:p w14:paraId="1BA5BF11" w14:textId="77777777" w:rsidR="00000000" w:rsidRDefault="007E65A2">
      <w:pPr>
        <w:pStyle w:val="a3"/>
        <w:spacing w:before="0" w:beforeAutospacing="0" w:after="0" w:afterAutospacing="0"/>
        <w:jc w:val="both"/>
        <w:divId w:val="911279972"/>
        <w:rPr>
          <w:sz w:val="20"/>
          <w:szCs w:val="20"/>
        </w:rPr>
      </w:pPr>
      <w:r>
        <w:rPr>
          <w:sz w:val="20"/>
          <w:szCs w:val="20"/>
        </w:rPr>
        <w:t>Depreciation expense for the year ended June 30, 2019 and 2018 was $7,300 and $31,744.</w:t>
      </w:r>
    </w:p>
    <w:p w14:paraId="409F9E62" w14:textId="77777777" w:rsidR="00000000" w:rsidRDefault="007E65A2">
      <w:pPr>
        <w:pStyle w:val="a3"/>
        <w:spacing w:before="0" w:beforeAutospacing="0" w:after="0" w:afterAutospacing="0"/>
        <w:jc w:val="both"/>
        <w:divId w:val="911279972"/>
        <w:rPr>
          <w:sz w:val="20"/>
          <w:szCs w:val="20"/>
        </w:rPr>
      </w:pPr>
      <w:r>
        <w:rPr>
          <w:sz w:val="20"/>
          <w:szCs w:val="20"/>
        </w:rPr>
        <w:t> </w:t>
      </w:r>
    </w:p>
    <w:p w14:paraId="468BD9B6" w14:textId="77777777" w:rsidR="00000000" w:rsidRDefault="007E65A2">
      <w:pPr>
        <w:pStyle w:val="a3"/>
        <w:spacing w:before="0" w:beforeAutospacing="0" w:after="0" w:afterAutospacing="0"/>
        <w:jc w:val="both"/>
        <w:divId w:val="911279972"/>
        <w:rPr>
          <w:sz w:val="20"/>
          <w:szCs w:val="20"/>
        </w:rPr>
      </w:pPr>
      <w:r>
        <w:rPr>
          <w:b/>
          <w:bCs/>
          <w:sz w:val="20"/>
          <w:szCs w:val="20"/>
        </w:rPr>
        <w:t>5. CONVERTIBLE LOANS</w:t>
      </w:r>
    </w:p>
    <w:p w14:paraId="7E2BF939" w14:textId="77777777" w:rsidR="00000000" w:rsidRDefault="007E65A2">
      <w:pPr>
        <w:pStyle w:val="a3"/>
        <w:spacing w:before="0" w:beforeAutospacing="0" w:after="0" w:afterAutospacing="0"/>
        <w:jc w:val="both"/>
        <w:divId w:val="911279972"/>
        <w:rPr>
          <w:sz w:val="20"/>
          <w:szCs w:val="20"/>
        </w:rPr>
      </w:pPr>
      <w:r>
        <w:rPr>
          <w:sz w:val="20"/>
          <w:szCs w:val="20"/>
        </w:rPr>
        <w:t> </w:t>
      </w:r>
    </w:p>
    <w:p w14:paraId="7805054D" w14:textId="77777777" w:rsidR="00000000" w:rsidRDefault="007E65A2">
      <w:pPr>
        <w:pStyle w:val="a3"/>
        <w:spacing w:before="0" w:beforeAutospacing="0" w:after="0" w:afterAutospacing="0"/>
        <w:jc w:val="both"/>
        <w:divId w:val="911279972"/>
        <w:rPr>
          <w:sz w:val="20"/>
          <w:szCs w:val="20"/>
        </w:rPr>
      </w:pPr>
      <w:r>
        <w:rPr>
          <w:sz w:val="20"/>
          <w:szCs w:val="20"/>
        </w:rPr>
        <w:t>At June 30, 2019 and 2018, convertible loans consisted of the following:</w:t>
      </w:r>
    </w:p>
    <w:p w14:paraId="73A95614"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14:paraId="0397768E" w14:textId="77777777">
        <w:trPr>
          <w:divId w:val="911279972"/>
          <w:tblCellSpacing w:w="0" w:type="dxa"/>
        </w:trPr>
        <w:tc>
          <w:tcPr>
            <w:tcW w:w="0" w:type="auto"/>
            <w:vAlign w:val="bottom"/>
            <w:hideMark/>
          </w:tcPr>
          <w:p w14:paraId="425827E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4AFF1B96"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37D22774"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14405E71"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0473CB9A"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69568F69"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38C89F63" w14:textId="77777777" w:rsidR="00000000" w:rsidRDefault="007E65A2">
            <w:pPr>
              <w:pStyle w:val="a3"/>
              <w:spacing w:before="0" w:beforeAutospacing="0" w:after="0" w:afterAutospacing="0"/>
              <w:jc w:val="both"/>
              <w:rPr>
                <w:sz w:val="20"/>
                <w:szCs w:val="20"/>
              </w:rPr>
            </w:pPr>
            <w:r>
              <w:rPr>
                <w:b/>
                <w:bCs/>
                <w:sz w:val="20"/>
                <w:szCs w:val="20"/>
              </w:rPr>
              <w:t> </w:t>
            </w:r>
          </w:p>
        </w:tc>
      </w:tr>
      <w:tr w:rsidR="00000000" w14:paraId="16EAA9E0" w14:textId="77777777">
        <w:trPr>
          <w:divId w:val="911279972"/>
          <w:tblCellSpacing w:w="0" w:type="dxa"/>
        </w:trPr>
        <w:tc>
          <w:tcPr>
            <w:tcW w:w="0" w:type="auto"/>
            <w:vAlign w:val="bottom"/>
            <w:hideMark/>
          </w:tcPr>
          <w:p w14:paraId="64ABD40A"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2EF27527"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268513C4"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A53FB53"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62DD9709"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69F82615"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FD9F075" w14:textId="77777777" w:rsidR="00000000" w:rsidRDefault="007E65A2">
            <w:pPr>
              <w:pStyle w:val="a3"/>
              <w:spacing w:before="0" w:beforeAutospacing="0" w:after="0" w:afterAutospacing="0"/>
              <w:jc w:val="both"/>
              <w:rPr>
                <w:sz w:val="20"/>
                <w:szCs w:val="20"/>
              </w:rPr>
            </w:pPr>
            <w:r>
              <w:rPr>
                <w:sz w:val="20"/>
                <w:szCs w:val="20"/>
              </w:rPr>
              <w:t> </w:t>
            </w:r>
          </w:p>
        </w:tc>
      </w:tr>
      <w:tr w:rsidR="00000000" w14:paraId="70DF9126" w14:textId="77777777">
        <w:trPr>
          <w:divId w:val="911279972"/>
          <w:tblCellSpacing w:w="0" w:type="dxa"/>
        </w:trPr>
        <w:tc>
          <w:tcPr>
            <w:tcW w:w="0" w:type="auto"/>
            <w:shd w:val="clear" w:color="auto" w:fill="CCEEFF"/>
            <w:hideMark/>
          </w:tcPr>
          <w:p w14:paraId="4383A31B" w14:textId="77777777" w:rsidR="00000000" w:rsidRDefault="007E65A2">
            <w:pPr>
              <w:pStyle w:val="a3"/>
              <w:spacing w:before="0" w:beforeAutospacing="0" w:after="0" w:afterAutospacing="0"/>
              <w:jc w:val="both"/>
              <w:rPr>
                <w:sz w:val="20"/>
                <w:szCs w:val="20"/>
              </w:rPr>
            </w:pPr>
            <w:r>
              <w:rPr>
                <w:sz w:val="20"/>
                <w:szCs w:val="20"/>
              </w:rPr>
              <w:t>March 2015 Note</w:t>
            </w:r>
          </w:p>
        </w:tc>
        <w:tc>
          <w:tcPr>
            <w:tcW w:w="50" w:type="pct"/>
            <w:shd w:val="clear" w:color="auto" w:fill="CCEEFF"/>
            <w:vAlign w:val="bottom"/>
            <w:hideMark/>
          </w:tcPr>
          <w:p w14:paraId="2C152D8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37FA0E1"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24BAA9D"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BDCF87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734C63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EA630A2"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8A4973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D49BCDF" w14:textId="77777777" w:rsidR="00000000" w:rsidRDefault="007E65A2">
            <w:pPr>
              <w:pStyle w:val="a3"/>
              <w:spacing w:before="0" w:beforeAutospacing="0" w:after="0" w:afterAutospacing="0"/>
              <w:jc w:val="both"/>
              <w:rPr>
                <w:sz w:val="20"/>
                <w:szCs w:val="20"/>
              </w:rPr>
            </w:pPr>
            <w:r>
              <w:rPr>
                <w:sz w:val="20"/>
                <w:szCs w:val="20"/>
              </w:rPr>
              <w:t> </w:t>
            </w:r>
          </w:p>
        </w:tc>
      </w:tr>
      <w:tr w:rsidR="00000000" w14:paraId="6BE11B24" w14:textId="77777777">
        <w:trPr>
          <w:divId w:val="911279972"/>
          <w:tblCellSpacing w:w="0" w:type="dxa"/>
        </w:trPr>
        <w:tc>
          <w:tcPr>
            <w:tcW w:w="0" w:type="auto"/>
            <w:shd w:val="clear" w:color="auto" w:fill="FFFFFF"/>
            <w:hideMark/>
          </w:tcPr>
          <w:p w14:paraId="4BD04C59" w14:textId="77777777" w:rsidR="00000000" w:rsidRDefault="007E65A2">
            <w:pPr>
              <w:pStyle w:val="a3"/>
              <w:spacing w:before="0" w:beforeAutospacing="0" w:after="0" w:afterAutospacing="0"/>
              <w:jc w:val="both"/>
              <w:rPr>
                <w:sz w:val="20"/>
                <w:szCs w:val="20"/>
              </w:rPr>
            </w:pPr>
            <w:r>
              <w:rPr>
                <w:sz w:val="20"/>
                <w:szCs w:val="20"/>
              </w:rPr>
              <w:t xml:space="preserve">November 2016 Note -1 </w:t>
            </w:r>
          </w:p>
        </w:tc>
        <w:tc>
          <w:tcPr>
            <w:tcW w:w="50" w:type="pct"/>
            <w:shd w:val="clear" w:color="auto" w:fill="FFFFFF"/>
            <w:vAlign w:val="bottom"/>
            <w:hideMark/>
          </w:tcPr>
          <w:p w14:paraId="110DE1C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C9A606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97177EF" w14:textId="77777777" w:rsidR="00000000" w:rsidRDefault="007E65A2">
            <w:pPr>
              <w:jc w:val="right"/>
              <w:rPr>
                <w:rFonts w:eastAsia="Times New Roman"/>
                <w:sz w:val="20"/>
                <w:szCs w:val="20"/>
              </w:rPr>
            </w:pPr>
            <w:r>
              <w:rPr>
                <w:rFonts w:eastAsia="Times New Roman"/>
                <w:sz w:val="20"/>
                <w:szCs w:val="20"/>
              </w:rPr>
              <w:t>147,000</w:t>
            </w:r>
          </w:p>
        </w:tc>
        <w:tc>
          <w:tcPr>
            <w:tcW w:w="50" w:type="pct"/>
            <w:shd w:val="clear" w:color="auto" w:fill="FFFFFF"/>
            <w:vAlign w:val="bottom"/>
            <w:hideMark/>
          </w:tcPr>
          <w:p w14:paraId="0112D2D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A2FFCE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E058EC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643F07E" w14:textId="77777777" w:rsidR="00000000" w:rsidRDefault="007E65A2">
            <w:pPr>
              <w:jc w:val="right"/>
              <w:rPr>
                <w:rFonts w:eastAsia="Times New Roman"/>
                <w:sz w:val="20"/>
                <w:szCs w:val="20"/>
              </w:rPr>
            </w:pPr>
            <w:r>
              <w:rPr>
                <w:rFonts w:eastAsia="Times New Roman"/>
                <w:sz w:val="20"/>
                <w:szCs w:val="20"/>
              </w:rPr>
              <w:t>150,000</w:t>
            </w:r>
          </w:p>
        </w:tc>
        <w:tc>
          <w:tcPr>
            <w:tcW w:w="50" w:type="pct"/>
            <w:shd w:val="clear" w:color="auto" w:fill="FFFFFF"/>
            <w:vAlign w:val="bottom"/>
            <w:hideMark/>
          </w:tcPr>
          <w:p w14:paraId="176DD716" w14:textId="77777777" w:rsidR="00000000" w:rsidRDefault="007E65A2">
            <w:pPr>
              <w:pStyle w:val="a3"/>
              <w:spacing w:before="0" w:beforeAutospacing="0" w:after="0" w:afterAutospacing="0"/>
              <w:jc w:val="both"/>
              <w:rPr>
                <w:sz w:val="20"/>
                <w:szCs w:val="20"/>
              </w:rPr>
            </w:pPr>
            <w:r>
              <w:rPr>
                <w:sz w:val="20"/>
                <w:szCs w:val="20"/>
              </w:rPr>
              <w:t> </w:t>
            </w:r>
          </w:p>
        </w:tc>
      </w:tr>
      <w:tr w:rsidR="00000000" w14:paraId="408214E9" w14:textId="77777777">
        <w:trPr>
          <w:divId w:val="911279972"/>
          <w:tblCellSpacing w:w="0" w:type="dxa"/>
        </w:trPr>
        <w:tc>
          <w:tcPr>
            <w:tcW w:w="0" w:type="auto"/>
            <w:shd w:val="clear" w:color="auto" w:fill="CCEEFF"/>
            <w:hideMark/>
          </w:tcPr>
          <w:p w14:paraId="35DB1E1A" w14:textId="77777777" w:rsidR="00000000" w:rsidRDefault="007E65A2">
            <w:pPr>
              <w:pStyle w:val="a3"/>
              <w:spacing w:before="0" w:beforeAutospacing="0" w:after="0" w:afterAutospacing="0"/>
              <w:jc w:val="both"/>
              <w:rPr>
                <w:sz w:val="20"/>
                <w:szCs w:val="20"/>
              </w:rPr>
            </w:pPr>
            <w:r>
              <w:rPr>
                <w:sz w:val="20"/>
                <w:szCs w:val="20"/>
              </w:rPr>
              <w:t>Convertible notes - Issued in fiscal year 2018</w:t>
            </w:r>
          </w:p>
        </w:tc>
        <w:tc>
          <w:tcPr>
            <w:tcW w:w="50" w:type="pct"/>
            <w:shd w:val="clear" w:color="auto" w:fill="CCEEFF"/>
            <w:vAlign w:val="bottom"/>
            <w:hideMark/>
          </w:tcPr>
          <w:p w14:paraId="321EA62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CDA31A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9AF2EE1" w14:textId="77777777" w:rsidR="00000000" w:rsidRDefault="007E65A2">
            <w:pPr>
              <w:jc w:val="right"/>
              <w:rPr>
                <w:rFonts w:eastAsia="Times New Roman"/>
                <w:sz w:val="20"/>
                <w:szCs w:val="20"/>
              </w:rPr>
            </w:pPr>
            <w:r>
              <w:rPr>
                <w:rFonts w:eastAsia="Times New Roman"/>
                <w:sz w:val="20"/>
                <w:szCs w:val="20"/>
              </w:rPr>
              <w:t>49,438</w:t>
            </w:r>
          </w:p>
        </w:tc>
        <w:tc>
          <w:tcPr>
            <w:tcW w:w="50" w:type="pct"/>
            <w:shd w:val="clear" w:color="auto" w:fill="CCEEFF"/>
            <w:vAlign w:val="bottom"/>
            <w:hideMark/>
          </w:tcPr>
          <w:p w14:paraId="10A6407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503B6B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A85B87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7027E3A" w14:textId="77777777" w:rsidR="00000000" w:rsidRDefault="007E65A2">
            <w:pPr>
              <w:jc w:val="right"/>
              <w:rPr>
                <w:rFonts w:eastAsia="Times New Roman"/>
                <w:sz w:val="20"/>
                <w:szCs w:val="20"/>
              </w:rPr>
            </w:pPr>
            <w:r>
              <w:rPr>
                <w:rFonts w:eastAsia="Times New Roman"/>
                <w:sz w:val="20"/>
                <w:szCs w:val="20"/>
              </w:rPr>
              <w:t>195,614</w:t>
            </w:r>
          </w:p>
        </w:tc>
        <w:tc>
          <w:tcPr>
            <w:tcW w:w="50" w:type="pct"/>
            <w:shd w:val="clear" w:color="auto" w:fill="CCEEFF"/>
            <w:vAlign w:val="bottom"/>
            <w:hideMark/>
          </w:tcPr>
          <w:p w14:paraId="45B15E79" w14:textId="77777777" w:rsidR="00000000" w:rsidRDefault="007E65A2">
            <w:pPr>
              <w:pStyle w:val="a3"/>
              <w:spacing w:before="0" w:beforeAutospacing="0" w:after="0" w:afterAutospacing="0"/>
              <w:jc w:val="both"/>
              <w:rPr>
                <w:sz w:val="20"/>
                <w:szCs w:val="20"/>
              </w:rPr>
            </w:pPr>
            <w:r>
              <w:rPr>
                <w:sz w:val="20"/>
                <w:szCs w:val="20"/>
              </w:rPr>
              <w:t> </w:t>
            </w:r>
          </w:p>
        </w:tc>
      </w:tr>
      <w:tr w:rsidR="00000000" w14:paraId="35BF18BA" w14:textId="77777777">
        <w:trPr>
          <w:divId w:val="911279972"/>
          <w:tblCellSpacing w:w="0" w:type="dxa"/>
        </w:trPr>
        <w:tc>
          <w:tcPr>
            <w:tcW w:w="0" w:type="auto"/>
            <w:shd w:val="clear" w:color="auto" w:fill="FFFFFF"/>
            <w:hideMark/>
          </w:tcPr>
          <w:p w14:paraId="5968F706" w14:textId="77777777" w:rsidR="00000000" w:rsidRDefault="007E65A2">
            <w:pPr>
              <w:pStyle w:val="a3"/>
              <w:spacing w:before="0" w:beforeAutospacing="0" w:after="0" w:afterAutospacing="0"/>
              <w:jc w:val="both"/>
              <w:rPr>
                <w:sz w:val="20"/>
                <w:szCs w:val="20"/>
              </w:rPr>
            </w:pPr>
            <w:r>
              <w:rPr>
                <w:sz w:val="20"/>
                <w:szCs w:val="20"/>
              </w:rPr>
              <w:t>Convertible notes - Issued in fiscal year 2019</w:t>
            </w:r>
          </w:p>
        </w:tc>
        <w:tc>
          <w:tcPr>
            <w:tcW w:w="50" w:type="pct"/>
            <w:shd w:val="clear" w:color="auto" w:fill="FFFFFF"/>
            <w:vAlign w:val="bottom"/>
            <w:hideMark/>
          </w:tcPr>
          <w:p w14:paraId="2AD98CDA"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76FD61B5"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719A46C6" w14:textId="77777777" w:rsidR="00000000" w:rsidRDefault="007E65A2">
            <w:pPr>
              <w:jc w:val="right"/>
              <w:rPr>
                <w:rFonts w:eastAsia="Times New Roman"/>
                <w:sz w:val="20"/>
                <w:szCs w:val="20"/>
              </w:rPr>
            </w:pPr>
            <w:r>
              <w:rPr>
                <w:rFonts w:eastAsia="Times New Roman"/>
                <w:sz w:val="20"/>
                <w:szCs w:val="20"/>
              </w:rPr>
              <w:t>105,000</w:t>
            </w:r>
          </w:p>
        </w:tc>
        <w:tc>
          <w:tcPr>
            <w:tcW w:w="50" w:type="pct"/>
            <w:shd w:val="clear" w:color="auto" w:fill="FFFFFF"/>
            <w:tcMar>
              <w:top w:w="0" w:type="dxa"/>
              <w:left w:w="0" w:type="dxa"/>
              <w:bottom w:w="15" w:type="dxa"/>
              <w:right w:w="0" w:type="dxa"/>
            </w:tcMar>
            <w:vAlign w:val="bottom"/>
            <w:hideMark/>
          </w:tcPr>
          <w:p w14:paraId="469A1B0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10BDA8C"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5ECC0220"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537A7A96"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1CBDBB17" w14:textId="77777777" w:rsidR="00000000" w:rsidRDefault="007E65A2">
            <w:pPr>
              <w:pStyle w:val="a3"/>
              <w:spacing w:before="0" w:beforeAutospacing="0" w:after="0" w:afterAutospacing="0"/>
              <w:jc w:val="both"/>
              <w:rPr>
                <w:sz w:val="20"/>
                <w:szCs w:val="20"/>
              </w:rPr>
            </w:pPr>
            <w:r>
              <w:rPr>
                <w:sz w:val="20"/>
                <w:szCs w:val="20"/>
              </w:rPr>
              <w:t> </w:t>
            </w:r>
          </w:p>
        </w:tc>
      </w:tr>
      <w:tr w:rsidR="00000000" w14:paraId="2BBEC672" w14:textId="77777777">
        <w:trPr>
          <w:divId w:val="911279972"/>
          <w:tblCellSpacing w:w="0" w:type="dxa"/>
        </w:trPr>
        <w:tc>
          <w:tcPr>
            <w:tcW w:w="0" w:type="auto"/>
            <w:shd w:val="clear" w:color="auto" w:fill="CCEEFF"/>
            <w:hideMark/>
          </w:tcPr>
          <w:p w14:paraId="7F247A53" w14:textId="77777777" w:rsidR="00000000" w:rsidRDefault="007E65A2">
            <w:pPr>
              <w:pStyle w:val="a3"/>
              <w:spacing w:before="0" w:beforeAutospacing="0" w:after="0" w:afterAutospacing="0"/>
              <w:jc w:val="both"/>
              <w:rPr>
                <w:sz w:val="20"/>
                <w:szCs w:val="20"/>
              </w:rPr>
            </w:pPr>
            <w:r>
              <w:rPr>
                <w:sz w:val="20"/>
                <w:szCs w:val="20"/>
              </w:rPr>
              <w:t>Total convertible notes payable</w:t>
            </w:r>
          </w:p>
        </w:tc>
        <w:tc>
          <w:tcPr>
            <w:tcW w:w="50" w:type="pct"/>
            <w:shd w:val="clear" w:color="auto" w:fill="CCEEFF"/>
            <w:vAlign w:val="bottom"/>
            <w:hideMark/>
          </w:tcPr>
          <w:p w14:paraId="3575AB6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E3E566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884A2A7" w14:textId="77777777" w:rsidR="00000000" w:rsidRDefault="007E65A2">
            <w:pPr>
              <w:jc w:val="right"/>
              <w:rPr>
                <w:rFonts w:eastAsia="Times New Roman"/>
                <w:sz w:val="20"/>
                <w:szCs w:val="20"/>
              </w:rPr>
            </w:pPr>
            <w:r>
              <w:rPr>
                <w:rFonts w:eastAsia="Times New Roman"/>
                <w:sz w:val="20"/>
                <w:szCs w:val="20"/>
              </w:rPr>
              <w:t>301,438</w:t>
            </w:r>
          </w:p>
        </w:tc>
        <w:tc>
          <w:tcPr>
            <w:tcW w:w="50" w:type="pct"/>
            <w:shd w:val="clear" w:color="auto" w:fill="CCEEFF"/>
            <w:vAlign w:val="bottom"/>
            <w:hideMark/>
          </w:tcPr>
          <w:p w14:paraId="5360AB3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E95794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75A954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91C86C7" w14:textId="77777777" w:rsidR="00000000" w:rsidRDefault="007E65A2">
            <w:pPr>
              <w:jc w:val="right"/>
              <w:rPr>
                <w:rFonts w:eastAsia="Times New Roman"/>
                <w:sz w:val="20"/>
                <w:szCs w:val="20"/>
              </w:rPr>
            </w:pPr>
            <w:r>
              <w:rPr>
                <w:rFonts w:eastAsia="Times New Roman"/>
                <w:sz w:val="20"/>
                <w:szCs w:val="20"/>
              </w:rPr>
              <w:t>345,614</w:t>
            </w:r>
          </w:p>
        </w:tc>
        <w:tc>
          <w:tcPr>
            <w:tcW w:w="50" w:type="pct"/>
            <w:shd w:val="clear" w:color="auto" w:fill="CCEEFF"/>
            <w:vAlign w:val="bottom"/>
            <w:hideMark/>
          </w:tcPr>
          <w:p w14:paraId="166B418F" w14:textId="77777777" w:rsidR="00000000" w:rsidRDefault="007E65A2">
            <w:pPr>
              <w:pStyle w:val="a3"/>
              <w:spacing w:before="0" w:beforeAutospacing="0" w:after="0" w:afterAutospacing="0"/>
              <w:jc w:val="both"/>
              <w:rPr>
                <w:sz w:val="20"/>
                <w:szCs w:val="20"/>
              </w:rPr>
            </w:pPr>
            <w:r>
              <w:rPr>
                <w:sz w:val="20"/>
                <w:szCs w:val="20"/>
              </w:rPr>
              <w:t> </w:t>
            </w:r>
          </w:p>
        </w:tc>
      </w:tr>
      <w:tr w:rsidR="00000000" w14:paraId="3ACF1047" w14:textId="77777777">
        <w:trPr>
          <w:divId w:val="911279972"/>
          <w:tblCellSpacing w:w="0" w:type="dxa"/>
        </w:trPr>
        <w:tc>
          <w:tcPr>
            <w:tcW w:w="0" w:type="auto"/>
            <w:shd w:val="clear" w:color="auto" w:fill="FFFFFF"/>
            <w:vAlign w:val="center"/>
            <w:hideMark/>
          </w:tcPr>
          <w:p w14:paraId="50CFBF6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CEFCBC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668A16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705A52C"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E9E42E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879816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866B61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7658B57"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D9F7EC5" w14:textId="77777777" w:rsidR="00000000" w:rsidRDefault="007E65A2">
            <w:pPr>
              <w:pStyle w:val="a3"/>
              <w:spacing w:before="0" w:beforeAutospacing="0" w:after="0" w:afterAutospacing="0"/>
              <w:jc w:val="both"/>
              <w:rPr>
                <w:sz w:val="20"/>
                <w:szCs w:val="20"/>
              </w:rPr>
            </w:pPr>
            <w:r>
              <w:rPr>
                <w:sz w:val="20"/>
                <w:szCs w:val="20"/>
              </w:rPr>
              <w:t> </w:t>
            </w:r>
          </w:p>
        </w:tc>
      </w:tr>
      <w:tr w:rsidR="00000000" w14:paraId="2802B516" w14:textId="77777777">
        <w:trPr>
          <w:divId w:val="911279972"/>
          <w:tblCellSpacing w:w="0" w:type="dxa"/>
        </w:trPr>
        <w:tc>
          <w:tcPr>
            <w:tcW w:w="0" w:type="auto"/>
            <w:shd w:val="clear" w:color="auto" w:fill="CCEEFF"/>
            <w:hideMark/>
          </w:tcPr>
          <w:p w14:paraId="34B03CED" w14:textId="77777777" w:rsidR="00000000" w:rsidRDefault="007E65A2">
            <w:pPr>
              <w:pStyle w:val="a3"/>
              <w:spacing w:before="0" w:beforeAutospacing="0" w:after="0" w:afterAutospacing="0"/>
              <w:jc w:val="both"/>
              <w:rPr>
                <w:sz w:val="20"/>
                <w:szCs w:val="20"/>
              </w:rPr>
            </w:pPr>
            <w:r>
              <w:rPr>
                <w:sz w:val="20"/>
                <w:szCs w:val="20"/>
              </w:rPr>
              <w:t>Accrued interest</w:t>
            </w:r>
          </w:p>
        </w:tc>
        <w:tc>
          <w:tcPr>
            <w:tcW w:w="50" w:type="pct"/>
            <w:shd w:val="clear" w:color="auto" w:fill="CCEEFF"/>
            <w:vAlign w:val="bottom"/>
            <w:hideMark/>
          </w:tcPr>
          <w:p w14:paraId="681E0E5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419DD7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F51728C" w14:textId="77777777" w:rsidR="00000000" w:rsidRDefault="007E65A2">
            <w:pPr>
              <w:jc w:val="right"/>
              <w:rPr>
                <w:rFonts w:eastAsia="Times New Roman"/>
                <w:sz w:val="20"/>
                <w:szCs w:val="20"/>
              </w:rPr>
            </w:pPr>
            <w:r>
              <w:rPr>
                <w:rFonts w:eastAsia="Times New Roman"/>
                <w:sz w:val="20"/>
                <w:szCs w:val="20"/>
              </w:rPr>
              <w:t>28,794</w:t>
            </w:r>
          </w:p>
        </w:tc>
        <w:tc>
          <w:tcPr>
            <w:tcW w:w="50" w:type="pct"/>
            <w:shd w:val="clear" w:color="auto" w:fill="CCEEFF"/>
            <w:vAlign w:val="bottom"/>
            <w:hideMark/>
          </w:tcPr>
          <w:p w14:paraId="02A442A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29E83D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34DAA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4B3FEEB" w14:textId="77777777" w:rsidR="00000000" w:rsidRDefault="007E65A2">
            <w:pPr>
              <w:jc w:val="right"/>
              <w:rPr>
                <w:rFonts w:eastAsia="Times New Roman"/>
                <w:sz w:val="20"/>
                <w:szCs w:val="20"/>
              </w:rPr>
            </w:pPr>
            <w:r>
              <w:rPr>
                <w:rFonts w:eastAsia="Times New Roman"/>
                <w:sz w:val="20"/>
                <w:szCs w:val="20"/>
              </w:rPr>
              <w:t>27,177</w:t>
            </w:r>
          </w:p>
        </w:tc>
        <w:tc>
          <w:tcPr>
            <w:tcW w:w="50" w:type="pct"/>
            <w:shd w:val="clear" w:color="auto" w:fill="CCEEFF"/>
            <w:vAlign w:val="bottom"/>
            <w:hideMark/>
          </w:tcPr>
          <w:p w14:paraId="3847728F" w14:textId="77777777" w:rsidR="00000000" w:rsidRDefault="007E65A2">
            <w:pPr>
              <w:pStyle w:val="a3"/>
              <w:spacing w:before="0" w:beforeAutospacing="0" w:after="0" w:afterAutospacing="0"/>
              <w:jc w:val="both"/>
              <w:rPr>
                <w:sz w:val="20"/>
                <w:szCs w:val="20"/>
              </w:rPr>
            </w:pPr>
            <w:r>
              <w:rPr>
                <w:sz w:val="20"/>
                <w:szCs w:val="20"/>
              </w:rPr>
              <w:t> </w:t>
            </w:r>
          </w:p>
        </w:tc>
      </w:tr>
      <w:tr w:rsidR="00000000" w14:paraId="0A90912A" w14:textId="77777777">
        <w:trPr>
          <w:divId w:val="911279972"/>
          <w:tblCellSpacing w:w="0" w:type="dxa"/>
        </w:trPr>
        <w:tc>
          <w:tcPr>
            <w:tcW w:w="0" w:type="auto"/>
            <w:shd w:val="clear" w:color="auto" w:fill="FFFFFF"/>
            <w:hideMark/>
          </w:tcPr>
          <w:p w14:paraId="0AE9DE5E" w14:textId="77777777" w:rsidR="00000000" w:rsidRDefault="007E65A2">
            <w:pPr>
              <w:pStyle w:val="a3"/>
              <w:spacing w:before="0" w:beforeAutospacing="0" w:after="0" w:afterAutospacing="0"/>
              <w:jc w:val="both"/>
              <w:rPr>
                <w:sz w:val="20"/>
                <w:szCs w:val="20"/>
              </w:rPr>
            </w:pPr>
            <w:r>
              <w:rPr>
                <w:sz w:val="20"/>
                <w:szCs w:val="20"/>
              </w:rPr>
              <w:t>Less: Unamortized debt discount</w:t>
            </w:r>
          </w:p>
        </w:tc>
        <w:tc>
          <w:tcPr>
            <w:tcW w:w="50" w:type="pct"/>
            <w:shd w:val="clear" w:color="auto" w:fill="FFFFFF"/>
            <w:vAlign w:val="bottom"/>
            <w:hideMark/>
          </w:tcPr>
          <w:p w14:paraId="490479AA"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4BBC4D77"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11F4BEDA" w14:textId="77777777" w:rsidR="00000000" w:rsidRDefault="007E65A2">
            <w:pPr>
              <w:jc w:val="right"/>
              <w:rPr>
                <w:rFonts w:eastAsia="Times New Roman"/>
                <w:sz w:val="20"/>
                <w:szCs w:val="20"/>
              </w:rPr>
            </w:pPr>
            <w:r>
              <w:rPr>
                <w:rFonts w:eastAsia="Times New Roman"/>
                <w:sz w:val="20"/>
                <w:szCs w:val="20"/>
              </w:rPr>
              <w:t>(15,000</w:t>
            </w:r>
          </w:p>
        </w:tc>
        <w:tc>
          <w:tcPr>
            <w:tcW w:w="50" w:type="pct"/>
            <w:shd w:val="clear" w:color="auto" w:fill="FFFFFF"/>
            <w:tcMar>
              <w:top w:w="0" w:type="dxa"/>
              <w:left w:w="0" w:type="dxa"/>
              <w:bottom w:w="15" w:type="dxa"/>
              <w:right w:w="0" w:type="dxa"/>
            </w:tcMar>
            <w:vAlign w:val="bottom"/>
            <w:hideMark/>
          </w:tcPr>
          <w:p w14:paraId="754A64E5"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420D8BC5"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1CB7D1AC"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52F36370" w14:textId="77777777" w:rsidR="00000000" w:rsidRDefault="007E65A2">
            <w:pPr>
              <w:jc w:val="right"/>
              <w:rPr>
                <w:rFonts w:eastAsia="Times New Roman"/>
                <w:sz w:val="20"/>
                <w:szCs w:val="20"/>
              </w:rPr>
            </w:pPr>
            <w:r>
              <w:rPr>
                <w:rFonts w:eastAsia="Times New Roman"/>
                <w:sz w:val="20"/>
                <w:szCs w:val="20"/>
              </w:rPr>
              <w:t>(81,968</w:t>
            </w:r>
          </w:p>
        </w:tc>
        <w:tc>
          <w:tcPr>
            <w:tcW w:w="50" w:type="pct"/>
            <w:shd w:val="clear" w:color="auto" w:fill="FFFFFF"/>
            <w:tcMar>
              <w:top w:w="0" w:type="dxa"/>
              <w:left w:w="0" w:type="dxa"/>
              <w:bottom w:w="15" w:type="dxa"/>
              <w:right w:w="0" w:type="dxa"/>
            </w:tcMar>
            <w:vAlign w:val="bottom"/>
            <w:hideMark/>
          </w:tcPr>
          <w:p w14:paraId="5E3AA31E" w14:textId="77777777" w:rsidR="00000000" w:rsidRDefault="007E65A2">
            <w:pPr>
              <w:jc w:val="both"/>
              <w:rPr>
                <w:rFonts w:eastAsia="Times New Roman"/>
                <w:sz w:val="20"/>
                <w:szCs w:val="20"/>
              </w:rPr>
            </w:pPr>
            <w:r>
              <w:rPr>
                <w:rFonts w:eastAsia="Times New Roman"/>
                <w:sz w:val="20"/>
                <w:szCs w:val="20"/>
              </w:rPr>
              <w:t>)</w:t>
            </w:r>
          </w:p>
        </w:tc>
      </w:tr>
      <w:tr w:rsidR="00000000" w14:paraId="522ECCB0" w14:textId="77777777">
        <w:trPr>
          <w:divId w:val="911279972"/>
          <w:tblCellSpacing w:w="0" w:type="dxa"/>
        </w:trPr>
        <w:tc>
          <w:tcPr>
            <w:tcW w:w="0" w:type="auto"/>
            <w:shd w:val="clear" w:color="auto" w:fill="CCEEFF"/>
            <w:hideMark/>
          </w:tcPr>
          <w:p w14:paraId="671DB4DF" w14:textId="77777777" w:rsidR="00000000" w:rsidRDefault="007E65A2">
            <w:pPr>
              <w:pStyle w:val="a3"/>
              <w:spacing w:before="0" w:beforeAutospacing="0" w:after="0" w:afterAutospacing="0"/>
              <w:jc w:val="both"/>
              <w:rPr>
                <w:sz w:val="20"/>
                <w:szCs w:val="20"/>
              </w:rPr>
            </w:pPr>
            <w:r>
              <w:rPr>
                <w:sz w:val="20"/>
                <w:szCs w:val="20"/>
              </w:rPr>
              <w:t>Total convertible notes</w:t>
            </w:r>
          </w:p>
        </w:tc>
        <w:tc>
          <w:tcPr>
            <w:tcW w:w="50" w:type="pct"/>
            <w:shd w:val="clear" w:color="auto" w:fill="CCEEFF"/>
            <w:vAlign w:val="bottom"/>
            <w:hideMark/>
          </w:tcPr>
          <w:p w14:paraId="79B0CD3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EBCA62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63EAF15" w14:textId="77777777" w:rsidR="00000000" w:rsidRDefault="007E65A2">
            <w:pPr>
              <w:jc w:val="right"/>
              <w:rPr>
                <w:rFonts w:eastAsia="Times New Roman"/>
                <w:sz w:val="20"/>
                <w:szCs w:val="20"/>
              </w:rPr>
            </w:pPr>
            <w:r>
              <w:rPr>
                <w:rFonts w:eastAsia="Times New Roman"/>
                <w:sz w:val="20"/>
                <w:szCs w:val="20"/>
              </w:rPr>
              <w:t>315,232</w:t>
            </w:r>
          </w:p>
        </w:tc>
        <w:tc>
          <w:tcPr>
            <w:tcW w:w="50" w:type="pct"/>
            <w:shd w:val="clear" w:color="auto" w:fill="CCEEFF"/>
            <w:vAlign w:val="bottom"/>
            <w:hideMark/>
          </w:tcPr>
          <w:p w14:paraId="5DCFAA1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2BC4EA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D23306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A045B9A" w14:textId="77777777" w:rsidR="00000000" w:rsidRDefault="007E65A2">
            <w:pPr>
              <w:jc w:val="right"/>
              <w:rPr>
                <w:rFonts w:eastAsia="Times New Roman"/>
                <w:sz w:val="20"/>
                <w:szCs w:val="20"/>
              </w:rPr>
            </w:pPr>
            <w:r>
              <w:rPr>
                <w:rFonts w:eastAsia="Times New Roman"/>
                <w:sz w:val="20"/>
                <w:szCs w:val="20"/>
              </w:rPr>
              <w:t>290,823</w:t>
            </w:r>
          </w:p>
        </w:tc>
        <w:tc>
          <w:tcPr>
            <w:tcW w:w="50" w:type="pct"/>
            <w:shd w:val="clear" w:color="auto" w:fill="CCEEFF"/>
            <w:vAlign w:val="bottom"/>
            <w:hideMark/>
          </w:tcPr>
          <w:p w14:paraId="343AE34D" w14:textId="77777777" w:rsidR="00000000" w:rsidRDefault="007E65A2">
            <w:pPr>
              <w:pStyle w:val="a3"/>
              <w:spacing w:before="0" w:beforeAutospacing="0" w:after="0" w:afterAutospacing="0"/>
              <w:jc w:val="both"/>
              <w:rPr>
                <w:sz w:val="20"/>
                <w:szCs w:val="20"/>
              </w:rPr>
            </w:pPr>
            <w:r>
              <w:rPr>
                <w:sz w:val="20"/>
                <w:szCs w:val="20"/>
              </w:rPr>
              <w:t> </w:t>
            </w:r>
          </w:p>
        </w:tc>
      </w:tr>
      <w:tr w:rsidR="00000000" w14:paraId="4E5D8368" w14:textId="77777777">
        <w:trPr>
          <w:divId w:val="911279972"/>
          <w:tblCellSpacing w:w="0" w:type="dxa"/>
        </w:trPr>
        <w:tc>
          <w:tcPr>
            <w:tcW w:w="0" w:type="auto"/>
            <w:shd w:val="clear" w:color="auto" w:fill="FFFFFF"/>
            <w:vAlign w:val="center"/>
            <w:hideMark/>
          </w:tcPr>
          <w:p w14:paraId="686F579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280F1C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7C7838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C0CD883"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3DADBC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E2D3D8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89D2EC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118ECA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43C74E6" w14:textId="77777777" w:rsidR="00000000" w:rsidRDefault="007E65A2">
            <w:pPr>
              <w:pStyle w:val="a3"/>
              <w:spacing w:before="0" w:beforeAutospacing="0" w:after="0" w:afterAutospacing="0"/>
              <w:jc w:val="both"/>
              <w:rPr>
                <w:sz w:val="20"/>
                <w:szCs w:val="20"/>
              </w:rPr>
            </w:pPr>
            <w:r>
              <w:rPr>
                <w:sz w:val="20"/>
                <w:szCs w:val="20"/>
              </w:rPr>
              <w:t> </w:t>
            </w:r>
          </w:p>
        </w:tc>
      </w:tr>
      <w:tr w:rsidR="00000000" w14:paraId="19CD075D" w14:textId="77777777">
        <w:trPr>
          <w:divId w:val="911279972"/>
          <w:tblCellSpacing w:w="0" w:type="dxa"/>
        </w:trPr>
        <w:tc>
          <w:tcPr>
            <w:tcW w:w="0" w:type="auto"/>
            <w:shd w:val="clear" w:color="auto" w:fill="CCEEFF"/>
            <w:hideMark/>
          </w:tcPr>
          <w:p w14:paraId="7486FD54" w14:textId="77777777" w:rsidR="00000000" w:rsidRDefault="007E65A2">
            <w:pPr>
              <w:pStyle w:val="a3"/>
              <w:spacing w:before="0" w:beforeAutospacing="0" w:after="0" w:afterAutospacing="0"/>
              <w:jc w:val="both"/>
              <w:rPr>
                <w:sz w:val="20"/>
                <w:szCs w:val="20"/>
              </w:rPr>
            </w:pPr>
            <w:r>
              <w:rPr>
                <w:sz w:val="20"/>
                <w:szCs w:val="20"/>
              </w:rPr>
              <w:t>Less: current portion of convertible notes</w:t>
            </w:r>
          </w:p>
        </w:tc>
        <w:tc>
          <w:tcPr>
            <w:tcW w:w="50" w:type="pct"/>
            <w:shd w:val="clear" w:color="auto" w:fill="CCEEFF"/>
            <w:vAlign w:val="bottom"/>
            <w:hideMark/>
          </w:tcPr>
          <w:p w14:paraId="79B16377"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2541D86C"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6A187B60" w14:textId="77777777" w:rsidR="00000000" w:rsidRDefault="007E65A2">
            <w:pPr>
              <w:jc w:val="right"/>
              <w:rPr>
                <w:rFonts w:eastAsia="Times New Roman"/>
                <w:sz w:val="20"/>
                <w:szCs w:val="20"/>
              </w:rPr>
            </w:pPr>
            <w:r>
              <w:rPr>
                <w:rFonts w:eastAsia="Times New Roman"/>
                <w:sz w:val="20"/>
                <w:szCs w:val="20"/>
              </w:rPr>
              <w:t>315,232</w:t>
            </w:r>
          </w:p>
        </w:tc>
        <w:tc>
          <w:tcPr>
            <w:tcW w:w="50" w:type="pct"/>
            <w:shd w:val="clear" w:color="auto" w:fill="CCEEFF"/>
            <w:tcMar>
              <w:top w:w="0" w:type="dxa"/>
              <w:left w:w="0" w:type="dxa"/>
              <w:bottom w:w="15" w:type="dxa"/>
              <w:right w:w="0" w:type="dxa"/>
            </w:tcMar>
            <w:vAlign w:val="bottom"/>
            <w:hideMark/>
          </w:tcPr>
          <w:p w14:paraId="4842116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9A27C1A"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597FC98F"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1664642B" w14:textId="77777777" w:rsidR="00000000" w:rsidRDefault="007E65A2">
            <w:pPr>
              <w:jc w:val="right"/>
              <w:rPr>
                <w:rFonts w:eastAsia="Times New Roman"/>
                <w:sz w:val="20"/>
                <w:szCs w:val="20"/>
              </w:rPr>
            </w:pPr>
            <w:r>
              <w:rPr>
                <w:rFonts w:eastAsia="Times New Roman"/>
                <w:sz w:val="20"/>
                <w:szCs w:val="20"/>
              </w:rPr>
              <w:t>290,823</w:t>
            </w:r>
          </w:p>
        </w:tc>
        <w:tc>
          <w:tcPr>
            <w:tcW w:w="50" w:type="pct"/>
            <w:shd w:val="clear" w:color="auto" w:fill="CCEEFF"/>
            <w:tcMar>
              <w:top w:w="0" w:type="dxa"/>
              <w:left w:w="0" w:type="dxa"/>
              <w:bottom w:w="15" w:type="dxa"/>
              <w:right w:w="0" w:type="dxa"/>
            </w:tcMar>
            <w:vAlign w:val="bottom"/>
            <w:hideMark/>
          </w:tcPr>
          <w:p w14:paraId="24638AB5" w14:textId="77777777" w:rsidR="00000000" w:rsidRDefault="007E65A2">
            <w:pPr>
              <w:pStyle w:val="a3"/>
              <w:spacing w:before="0" w:beforeAutospacing="0" w:after="0" w:afterAutospacing="0"/>
              <w:jc w:val="both"/>
              <w:rPr>
                <w:sz w:val="20"/>
                <w:szCs w:val="20"/>
              </w:rPr>
            </w:pPr>
            <w:r>
              <w:rPr>
                <w:sz w:val="20"/>
                <w:szCs w:val="20"/>
              </w:rPr>
              <w:t> </w:t>
            </w:r>
          </w:p>
        </w:tc>
      </w:tr>
      <w:tr w:rsidR="00000000" w14:paraId="0BB9B153" w14:textId="77777777">
        <w:trPr>
          <w:divId w:val="911279972"/>
          <w:tblCellSpacing w:w="0" w:type="dxa"/>
        </w:trPr>
        <w:tc>
          <w:tcPr>
            <w:tcW w:w="0" w:type="auto"/>
            <w:shd w:val="clear" w:color="auto" w:fill="FFFFFF"/>
            <w:hideMark/>
          </w:tcPr>
          <w:p w14:paraId="69A04ACE" w14:textId="77777777" w:rsidR="00000000" w:rsidRDefault="007E65A2">
            <w:pPr>
              <w:pStyle w:val="a3"/>
              <w:spacing w:before="0" w:beforeAutospacing="0" w:after="0" w:afterAutospacing="0"/>
              <w:jc w:val="both"/>
              <w:rPr>
                <w:sz w:val="20"/>
                <w:szCs w:val="20"/>
              </w:rPr>
            </w:pPr>
            <w:r>
              <w:rPr>
                <w:sz w:val="20"/>
                <w:szCs w:val="20"/>
              </w:rPr>
              <w:t>Long-term convertible notes</w:t>
            </w:r>
          </w:p>
        </w:tc>
        <w:tc>
          <w:tcPr>
            <w:tcW w:w="50" w:type="pct"/>
            <w:shd w:val="clear" w:color="auto" w:fill="FFFFFF"/>
            <w:vAlign w:val="bottom"/>
            <w:hideMark/>
          </w:tcPr>
          <w:p w14:paraId="4562C0BD"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7888EED2"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383ED82A"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5DF7900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5E704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2B056187"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087B51E3"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7E011CC5" w14:textId="77777777" w:rsidR="00000000" w:rsidRDefault="007E65A2">
            <w:pPr>
              <w:pStyle w:val="a3"/>
              <w:spacing w:before="0" w:beforeAutospacing="0" w:after="0" w:afterAutospacing="0"/>
              <w:jc w:val="both"/>
              <w:rPr>
                <w:sz w:val="20"/>
                <w:szCs w:val="20"/>
              </w:rPr>
            </w:pPr>
            <w:r>
              <w:rPr>
                <w:sz w:val="20"/>
                <w:szCs w:val="20"/>
              </w:rPr>
              <w:t> </w:t>
            </w:r>
          </w:p>
        </w:tc>
      </w:tr>
    </w:tbl>
    <w:p w14:paraId="6DD46516"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F8B251F" w14:textId="77777777">
        <w:trPr>
          <w:divId w:val="911279972"/>
          <w:tblCellSpacing w:w="0" w:type="dxa"/>
        </w:trPr>
        <w:tc>
          <w:tcPr>
            <w:tcW w:w="0" w:type="auto"/>
            <w:vAlign w:val="center"/>
            <w:hideMark/>
          </w:tcPr>
          <w:p w14:paraId="0836F614" w14:textId="77777777" w:rsidR="00000000" w:rsidRDefault="007E65A2">
            <w:pPr>
              <w:rPr>
                <w:rFonts w:eastAsia="Times New Roman"/>
                <w:sz w:val="20"/>
                <w:szCs w:val="20"/>
              </w:rPr>
            </w:pPr>
            <w:r>
              <w:rPr>
                <w:rFonts w:eastAsia="Times New Roman"/>
                <w:sz w:val="20"/>
                <w:szCs w:val="20"/>
              </w:rPr>
              <w:t> </w:t>
            </w:r>
          </w:p>
        </w:tc>
      </w:tr>
      <w:tr w:rsidR="00000000" w14:paraId="43F37A50" w14:textId="77777777">
        <w:trPr>
          <w:divId w:val="911279972"/>
          <w:tblCellSpacing w:w="0" w:type="dxa"/>
        </w:trPr>
        <w:tc>
          <w:tcPr>
            <w:tcW w:w="0" w:type="auto"/>
            <w:tcBorders>
              <w:bottom w:val="single" w:sz="6" w:space="0" w:color="000000"/>
            </w:tcBorders>
            <w:vAlign w:val="center"/>
            <w:hideMark/>
          </w:tcPr>
          <w:p w14:paraId="581BF784" w14:textId="77777777" w:rsidR="00000000" w:rsidRDefault="007E65A2">
            <w:pPr>
              <w:jc w:val="center"/>
              <w:rPr>
                <w:rFonts w:eastAsia="Times New Roman"/>
                <w:sz w:val="20"/>
                <w:szCs w:val="20"/>
              </w:rPr>
            </w:pPr>
            <w:r>
              <w:rPr>
                <w:rFonts w:eastAsia="Times New Roman"/>
                <w:sz w:val="20"/>
                <w:szCs w:val="20"/>
              </w:rPr>
              <w:t>F-11</w:t>
            </w:r>
          </w:p>
        </w:tc>
      </w:tr>
      <w:tr w:rsidR="00000000" w14:paraId="463E402F" w14:textId="77777777">
        <w:trPr>
          <w:divId w:val="911279972"/>
          <w:tblCellSpacing w:w="0" w:type="dxa"/>
        </w:trPr>
        <w:tc>
          <w:tcPr>
            <w:tcW w:w="0" w:type="auto"/>
            <w:vAlign w:val="center"/>
            <w:hideMark/>
          </w:tcPr>
          <w:p w14:paraId="6EA83676" w14:textId="77777777" w:rsidR="00000000" w:rsidRDefault="007E65A2">
            <w:pPr>
              <w:rPr>
                <w:rFonts w:eastAsia="Times New Roman"/>
                <w:sz w:val="20"/>
                <w:szCs w:val="20"/>
              </w:rPr>
            </w:pPr>
            <w:r>
              <w:rPr>
                <w:rFonts w:eastAsia="Times New Roman"/>
                <w:sz w:val="20"/>
                <w:szCs w:val="20"/>
              </w:rPr>
              <w:t> </w:t>
            </w:r>
          </w:p>
        </w:tc>
      </w:tr>
      <w:tr w:rsidR="00000000" w14:paraId="3EC714AF" w14:textId="77777777">
        <w:trPr>
          <w:divId w:val="911279972"/>
          <w:tblCellSpacing w:w="0" w:type="dxa"/>
        </w:trPr>
        <w:tc>
          <w:tcPr>
            <w:tcW w:w="0" w:type="auto"/>
            <w:vAlign w:val="center"/>
            <w:hideMark/>
          </w:tcPr>
          <w:p w14:paraId="5D311387"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767153F7" w14:textId="77777777" w:rsidR="00000000" w:rsidRDefault="007E65A2">
      <w:pPr>
        <w:pStyle w:val="a3"/>
        <w:spacing w:before="0" w:beforeAutospacing="0" w:after="0" w:afterAutospacing="0"/>
        <w:jc w:val="both"/>
        <w:divId w:val="911279972"/>
        <w:rPr>
          <w:sz w:val="20"/>
          <w:szCs w:val="20"/>
        </w:rPr>
      </w:pPr>
      <w:r>
        <w:rPr>
          <w:sz w:val="20"/>
          <w:szCs w:val="20"/>
        </w:rPr>
        <w:t> </w:t>
      </w:r>
    </w:p>
    <w:p w14:paraId="74AF1520"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and 2018, the Company recognized amortization of discount, included in interest expense, of $171,968 and $320,886, respectively.</w:t>
      </w:r>
    </w:p>
    <w:p w14:paraId="7BCA6A20" w14:textId="77777777" w:rsidR="00000000" w:rsidRDefault="007E65A2">
      <w:pPr>
        <w:pStyle w:val="a3"/>
        <w:spacing w:before="0" w:beforeAutospacing="0" w:after="0" w:afterAutospacing="0"/>
        <w:jc w:val="both"/>
        <w:divId w:val="911279972"/>
        <w:rPr>
          <w:sz w:val="20"/>
          <w:szCs w:val="20"/>
        </w:rPr>
      </w:pPr>
      <w:r>
        <w:rPr>
          <w:sz w:val="20"/>
          <w:szCs w:val="20"/>
        </w:rPr>
        <w:t> </w:t>
      </w:r>
    </w:p>
    <w:p w14:paraId="1F56576C" w14:textId="77777777" w:rsidR="00000000" w:rsidRDefault="007E65A2">
      <w:pPr>
        <w:pStyle w:val="a3"/>
        <w:spacing w:before="0" w:beforeAutospacing="0" w:after="0" w:afterAutospacing="0"/>
        <w:jc w:val="both"/>
        <w:divId w:val="911279972"/>
        <w:rPr>
          <w:sz w:val="20"/>
          <w:szCs w:val="20"/>
        </w:rPr>
      </w:pPr>
      <w:r>
        <w:rPr>
          <w:i/>
          <w:iCs/>
          <w:sz w:val="20"/>
          <w:szCs w:val="20"/>
        </w:rPr>
        <w:t>Conversion</w:t>
      </w:r>
    </w:p>
    <w:p w14:paraId="4E647F35" w14:textId="77777777" w:rsidR="00000000" w:rsidRDefault="007E65A2">
      <w:pPr>
        <w:pStyle w:val="a3"/>
        <w:spacing w:before="0" w:beforeAutospacing="0" w:after="0" w:afterAutospacing="0"/>
        <w:jc w:val="both"/>
        <w:divId w:val="911279972"/>
        <w:rPr>
          <w:sz w:val="20"/>
          <w:szCs w:val="20"/>
        </w:rPr>
      </w:pPr>
      <w:r>
        <w:rPr>
          <w:sz w:val="20"/>
          <w:szCs w:val="20"/>
        </w:rPr>
        <w:t> </w:t>
      </w:r>
    </w:p>
    <w:p w14:paraId="0070FE35"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and 2018, the Company converted notes wi</w:t>
      </w:r>
      <w:r>
        <w:rPr>
          <w:sz w:val="20"/>
          <w:szCs w:val="20"/>
        </w:rPr>
        <w:t>th principal amounts and accrued interest of $213,365 into 3,673,860,559 shares of common stock and $164,657 into 585,503,747 shares of common stock, respectively. The corresponding derivative liability at the date of conversion of $957,265 and $295,541 wa</w:t>
      </w:r>
      <w:r>
        <w:rPr>
          <w:sz w:val="20"/>
          <w:szCs w:val="20"/>
        </w:rPr>
        <w:t>s credited to additional paid in capital, respectively.</w:t>
      </w:r>
    </w:p>
    <w:p w14:paraId="09D4E497" w14:textId="77777777" w:rsidR="00000000" w:rsidRDefault="007E65A2">
      <w:pPr>
        <w:pStyle w:val="a3"/>
        <w:spacing w:before="0" w:beforeAutospacing="0" w:after="0" w:afterAutospacing="0"/>
        <w:jc w:val="both"/>
        <w:divId w:val="911279972"/>
        <w:rPr>
          <w:sz w:val="20"/>
          <w:szCs w:val="20"/>
        </w:rPr>
      </w:pPr>
      <w:r>
        <w:rPr>
          <w:sz w:val="20"/>
          <w:szCs w:val="20"/>
        </w:rPr>
        <w:t> </w:t>
      </w:r>
    </w:p>
    <w:p w14:paraId="47522436" w14:textId="77777777" w:rsidR="00000000" w:rsidRDefault="007E65A2">
      <w:pPr>
        <w:pStyle w:val="a3"/>
        <w:spacing w:before="0" w:beforeAutospacing="0" w:after="0" w:afterAutospacing="0"/>
        <w:jc w:val="both"/>
        <w:divId w:val="911279972"/>
        <w:rPr>
          <w:sz w:val="20"/>
          <w:szCs w:val="20"/>
        </w:rPr>
      </w:pPr>
      <w:r>
        <w:rPr>
          <w:b/>
          <w:bCs/>
          <w:sz w:val="20"/>
          <w:szCs w:val="20"/>
        </w:rPr>
        <w:t>March 2015 Note</w:t>
      </w:r>
    </w:p>
    <w:p w14:paraId="3544092B" w14:textId="77777777" w:rsidR="00000000" w:rsidRDefault="007E65A2">
      <w:pPr>
        <w:pStyle w:val="a3"/>
        <w:spacing w:before="0" w:beforeAutospacing="0" w:after="0" w:afterAutospacing="0"/>
        <w:jc w:val="both"/>
        <w:divId w:val="911279972"/>
        <w:rPr>
          <w:sz w:val="20"/>
          <w:szCs w:val="20"/>
        </w:rPr>
      </w:pPr>
      <w:r>
        <w:rPr>
          <w:sz w:val="20"/>
          <w:szCs w:val="20"/>
        </w:rPr>
        <w:t> </w:t>
      </w:r>
    </w:p>
    <w:p w14:paraId="0E2074D1" w14:textId="77777777" w:rsidR="00000000" w:rsidRDefault="007E65A2">
      <w:pPr>
        <w:pStyle w:val="a3"/>
        <w:spacing w:before="0" w:beforeAutospacing="0" w:after="0" w:afterAutospacing="0"/>
        <w:jc w:val="both"/>
        <w:divId w:val="911279972"/>
        <w:rPr>
          <w:sz w:val="20"/>
          <w:szCs w:val="20"/>
        </w:rPr>
      </w:pPr>
      <w:r>
        <w:rPr>
          <w:sz w:val="20"/>
          <w:szCs w:val="20"/>
        </w:rPr>
        <w:t>On March 13, 2015, the Company issued a $10,000 convertible promissory note payable. The unsecured convertible promissory note payable is due upon demand and carries an interest ra</w:t>
      </w:r>
      <w:r>
        <w:rPr>
          <w:sz w:val="20"/>
          <w:szCs w:val="20"/>
        </w:rPr>
        <w:t>te of 12% per annum. The note payable is convertible at the option of the holder, at 50% of the lowest traded price for the 60 days preceding conversion as posted on the OTC Markets or on such US National Exchange upon which the Company may be listed. Effe</w:t>
      </w:r>
      <w:r>
        <w:rPr>
          <w:sz w:val="20"/>
          <w:szCs w:val="20"/>
        </w:rPr>
        <w:t>ctive March 13, 2015, the Company evaluated the terms of the conversion features of the convertible debenture in accordance with ASC Topic No. 815 - 40, Derivatives and Hedging - Contracts in Entity’s Own Stock and determined it is indexed to the Company’s</w:t>
      </w:r>
      <w:r>
        <w:rPr>
          <w:sz w:val="20"/>
          <w:szCs w:val="20"/>
        </w:rPr>
        <w:t xml:space="preserve"> common stock and that the conversion features meet the definition of a liability and therefore bifurcated the conversion feature and accounted for it as a separate derivative liability. The Company valued the conversion feature at the issue date (March 13</w:t>
      </w:r>
      <w:r>
        <w:rPr>
          <w:sz w:val="20"/>
          <w:szCs w:val="20"/>
        </w:rPr>
        <w:t>, 2015) at $14,552 using the Black Scholes valuation model. $10,000 of the value assigned to the derivative liability was recognized as a debt discount on the convertible debenture. The debt discount was recorded as a reduction (contra-liability) to the co</w:t>
      </w:r>
      <w:r>
        <w:rPr>
          <w:sz w:val="20"/>
          <w:szCs w:val="20"/>
        </w:rPr>
        <w:t>nvertible debenture and is being amortized over the life of the convertible debenture. The balance of $4,552 of the value assigned to the derivative liability was expensed on the issue date of the convertible note.</w:t>
      </w:r>
    </w:p>
    <w:p w14:paraId="0E2E2043" w14:textId="77777777" w:rsidR="00000000" w:rsidRDefault="007E65A2">
      <w:pPr>
        <w:pStyle w:val="a3"/>
        <w:spacing w:before="0" w:beforeAutospacing="0" w:after="0" w:afterAutospacing="0"/>
        <w:jc w:val="both"/>
        <w:divId w:val="911279972"/>
        <w:rPr>
          <w:sz w:val="20"/>
          <w:szCs w:val="20"/>
        </w:rPr>
      </w:pPr>
      <w:r>
        <w:rPr>
          <w:sz w:val="20"/>
          <w:szCs w:val="20"/>
        </w:rPr>
        <w:t> </w:t>
      </w:r>
    </w:p>
    <w:p w14:paraId="1A9875DF" w14:textId="77777777" w:rsidR="00000000" w:rsidRDefault="007E65A2">
      <w:pPr>
        <w:pStyle w:val="a3"/>
        <w:spacing w:before="0" w:beforeAutospacing="0" w:after="0" w:afterAutospacing="0"/>
        <w:jc w:val="both"/>
        <w:divId w:val="911279972"/>
        <w:rPr>
          <w:sz w:val="20"/>
          <w:szCs w:val="20"/>
        </w:rPr>
      </w:pPr>
      <w:r>
        <w:rPr>
          <w:sz w:val="20"/>
          <w:szCs w:val="20"/>
        </w:rPr>
        <w:t>As of June 30, 2019, and 2018, the outs</w:t>
      </w:r>
      <w:r>
        <w:rPr>
          <w:sz w:val="20"/>
          <w:szCs w:val="20"/>
        </w:rPr>
        <w:t>tanding principal balance of the note was $0, the note had accrued interest of $454 and an unamortized debt discount of $0.</w:t>
      </w:r>
    </w:p>
    <w:p w14:paraId="65EEA315" w14:textId="77777777" w:rsidR="00000000" w:rsidRDefault="007E65A2">
      <w:pPr>
        <w:pStyle w:val="a3"/>
        <w:spacing w:before="0" w:beforeAutospacing="0" w:after="0" w:afterAutospacing="0"/>
        <w:jc w:val="both"/>
        <w:divId w:val="911279972"/>
        <w:rPr>
          <w:sz w:val="20"/>
          <w:szCs w:val="20"/>
        </w:rPr>
      </w:pPr>
      <w:r>
        <w:rPr>
          <w:sz w:val="20"/>
          <w:szCs w:val="20"/>
        </w:rPr>
        <w:t> </w:t>
      </w:r>
    </w:p>
    <w:p w14:paraId="0EF349E1" w14:textId="77777777" w:rsidR="00000000" w:rsidRDefault="007E65A2">
      <w:pPr>
        <w:pStyle w:val="a3"/>
        <w:spacing w:before="0" w:beforeAutospacing="0" w:after="0" w:afterAutospacing="0"/>
        <w:jc w:val="both"/>
        <w:divId w:val="911279972"/>
        <w:rPr>
          <w:sz w:val="20"/>
          <w:szCs w:val="20"/>
        </w:rPr>
      </w:pPr>
      <w:r>
        <w:rPr>
          <w:b/>
          <w:bCs/>
          <w:sz w:val="20"/>
          <w:szCs w:val="20"/>
        </w:rPr>
        <w:t>November 2016 Note</w:t>
      </w:r>
    </w:p>
    <w:p w14:paraId="2665E9C6" w14:textId="77777777" w:rsidR="00000000" w:rsidRDefault="007E65A2">
      <w:pPr>
        <w:pStyle w:val="a3"/>
        <w:spacing w:before="0" w:beforeAutospacing="0" w:after="0" w:afterAutospacing="0"/>
        <w:jc w:val="both"/>
        <w:divId w:val="911279972"/>
        <w:rPr>
          <w:sz w:val="20"/>
          <w:szCs w:val="20"/>
        </w:rPr>
      </w:pPr>
      <w:r>
        <w:rPr>
          <w:sz w:val="20"/>
          <w:szCs w:val="20"/>
        </w:rPr>
        <w:t> </w:t>
      </w:r>
    </w:p>
    <w:p w14:paraId="2EC60AC7" w14:textId="77777777" w:rsidR="00000000" w:rsidRDefault="007E65A2">
      <w:pPr>
        <w:pStyle w:val="a3"/>
        <w:spacing w:before="0" w:beforeAutospacing="0" w:after="0" w:afterAutospacing="0"/>
        <w:jc w:val="both"/>
        <w:divId w:val="911279972"/>
        <w:rPr>
          <w:sz w:val="20"/>
          <w:szCs w:val="20"/>
        </w:rPr>
      </w:pPr>
      <w:r>
        <w:rPr>
          <w:sz w:val="20"/>
          <w:szCs w:val="20"/>
        </w:rPr>
        <w:t>On November 15, 2016, the Company entered into four separate agreements with Greentree Financial Group, Inc.,</w:t>
      </w:r>
      <w:r>
        <w:rPr>
          <w:sz w:val="20"/>
          <w:szCs w:val="20"/>
        </w:rPr>
        <w:t xml:space="preserve"> consisting of a Financial Advisory Agreement, a Loan Agreement, a Convertible Promissory Note, and a Warrant.</w:t>
      </w:r>
    </w:p>
    <w:p w14:paraId="7E983075" w14:textId="77777777" w:rsidR="00000000" w:rsidRDefault="007E65A2">
      <w:pPr>
        <w:pStyle w:val="a3"/>
        <w:spacing w:before="0" w:beforeAutospacing="0" w:after="0" w:afterAutospacing="0"/>
        <w:jc w:val="both"/>
        <w:divId w:val="911279972"/>
        <w:rPr>
          <w:sz w:val="20"/>
          <w:szCs w:val="20"/>
        </w:rPr>
      </w:pPr>
      <w:r>
        <w:rPr>
          <w:sz w:val="20"/>
          <w:szCs w:val="20"/>
        </w:rPr>
        <w:t> </w:t>
      </w:r>
    </w:p>
    <w:p w14:paraId="2F87F33D" w14:textId="77777777" w:rsidR="00000000" w:rsidRDefault="007E65A2">
      <w:pPr>
        <w:pStyle w:val="a3"/>
        <w:spacing w:before="0" w:beforeAutospacing="0" w:after="0" w:afterAutospacing="0"/>
        <w:jc w:val="both"/>
        <w:divId w:val="911279972"/>
        <w:rPr>
          <w:sz w:val="20"/>
          <w:szCs w:val="20"/>
        </w:rPr>
      </w:pPr>
      <w:r>
        <w:rPr>
          <w:sz w:val="20"/>
          <w:szCs w:val="20"/>
        </w:rPr>
        <w:t>The Loan Agreement allows for the Company to borrow up to $250,000 from Greentree, which will be evidenced by various promissory notes, which w</w:t>
      </w:r>
      <w:r>
        <w:rPr>
          <w:sz w:val="20"/>
          <w:szCs w:val="20"/>
        </w:rPr>
        <w:t>ill automatically mature 12 months from the date of applicable Note, will accrue interest at a rate of 12% per annum, and will include an original issuance discount (“OID”) of 10%. In addition, the promissory notes will be convertible at a price equal to 5</w:t>
      </w:r>
      <w:r>
        <w:rPr>
          <w:sz w:val="20"/>
          <w:szCs w:val="20"/>
        </w:rPr>
        <w:t>5% of the lowest trading price during the 10 trading days immediately prior to a conversion date. The conversion price shall not be lower than $0.0001. Note may not be converted prior to 6 months from its issuance. There is a 10% prepayment penalty associa</w:t>
      </w:r>
      <w:r>
        <w:rPr>
          <w:sz w:val="20"/>
          <w:szCs w:val="20"/>
        </w:rPr>
        <w:t>ted with each of the promissory notes. An initial promissory note of $100,000 was issued on November 15, 2016. On January 26, 2017 and June 30, 2017, the Company issued convertible note of $75,000 and $75,000 according to the loan agreement on November 15,</w:t>
      </w:r>
      <w:r>
        <w:rPr>
          <w:sz w:val="20"/>
          <w:szCs w:val="20"/>
        </w:rPr>
        <w:t xml:space="preserve"> 2016. Note is currently in default.</w:t>
      </w:r>
    </w:p>
    <w:p w14:paraId="0D8B3305" w14:textId="77777777" w:rsidR="00000000" w:rsidRDefault="007E65A2">
      <w:pPr>
        <w:pStyle w:val="a3"/>
        <w:spacing w:before="0" w:beforeAutospacing="0" w:after="0" w:afterAutospacing="0"/>
        <w:jc w:val="both"/>
        <w:divId w:val="911279972"/>
        <w:rPr>
          <w:sz w:val="20"/>
          <w:szCs w:val="20"/>
        </w:rPr>
      </w:pPr>
      <w:r>
        <w:rPr>
          <w:sz w:val="20"/>
          <w:szCs w:val="20"/>
        </w:rPr>
        <w:t> </w:t>
      </w:r>
    </w:p>
    <w:p w14:paraId="303101B6" w14:textId="77777777" w:rsidR="00000000" w:rsidRDefault="007E65A2">
      <w:pPr>
        <w:pStyle w:val="a3"/>
        <w:spacing w:before="0" w:beforeAutospacing="0" w:after="0" w:afterAutospacing="0"/>
        <w:jc w:val="both"/>
        <w:divId w:val="911279972"/>
        <w:rPr>
          <w:sz w:val="20"/>
          <w:szCs w:val="20"/>
        </w:rPr>
      </w:pPr>
      <w:r>
        <w:rPr>
          <w:sz w:val="20"/>
          <w:szCs w:val="20"/>
        </w:rPr>
        <w:t>The warrant issued to Greentree allows for the purchase of up to 5,000,000 shares of the Company’s common stock for a three-year period, expiring on November 15, 2019, with an exercise price of $0.03 per share. The wa</w:t>
      </w:r>
      <w:r>
        <w:rPr>
          <w:sz w:val="20"/>
          <w:szCs w:val="20"/>
        </w:rPr>
        <w:t>rrants also contain a cashless exercise feature, based on a cashless exercise formula.</w:t>
      </w:r>
    </w:p>
    <w:p w14:paraId="631B741D" w14:textId="77777777" w:rsidR="00000000" w:rsidRDefault="007E65A2">
      <w:pPr>
        <w:pStyle w:val="a3"/>
        <w:spacing w:before="0" w:beforeAutospacing="0" w:after="0" w:afterAutospacing="0"/>
        <w:jc w:val="both"/>
        <w:divId w:val="911279972"/>
        <w:rPr>
          <w:sz w:val="20"/>
          <w:szCs w:val="20"/>
        </w:rPr>
      </w:pPr>
      <w:r>
        <w:rPr>
          <w:sz w:val="20"/>
          <w:szCs w:val="20"/>
        </w:rPr>
        <w:t> </w:t>
      </w:r>
    </w:p>
    <w:p w14:paraId="2F4263F0" w14:textId="77777777" w:rsidR="00000000" w:rsidRDefault="007E65A2">
      <w:pPr>
        <w:pStyle w:val="a3"/>
        <w:spacing w:before="0" w:beforeAutospacing="0" w:after="0" w:afterAutospacing="0"/>
        <w:jc w:val="both"/>
        <w:divId w:val="911279972"/>
        <w:rPr>
          <w:sz w:val="20"/>
          <w:szCs w:val="20"/>
        </w:rPr>
      </w:pPr>
      <w:r>
        <w:rPr>
          <w:sz w:val="20"/>
          <w:szCs w:val="20"/>
        </w:rPr>
        <w:t>The Company determined that the exercise feature of the warrants met the definition of a liability in accordance with ASC Topic No. 815 - 40, Derivatives and Hedging - Contracts in Entity’s Own Stock. The Company will bifurcate the embedded conversion opti</w:t>
      </w:r>
      <w:r>
        <w:rPr>
          <w:sz w:val="20"/>
          <w:szCs w:val="20"/>
        </w:rPr>
        <w:t>on in the note once the note becomes convertible and account for it as a derivative liability. The fair value of the warrants was recorded as a debt discount being amortized to interest expense over the term of the note.</w:t>
      </w:r>
    </w:p>
    <w:p w14:paraId="2100BB24"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C08A02E" w14:textId="77777777">
        <w:trPr>
          <w:divId w:val="911279972"/>
          <w:tblCellSpacing w:w="0" w:type="dxa"/>
        </w:trPr>
        <w:tc>
          <w:tcPr>
            <w:tcW w:w="0" w:type="auto"/>
            <w:vAlign w:val="center"/>
            <w:hideMark/>
          </w:tcPr>
          <w:p w14:paraId="34181C76" w14:textId="77777777" w:rsidR="00000000" w:rsidRDefault="007E65A2">
            <w:pPr>
              <w:rPr>
                <w:rFonts w:eastAsia="Times New Roman"/>
                <w:sz w:val="20"/>
                <w:szCs w:val="20"/>
              </w:rPr>
            </w:pPr>
            <w:r>
              <w:rPr>
                <w:rFonts w:eastAsia="Times New Roman"/>
                <w:sz w:val="20"/>
                <w:szCs w:val="20"/>
              </w:rPr>
              <w:t> </w:t>
            </w:r>
          </w:p>
        </w:tc>
      </w:tr>
      <w:tr w:rsidR="00000000" w14:paraId="1AC1B9F3" w14:textId="77777777">
        <w:trPr>
          <w:divId w:val="911279972"/>
          <w:tblCellSpacing w:w="0" w:type="dxa"/>
        </w:trPr>
        <w:tc>
          <w:tcPr>
            <w:tcW w:w="0" w:type="auto"/>
            <w:tcBorders>
              <w:bottom w:val="single" w:sz="6" w:space="0" w:color="000000"/>
            </w:tcBorders>
            <w:vAlign w:val="center"/>
            <w:hideMark/>
          </w:tcPr>
          <w:p w14:paraId="11F5B8DD" w14:textId="77777777" w:rsidR="00000000" w:rsidRDefault="007E65A2">
            <w:pPr>
              <w:jc w:val="center"/>
              <w:rPr>
                <w:rFonts w:eastAsia="Times New Roman"/>
                <w:sz w:val="20"/>
                <w:szCs w:val="20"/>
              </w:rPr>
            </w:pPr>
            <w:r>
              <w:rPr>
                <w:rFonts w:eastAsia="Times New Roman"/>
                <w:sz w:val="20"/>
                <w:szCs w:val="20"/>
              </w:rPr>
              <w:t>F-12</w:t>
            </w:r>
          </w:p>
        </w:tc>
      </w:tr>
      <w:tr w:rsidR="00000000" w14:paraId="551E265D" w14:textId="77777777">
        <w:trPr>
          <w:divId w:val="911279972"/>
          <w:tblCellSpacing w:w="0" w:type="dxa"/>
        </w:trPr>
        <w:tc>
          <w:tcPr>
            <w:tcW w:w="0" w:type="auto"/>
            <w:vAlign w:val="center"/>
            <w:hideMark/>
          </w:tcPr>
          <w:p w14:paraId="15075395" w14:textId="77777777" w:rsidR="00000000" w:rsidRDefault="007E65A2">
            <w:pPr>
              <w:rPr>
                <w:rFonts w:eastAsia="Times New Roman"/>
                <w:sz w:val="20"/>
                <w:szCs w:val="20"/>
              </w:rPr>
            </w:pPr>
            <w:r>
              <w:rPr>
                <w:rFonts w:eastAsia="Times New Roman"/>
                <w:sz w:val="20"/>
                <w:szCs w:val="20"/>
              </w:rPr>
              <w:t> </w:t>
            </w:r>
          </w:p>
        </w:tc>
      </w:tr>
      <w:tr w:rsidR="00000000" w14:paraId="5D531399" w14:textId="77777777">
        <w:trPr>
          <w:divId w:val="911279972"/>
          <w:tblCellSpacing w:w="0" w:type="dxa"/>
        </w:trPr>
        <w:tc>
          <w:tcPr>
            <w:tcW w:w="0" w:type="auto"/>
            <w:vAlign w:val="center"/>
            <w:hideMark/>
          </w:tcPr>
          <w:p w14:paraId="00B29036"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5723C653" w14:textId="77777777" w:rsidR="00000000" w:rsidRDefault="007E65A2">
      <w:pPr>
        <w:pStyle w:val="a3"/>
        <w:spacing w:before="0" w:beforeAutospacing="0" w:after="0" w:afterAutospacing="0"/>
        <w:jc w:val="both"/>
        <w:divId w:val="911279972"/>
        <w:rPr>
          <w:sz w:val="20"/>
          <w:szCs w:val="20"/>
        </w:rPr>
      </w:pPr>
      <w:r>
        <w:rPr>
          <w:sz w:val="20"/>
          <w:szCs w:val="20"/>
        </w:rPr>
        <w:t> </w:t>
      </w:r>
    </w:p>
    <w:p w14:paraId="127C391E"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2018, a total of $19,000 note principal was assigned to two lenders under the same term and conversion price.</w:t>
      </w:r>
    </w:p>
    <w:p w14:paraId="42A7FB01" w14:textId="77777777" w:rsidR="00000000" w:rsidRDefault="007E65A2">
      <w:pPr>
        <w:pStyle w:val="a3"/>
        <w:spacing w:before="0" w:beforeAutospacing="0" w:after="0" w:afterAutospacing="0"/>
        <w:jc w:val="both"/>
        <w:divId w:val="911279972"/>
        <w:rPr>
          <w:sz w:val="20"/>
          <w:szCs w:val="20"/>
        </w:rPr>
      </w:pPr>
      <w:r>
        <w:rPr>
          <w:sz w:val="20"/>
          <w:szCs w:val="20"/>
        </w:rPr>
        <w:t> </w:t>
      </w:r>
    </w:p>
    <w:p w14:paraId="41553DAA" w14:textId="77777777" w:rsidR="00000000" w:rsidRDefault="007E65A2">
      <w:pPr>
        <w:pStyle w:val="a3"/>
        <w:spacing w:before="0" w:beforeAutospacing="0" w:after="0" w:afterAutospacing="0"/>
        <w:jc w:val="both"/>
        <w:divId w:val="911279972"/>
        <w:rPr>
          <w:sz w:val="20"/>
          <w:szCs w:val="20"/>
        </w:rPr>
      </w:pPr>
      <w:r>
        <w:rPr>
          <w:i/>
          <w:iCs/>
          <w:sz w:val="20"/>
          <w:szCs w:val="20"/>
        </w:rPr>
        <w:t>Promissory Notes - Issued in fiscal year 2018</w:t>
      </w:r>
    </w:p>
    <w:p w14:paraId="7E2B7699" w14:textId="77777777" w:rsidR="00000000" w:rsidRDefault="007E65A2">
      <w:pPr>
        <w:pStyle w:val="a3"/>
        <w:spacing w:before="0" w:beforeAutospacing="0" w:after="0" w:afterAutospacing="0"/>
        <w:jc w:val="both"/>
        <w:divId w:val="911279972"/>
        <w:rPr>
          <w:sz w:val="20"/>
          <w:szCs w:val="20"/>
        </w:rPr>
      </w:pPr>
      <w:r>
        <w:rPr>
          <w:sz w:val="20"/>
          <w:szCs w:val="20"/>
        </w:rPr>
        <w:t> </w:t>
      </w:r>
    </w:p>
    <w:p w14:paraId="6471D599"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2018, t</w:t>
      </w:r>
      <w:r>
        <w:rPr>
          <w:sz w:val="20"/>
          <w:szCs w:val="20"/>
        </w:rPr>
        <w:t>he Company issued a total of $180,614 note with the following terms:</w:t>
      </w:r>
    </w:p>
    <w:p w14:paraId="7E1C3EE5"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6E1DF959" w14:textId="77777777">
        <w:trPr>
          <w:divId w:val="911279972"/>
          <w:trHeight w:val="180"/>
          <w:tblCellSpacing w:w="0" w:type="dxa"/>
        </w:trPr>
        <w:tc>
          <w:tcPr>
            <w:tcW w:w="200" w:type="pct"/>
            <w:vAlign w:val="center"/>
            <w:hideMark/>
          </w:tcPr>
          <w:p w14:paraId="1CA5E21C"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22E01D06"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AC62249" w14:textId="77777777" w:rsidR="00000000" w:rsidRDefault="007E65A2">
            <w:pPr>
              <w:pStyle w:val="a3"/>
              <w:spacing w:before="0" w:beforeAutospacing="0" w:after="0" w:afterAutospacing="0"/>
              <w:jc w:val="both"/>
              <w:rPr>
                <w:sz w:val="20"/>
                <w:szCs w:val="20"/>
              </w:rPr>
            </w:pPr>
            <w:r>
              <w:rPr>
                <w:sz w:val="20"/>
                <w:szCs w:val="20"/>
              </w:rPr>
              <w:t>Terms ranging from 6 months to 12 months.</w:t>
            </w:r>
          </w:p>
        </w:tc>
      </w:tr>
      <w:tr w:rsidR="00000000" w14:paraId="246E1C01" w14:textId="77777777">
        <w:trPr>
          <w:divId w:val="911279972"/>
          <w:trHeight w:val="180"/>
          <w:tblCellSpacing w:w="0" w:type="dxa"/>
        </w:trPr>
        <w:tc>
          <w:tcPr>
            <w:tcW w:w="0" w:type="auto"/>
            <w:vAlign w:val="center"/>
            <w:hideMark/>
          </w:tcPr>
          <w:p w14:paraId="0EF3B955"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371997DE"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BE3FD02" w14:textId="77777777" w:rsidR="00000000" w:rsidRDefault="007E65A2">
            <w:pPr>
              <w:pStyle w:val="a3"/>
              <w:spacing w:before="0" w:beforeAutospacing="0" w:after="0" w:afterAutospacing="0"/>
              <w:jc w:val="both"/>
              <w:rPr>
                <w:sz w:val="20"/>
                <w:szCs w:val="20"/>
              </w:rPr>
            </w:pPr>
            <w:r>
              <w:rPr>
                <w:sz w:val="20"/>
                <w:szCs w:val="20"/>
              </w:rPr>
              <w:t>Annual interest rates of 5% - 12%.</w:t>
            </w:r>
          </w:p>
        </w:tc>
      </w:tr>
      <w:tr w:rsidR="00000000" w14:paraId="48AA5288" w14:textId="77777777">
        <w:trPr>
          <w:divId w:val="911279972"/>
          <w:trHeight w:val="180"/>
          <w:tblCellSpacing w:w="0" w:type="dxa"/>
        </w:trPr>
        <w:tc>
          <w:tcPr>
            <w:tcW w:w="0" w:type="auto"/>
            <w:vAlign w:val="center"/>
            <w:hideMark/>
          </w:tcPr>
          <w:p w14:paraId="2F3529F5"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25975C72"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3AC23CFC" w14:textId="77777777" w:rsidR="00000000" w:rsidRDefault="007E65A2">
            <w:pPr>
              <w:pStyle w:val="a3"/>
              <w:spacing w:before="0" w:beforeAutospacing="0" w:after="0" w:afterAutospacing="0"/>
              <w:jc w:val="both"/>
              <w:rPr>
                <w:sz w:val="20"/>
                <w:szCs w:val="20"/>
              </w:rPr>
            </w:pPr>
            <w:r>
              <w:rPr>
                <w:sz w:val="20"/>
                <w:szCs w:val="20"/>
              </w:rPr>
              <w:t>Convertible at the option of the holders at issuance.</w:t>
            </w:r>
          </w:p>
        </w:tc>
      </w:tr>
      <w:tr w:rsidR="00000000" w14:paraId="441A95FA" w14:textId="77777777">
        <w:trPr>
          <w:divId w:val="911279972"/>
          <w:trHeight w:val="180"/>
          <w:tblCellSpacing w:w="0" w:type="dxa"/>
        </w:trPr>
        <w:tc>
          <w:tcPr>
            <w:tcW w:w="0" w:type="auto"/>
            <w:vAlign w:val="center"/>
            <w:hideMark/>
          </w:tcPr>
          <w:p w14:paraId="492D1415"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616839F3"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768414B0" w14:textId="77777777" w:rsidR="00000000" w:rsidRDefault="007E65A2">
            <w:pPr>
              <w:pStyle w:val="a3"/>
              <w:spacing w:before="0" w:beforeAutospacing="0" w:after="0" w:afterAutospacing="0"/>
              <w:jc w:val="both"/>
              <w:rPr>
                <w:sz w:val="20"/>
                <w:szCs w:val="20"/>
              </w:rPr>
            </w:pPr>
            <w:r>
              <w:rPr>
                <w:sz w:val="20"/>
                <w:szCs w:val="20"/>
              </w:rPr>
              <w:t>Conversion prices are typically based on the discounted (35% to 45% discount) average closing prices or lowest trading prices of the Company’s shares during various periods prior to conversion. Cer</w:t>
            </w:r>
            <w:r>
              <w:rPr>
                <w:sz w:val="20"/>
                <w:szCs w:val="20"/>
              </w:rPr>
              <w:t>tain notes allow for the conversion price to be a floor of $0.0002 per share.</w:t>
            </w:r>
          </w:p>
        </w:tc>
      </w:tr>
      <w:tr w:rsidR="00000000" w14:paraId="0A786BC2" w14:textId="77777777">
        <w:trPr>
          <w:divId w:val="911279972"/>
          <w:trHeight w:val="180"/>
          <w:tblCellSpacing w:w="0" w:type="dxa"/>
        </w:trPr>
        <w:tc>
          <w:tcPr>
            <w:tcW w:w="0" w:type="auto"/>
            <w:vAlign w:val="center"/>
            <w:hideMark/>
          </w:tcPr>
          <w:p w14:paraId="4AF88358"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3AD3938C"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1D02DC3" w14:textId="77777777" w:rsidR="00000000" w:rsidRDefault="007E65A2">
            <w:pPr>
              <w:pStyle w:val="a3"/>
              <w:spacing w:before="0" w:beforeAutospacing="0" w:after="0" w:afterAutospacing="0"/>
              <w:jc w:val="both"/>
              <w:rPr>
                <w:sz w:val="20"/>
                <w:szCs w:val="20"/>
              </w:rPr>
            </w:pPr>
            <w:r>
              <w:rPr>
                <w:sz w:val="20"/>
                <w:szCs w:val="20"/>
              </w:rPr>
              <w:t>Certain note allows the principal amount will increase by $15,000 and the discount rate of conversion price will decrease by 15% if the conversion price is less than $$0.01.</w:t>
            </w:r>
            <w:r>
              <w:rPr>
                <w:sz w:val="20"/>
                <w:szCs w:val="20"/>
              </w:rPr>
              <w:t xml:space="preserve"> As a result, the discount rate of conversion price changed from 45% to 60% and the Company recognized the penalty of $15,000 and recorded principal amount of $15,000.</w:t>
            </w:r>
          </w:p>
        </w:tc>
      </w:tr>
    </w:tbl>
    <w:p w14:paraId="48CAA3C1" w14:textId="77777777" w:rsidR="00000000" w:rsidRDefault="007E65A2">
      <w:pPr>
        <w:pStyle w:val="a3"/>
        <w:spacing w:before="0" w:beforeAutospacing="0" w:after="0" w:afterAutospacing="0"/>
        <w:jc w:val="both"/>
        <w:divId w:val="911279972"/>
        <w:rPr>
          <w:sz w:val="20"/>
          <w:szCs w:val="20"/>
        </w:rPr>
      </w:pPr>
      <w:r>
        <w:rPr>
          <w:sz w:val="20"/>
          <w:szCs w:val="20"/>
        </w:rPr>
        <w:t> </w:t>
      </w:r>
    </w:p>
    <w:p w14:paraId="20F8F862" w14:textId="77777777" w:rsidR="00000000" w:rsidRDefault="007E65A2">
      <w:pPr>
        <w:pStyle w:val="a3"/>
        <w:spacing w:before="0" w:beforeAutospacing="0" w:after="0" w:afterAutospacing="0"/>
        <w:jc w:val="both"/>
        <w:divId w:val="911279972"/>
        <w:rPr>
          <w:sz w:val="20"/>
          <w:szCs w:val="20"/>
        </w:rPr>
      </w:pPr>
      <w:r>
        <w:rPr>
          <w:sz w:val="20"/>
          <w:szCs w:val="20"/>
        </w:rPr>
        <w:t>Certain notes allow the Company to redeem the notes at rates ranging from 115% to 150% depending on the redemption date provided that no redemption is allowed after the 180th day. Likewise, the note includes original issue discounts and financing costs tot</w:t>
      </w:r>
      <w:r>
        <w:rPr>
          <w:sz w:val="20"/>
          <w:szCs w:val="20"/>
        </w:rPr>
        <w:t>aling to $38,447 and the Company received cash of $142,167. Certain convertible notes of $116,666 are currently in default.</w:t>
      </w:r>
    </w:p>
    <w:p w14:paraId="0A5D9634" w14:textId="77777777" w:rsidR="00000000" w:rsidRDefault="007E65A2">
      <w:pPr>
        <w:pStyle w:val="a3"/>
        <w:spacing w:before="0" w:beforeAutospacing="0" w:after="0" w:afterAutospacing="0"/>
        <w:jc w:val="both"/>
        <w:divId w:val="911279972"/>
        <w:rPr>
          <w:sz w:val="20"/>
          <w:szCs w:val="20"/>
        </w:rPr>
      </w:pPr>
      <w:r>
        <w:rPr>
          <w:sz w:val="20"/>
          <w:szCs w:val="20"/>
        </w:rPr>
        <w:t> </w:t>
      </w:r>
    </w:p>
    <w:p w14:paraId="4358111F" w14:textId="77777777" w:rsidR="00000000" w:rsidRDefault="007E65A2">
      <w:pPr>
        <w:pStyle w:val="a3"/>
        <w:spacing w:before="0" w:beforeAutospacing="0" w:after="0" w:afterAutospacing="0"/>
        <w:jc w:val="both"/>
        <w:divId w:val="911279972"/>
        <w:rPr>
          <w:sz w:val="20"/>
          <w:szCs w:val="20"/>
        </w:rPr>
      </w:pPr>
      <w:r>
        <w:rPr>
          <w:sz w:val="20"/>
          <w:szCs w:val="20"/>
        </w:rPr>
        <w:t>On June 25, 2018, the Company entered into and closed a financing transaction with Bellridge Capital L.P. consisting of a Securiti</w:t>
      </w:r>
      <w:r>
        <w:rPr>
          <w:sz w:val="20"/>
          <w:szCs w:val="20"/>
        </w:rPr>
        <w:t>es Purchase Agreement, a Secured Convertible Promissory Note, and a Warrant.</w:t>
      </w:r>
    </w:p>
    <w:p w14:paraId="2495B000" w14:textId="77777777" w:rsidR="00000000" w:rsidRDefault="007E65A2">
      <w:pPr>
        <w:pStyle w:val="a3"/>
        <w:spacing w:before="0" w:beforeAutospacing="0" w:after="0" w:afterAutospacing="0"/>
        <w:jc w:val="both"/>
        <w:divId w:val="911279972"/>
        <w:rPr>
          <w:sz w:val="20"/>
          <w:szCs w:val="20"/>
        </w:rPr>
      </w:pPr>
      <w:r>
        <w:rPr>
          <w:sz w:val="20"/>
          <w:szCs w:val="20"/>
        </w:rPr>
        <w:t> </w:t>
      </w:r>
    </w:p>
    <w:p w14:paraId="1D8DAC65" w14:textId="77777777" w:rsidR="00000000" w:rsidRDefault="007E65A2">
      <w:pPr>
        <w:pStyle w:val="a3"/>
        <w:spacing w:before="0" w:beforeAutospacing="0" w:after="0" w:afterAutospacing="0"/>
        <w:jc w:val="both"/>
        <w:divId w:val="911279972"/>
        <w:rPr>
          <w:sz w:val="20"/>
          <w:szCs w:val="20"/>
        </w:rPr>
      </w:pPr>
      <w:r>
        <w:rPr>
          <w:sz w:val="20"/>
          <w:szCs w:val="20"/>
        </w:rPr>
        <w:t>The Securities Purchase Agreement provides that Bellridge Capital L.P. would receive a Secured Convertible Promissory Note in an amount of $78,947 in exchange for a funding amou</w:t>
      </w:r>
      <w:r>
        <w:rPr>
          <w:sz w:val="20"/>
          <w:szCs w:val="20"/>
        </w:rPr>
        <w:t xml:space="preserve">nt of $78,947, and as additional consideration would also receive a Warrant for the purchase of an additional 394,735,000 shares of common stock. The Convertible Promissory Note will accrue interest at a rate of 5% per annum, default interest at a rate of </w:t>
      </w:r>
      <w:r>
        <w:rPr>
          <w:sz w:val="20"/>
          <w:szCs w:val="20"/>
        </w:rPr>
        <w:t>24% per annum, and will be convertible at a price equal to the lesser of (i) $0.0002, and (ii) the variable conversion price, which is defined as 65% of the lowest daily VWAP in the twenty (20) Trading Days prior to the Conversion Date . The “market price”</w:t>
      </w:r>
      <w:r>
        <w:rPr>
          <w:sz w:val="20"/>
          <w:szCs w:val="20"/>
        </w:rPr>
        <w:t xml:space="preserve"> is defined as the lowest trading price for the common stock during the twenty-five trading day period ending on the last complete trading day prior to the conversion date. The “trading price” is defined as the lowest trade price on the OTC Pink, OTCQB or </w:t>
      </w:r>
      <w:r>
        <w:rPr>
          <w:sz w:val="20"/>
          <w:szCs w:val="20"/>
        </w:rPr>
        <w:t>applicable trading market. Bellridge Capital L.P. shall not be able to convert the promissory notes in an amount that would result in the beneficial ownership of greater than 4.99% of the outstanding shares of the Company, with the exception that the limit</w:t>
      </w:r>
      <w:r>
        <w:rPr>
          <w:sz w:val="20"/>
          <w:szCs w:val="20"/>
        </w:rPr>
        <w:t>ation may be waived by Bellridge Capital L.P. with 61 days prior notice. If, at any time when the note is issued and outstanding, the Company sells or issues shares of common stock for no consideration or for a consideration price per share less than the c</w:t>
      </w:r>
      <w:r>
        <w:rPr>
          <w:sz w:val="20"/>
          <w:szCs w:val="20"/>
        </w:rPr>
        <w:t>onversion price in effect on the date of such issuance, the conversion price for the note would be reduced to the amount of the consideration per share received by the Company for such dilutive issuance. If the Company prepays the note on or before 90 days</w:t>
      </w:r>
      <w:r>
        <w:rPr>
          <w:sz w:val="20"/>
          <w:szCs w:val="20"/>
        </w:rPr>
        <w:t xml:space="preserve"> following the date of the note, the Company shall be required to pay 115%, multiplied by the sum of the outstanding principal of the note, plus all accrued and unpaid interest and default interest if any. If the Company prepays the note during the period </w:t>
      </w:r>
      <w:r>
        <w:rPr>
          <w:sz w:val="20"/>
          <w:szCs w:val="20"/>
        </w:rPr>
        <w:t>beginning 91 days and ending 180 days from the issue date of the note, the Company shall be required to pay 120% multiplied by the sum of the then outstanding principal amount of the note, plus accrued and unpaid interest and default interest, if any. If t</w:t>
      </w:r>
      <w:r>
        <w:rPr>
          <w:sz w:val="20"/>
          <w:szCs w:val="20"/>
        </w:rPr>
        <w:t>he Company prepays the note during the period beginning after 180 days from the issue date of the note, the Company shall be required to pay 125% multiplied by the sum of the then outstanding principal amount of the note, plus accrued and unpaid interest a</w:t>
      </w:r>
      <w:r>
        <w:rPr>
          <w:sz w:val="20"/>
          <w:szCs w:val="20"/>
        </w:rPr>
        <w:t>nd default interest, if any.</w:t>
      </w:r>
    </w:p>
    <w:p w14:paraId="5F1B619A" w14:textId="77777777" w:rsidR="00000000" w:rsidRDefault="007E65A2">
      <w:pPr>
        <w:pStyle w:val="a3"/>
        <w:spacing w:before="0" w:beforeAutospacing="0" w:after="0" w:afterAutospacing="0"/>
        <w:jc w:val="both"/>
        <w:divId w:val="911279972"/>
        <w:rPr>
          <w:sz w:val="20"/>
          <w:szCs w:val="20"/>
        </w:rPr>
      </w:pPr>
      <w:r>
        <w:rPr>
          <w:sz w:val="20"/>
          <w:szCs w:val="20"/>
        </w:rPr>
        <w:t> </w:t>
      </w:r>
    </w:p>
    <w:p w14:paraId="387C32A7" w14:textId="77777777" w:rsidR="00000000" w:rsidRDefault="007E65A2">
      <w:pPr>
        <w:pStyle w:val="a3"/>
        <w:spacing w:before="0" w:beforeAutospacing="0" w:after="0" w:afterAutospacing="0"/>
        <w:jc w:val="both"/>
        <w:divId w:val="911279972"/>
        <w:rPr>
          <w:sz w:val="20"/>
          <w:szCs w:val="20"/>
        </w:rPr>
      </w:pPr>
      <w:r>
        <w:rPr>
          <w:sz w:val="20"/>
          <w:szCs w:val="20"/>
        </w:rPr>
        <w:t>The warrant issued to Bellridge Capital L.P. allows for the purchase of up to 394,735,000 shares of the Company’s common stock for a three-year period with an exercise price of $0.0002 per share. The warrants also contain a c</w:t>
      </w:r>
      <w:r>
        <w:rPr>
          <w:sz w:val="20"/>
          <w:szCs w:val="20"/>
        </w:rPr>
        <w:t>ashless exercise feature, based on a cashless exercise formula. In connection with the Secured Promissory Note, the Company entered into a Security Agreement which grants the Debtor a security interest in all of the assets of the Company. On March 15, 2019</w:t>
      </w:r>
      <w:r>
        <w:rPr>
          <w:sz w:val="20"/>
          <w:szCs w:val="20"/>
        </w:rPr>
        <w:t>, the Company agreed to amend the conversion price of the note to the lower of $0.0002 or 55% of the lowest trading price in the 20 trading days prior to the conversion date and the exercise price of warrants to $0.0001.</w:t>
      </w:r>
    </w:p>
    <w:p w14:paraId="0FB0051E"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BFEFED0" w14:textId="77777777">
        <w:trPr>
          <w:divId w:val="911279972"/>
          <w:tblCellSpacing w:w="0" w:type="dxa"/>
        </w:trPr>
        <w:tc>
          <w:tcPr>
            <w:tcW w:w="0" w:type="auto"/>
            <w:vAlign w:val="center"/>
            <w:hideMark/>
          </w:tcPr>
          <w:p w14:paraId="6EC0F835" w14:textId="77777777" w:rsidR="00000000" w:rsidRDefault="007E65A2">
            <w:pPr>
              <w:rPr>
                <w:rFonts w:eastAsia="Times New Roman"/>
                <w:sz w:val="20"/>
                <w:szCs w:val="20"/>
              </w:rPr>
            </w:pPr>
            <w:r>
              <w:rPr>
                <w:rFonts w:eastAsia="Times New Roman"/>
                <w:sz w:val="20"/>
                <w:szCs w:val="20"/>
              </w:rPr>
              <w:t> </w:t>
            </w:r>
          </w:p>
        </w:tc>
      </w:tr>
      <w:tr w:rsidR="00000000" w14:paraId="274D7E36" w14:textId="77777777">
        <w:trPr>
          <w:divId w:val="911279972"/>
          <w:tblCellSpacing w:w="0" w:type="dxa"/>
        </w:trPr>
        <w:tc>
          <w:tcPr>
            <w:tcW w:w="0" w:type="auto"/>
            <w:tcBorders>
              <w:bottom w:val="single" w:sz="6" w:space="0" w:color="000000"/>
            </w:tcBorders>
            <w:vAlign w:val="center"/>
            <w:hideMark/>
          </w:tcPr>
          <w:p w14:paraId="0082719F" w14:textId="77777777" w:rsidR="00000000" w:rsidRDefault="007E65A2">
            <w:pPr>
              <w:jc w:val="center"/>
              <w:rPr>
                <w:rFonts w:eastAsia="Times New Roman"/>
                <w:sz w:val="20"/>
                <w:szCs w:val="20"/>
              </w:rPr>
            </w:pPr>
            <w:r>
              <w:rPr>
                <w:rFonts w:eastAsia="Times New Roman"/>
                <w:sz w:val="20"/>
                <w:szCs w:val="20"/>
              </w:rPr>
              <w:t>F-13</w:t>
            </w:r>
          </w:p>
        </w:tc>
      </w:tr>
      <w:tr w:rsidR="00000000" w14:paraId="1DD4696B" w14:textId="77777777">
        <w:trPr>
          <w:divId w:val="911279972"/>
          <w:tblCellSpacing w:w="0" w:type="dxa"/>
        </w:trPr>
        <w:tc>
          <w:tcPr>
            <w:tcW w:w="0" w:type="auto"/>
            <w:vAlign w:val="center"/>
            <w:hideMark/>
          </w:tcPr>
          <w:p w14:paraId="62EF9FDA" w14:textId="77777777" w:rsidR="00000000" w:rsidRDefault="007E65A2">
            <w:pPr>
              <w:rPr>
                <w:rFonts w:eastAsia="Times New Roman"/>
                <w:sz w:val="20"/>
                <w:szCs w:val="20"/>
              </w:rPr>
            </w:pPr>
            <w:r>
              <w:rPr>
                <w:rFonts w:eastAsia="Times New Roman"/>
                <w:sz w:val="20"/>
                <w:szCs w:val="20"/>
              </w:rPr>
              <w:t> </w:t>
            </w:r>
          </w:p>
        </w:tc>
      </w:tr>
      <w:tr w:rsidR="00000000" w14:paraId="4DF1772A" w14:textId="77777777">
        <w:trPr>
          <w:divId w:val="911279972"/>
          <w:tblCellSpacing w:w="0" w:type="dxa"/>
        </w:trPr>
        <w:tc>
          <w:tcPr>
            <w:tcW w:w="0" w:type="auto"/>
            <w:vAlign w:val="center"/>
            <w:hideMark/>
          </w:tcPr>
          <w:p w14:paraId="78DCE95C"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43757321" w14:textId="77777777" w:rsidR="00000000" w:rsidRDefault="007E65A2">
      <w:pPr>
        <w:pStyle w:val="a3"/>
        <w:spacing w:before="0" w:beforeAutospacing="0" w:after="0" w:afterAutospacing="0"/>
        <w:jc w:val="both"/>
        <w:divId w:val="911279972"/>
        <w:rPr>
          <w:sz w:val="20"/>
          <w:szCs w:val="20"/>
        </w:rPr>
      </w:pPr>
      <w:r>
        <w:rPr>
          <w:sz w:val="20"/>
          <w:szCs w:val="20"/>
        </w:rPr>
        <w:t> </w:t>
      </w:r>
    </w:p>
    <w:p w14:paraId="0BCE8FE9" w14:textId="77777777" w:rsidR="00000000" w:rsidRDefault="007E65A2">
      <w:pPr>
        <w:pStyle w:val="a3"/>
        <w:spacing w:before="0" w:beforeAutospacing="0" w:after="0" w:afterAutospacing="0"/>
        <w:jc w:val="both"/>
        <w:divId w:val="911279972"/>
        <w:rPr>
          <w:sz w:val="20"/>
          <w:szCs w:val="20"/>
        </w:rPr>
      </w:pPr>
      <w:r>
        <w:rPr>
          <w:i/>
          <w:iCs/>
          <w:sz w:val="20"/>
          <w:szCs w:val="20"/>
        </w:rPr>
        <w:t>Promissory Notes - Issued in fiscal year 2019</w:t>
      </w:r>
    </w:p>
    <w:p w14:paraId="0E7385BC" w14:textId="77777777" w:rsidR="00000000" w:rsidRDefault="007E65A2">
      <w:pPr>
        <w:pStyle w:val="a3"/>
        <w:spacing w:before="0" w:beforeAutospacing="0" w:after="0" w:afterAutospacing="0"/>
        <w:jc w:val="both"/>
        <w:divId w:val="911279972"/>
        <w:rPr>
          <w:sz w:val="20"/>
          <w:szCs w:val="20"/>
        </w:rPr>
      </w:pPr>
      <w:r>
        <w:rPr>
          <w:sz w:val="20"/>
          <w:szCs w:val="20"/>
        </w:rPr>
        <w:t> </w:t>
      </w:r>
    </w:p>
    <w:p w14:paraId="00DE3798"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the Company issued a total of $105,000 of notes with the following terms:</w:t>
      </w:r>
    </w:p>
    <w:p w14:paraId="680781D5"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67E3AD11" w14:textId="77777777">
        <w:trPr>
          <w:divId w:val="911279972"/>
          <w:trHeight w:val="180"/>
          <w:tblCellSpacing w:w="0" w:type="dxa"/>
        </w:trPr>
        <w:tc>
          <w:tcPr>
            <w:tcW w:w="200" w:type="pct"/>
            <w:vAlign w:val="center"/>
            <w:hideMark/>
          </w:tcPr>
          <w:p w14:paraId="030CAA64"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17F16D63"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3FE2524" w14:textId="77777777" w:rsidR="00000000" w:rsidRDefault="007E65A2">
            <w:pPr>
              <w:pStyle w:val="a3"/>
              <w:spacing w:before="0" w:beforeAutospacing="0" w:after="0" w:afterAutospacing="0"/>
              <w:jc w:val="both"/>
              <w:rPr>
                <w:sz w:val="20"/>
                <w:szCs w:val="20"/>
              </w:rPr>
            </w:pPr>
            <w:r>
              <w:rPr>
                <w:sz w:val="20"/>
                <w:szCs w:val="20"/>
              </w:rPr>
              <w:t>Terms ranging from 3 months to 12 months.</w:t>
            </w:r>
          </w:p>
        </w:tc>
      </w:tr>
      <w:tr w:rsidR="00000000" w14:paraId="0BFE82AF" w14:textId="77777777">
        <w:trPr>
          <w:divId w:val="911279972"/>
          <w:trHeight w:val="180"/>
          <w:tblCellSpacing w:w="0" w:type="dxa"/>
        </w:trPr>
        <w:tc>
          <w:tcPr>
            <w:tcW w:w="0" w:type="auto"/>
            <w:vAlign w:val="center"/>
            <w:hideMark/>
          </w:tcPr>
          <w:p w14:paraId="247360F6"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795B738A"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446C5B7C" w14:textId="77777777" w:rsidR="00000000" w:rsidRDefault="007E65A2">
            <w:pPr>
              <w:pStyle w:val="a3"/>
              <w:spacing w:before="0" w:beforeAutospacing="0" w:after="0" w:afterAutospacing="0"/>
              <w:jc w:val="both"/>
              <w:rPr>
                <w:sz w:val="20"/>
                <w:szCs w:val="20"/>
              </w:rPr>
            </w:pPr>
            <w:r>
              <w:rPr>
                <w:sz w:val="20"/>
                <w:szCs w:val="20"/>
              </w:rPr>
              <w:t>Annual interest rates of 5% - 8%.</w:t>
            </w:r>
          </w:p>
        </w:tc>
      </w:tr>
      <w:tr w:rsidR="00000000" w14:paraId="6DD541A3" w14:textId="77777777">
        <w:trPr>
          <w:divId w:val="911279972"/>
          <w:trHeight w:val="180"/>
          <w:tblCellSpacing w:w="0" w:type="dxa"/>
        </w:trPr>
        <w:tc>
          <w:tcPr>
            <w:tcW w:w="0" w:type="auto"/>
            <w:vAlign w:val="center"/>
            <w:hideMark/>
          </w:tcPr>
          <w:p w14:paraId="3DE836DC"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108D741C"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1DAC1603" w14:textId="77777777" w:rsidR="00000000" w:rsidRDefault="007E65A2">
            <w:pPr>
              <w:pStyle w:val="a3"/>
              <w:spacing w:before="0" w:beforeAutospacing="0" w:after="0" w:afterAutospacing="0"/>
              <w:jc w:val="both"/>
              <w:rPr>
                <w:sz w:val="20"/>
                <w:szCs w:val="20"/>
              </w:rPr>
            </w:pPr>
            <w:r>
              <w:rPr>
                <w:sz w:val="20"/>
                <w:szCs w:val="20"/>
              </w:rPr>
              <w:t>Convertible at the option of the holders at issuance.</w:t>
            </w:r>
          </w:p>
        </w:tc>
      </w:tr>
      <w:tr w:rsidR="00000000" w14:paraId="6800BF07" w14:textId="77777777">
        <w:trPr>
          <w:divId w:val="911279972"/>
          <w:trHeight w:val="180"/>
          <w:tblCellSpacing w:w="0" w:type="dxa"/>
        </w:trPr>
        <w:tc>
          <w:tcPr>
            <w:tcW w:w="0" w:type="auto"/>
            <w:vAlign w:val="center"/>
            <w:hideMark/>
          </w:tcPr>
          <w:p w14:paraId="2943EE2C"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2E14CD73"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F1A88D8" w14:textId="77777777" w:rsidR="00000000" w:rsidRDefault="007E65A2">
            <w:pPr>
              <w:pStyle w:val="a3"/>
              <w:spacing w:before="0" w:beforeAutospacing="0" w:after="0" w:afterAutospacing="0"/>
              <w:jc w:val="both"/>
              <w:rPr>
                <w:sz w:val="20"/>
                <w:szCs w:val="20"/>
              </w:rPr>
            </w:pPr>
            <w:r>
              <w:rPr>
                <w:sz w:val="20"/>
                <w:szCs w:val="20"/>
              </w:rPr>
              <w:t xml:space="preserve">Conversion prices are typically based on the discounted (45% discount) average closing prices or lowest trading prices of the Company’s shares during various periods prior to conversion. </w:t>
            </w:r>
          </w:p>
        </w:tc>
      </w:tr>
      <w:tr w:rsidR="00000000" w14:paraId="039C35B0" w14:textId="77777777">
        <w:trPr>
          <w:divId w:val="911279972"/>
          <w:trHeight w:val="180"/>
          <w:tblCellSpacing w:w="0" w:type="dxa"/>
        </w:trPr>
        <w:tc>
          <w:tcPr>
            <w:tcW w:w="0" w:type="auto"/>
            <w:vAlign w:val="center"/>
            <w:hideMark/>
          </w:tcPr>
          <w:p w14:paraId="7FAD536B"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376634F2"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709F22A" w14:textId="77777777" w:rsidR="00000000" w:rsidRDefault="007E65A2">
            <w:pPr>
              <w:pStyle w:val="a3"/>
              <w:spacing w:before="0" w:beforeAutospacing="0" w:after="0" w:afterAutospacing="0"/>
              <w:jc w:val="both"/>
              <w:rPr>
                <w:sz w:val="20"/>
                <w:szCs w:val="20"/>
              </w:rPr>
            </w:pPr>
            <w:r>
              <w:rPr>
                <w:sz w:val="20"/>
                <w:szCs w:val="20"/>
              </w:rPr>
              <w:t>The note of $80,000 is the tranche of Note issued on June 25, 2018.</w:t>
            </w:r>
          </w:p>
        </w:tc>
      </w:tr>
    </w:tbl>
    <w:p w14:paraId="1AC46127" w14:textId="77777777" w:rsidR="00000000" w:rsidRDefault="007E65A2">
      <w:pPr>
        <w:pStyle w:val="a3"/>
        <w:spacing w:before="0" w:beforeAutospacing="0" w:after="0" w:afterAutospacing="0"/>
        <w:jc w:val="both"/>
        <w:divId w:val="911279972"/>
        <w:rPr>
          <w:sz w:val="20"/>
          <w:szCs w:val="20"/>
        </w:rPr>
      </w:pPr>
      <w:r>
        <w:rPr>
          <w:sz w:val="20"/>
          <w:szCs w:val="20"/>
        </w:rPr>
        <w:t> </w:t>
      </w:r>
    </w:p>
    <w:p w14:paraId="7ACFE231" w14:textId="77777777" w:rsidR="00000000" w:rsidRDefault="007E65A2">
      <w:pPr>
        <w:pStyle w:val="a3"/>
        <w:spacing w:before="0" w:beforeAutospacing="0" w:after="0" w:afterAutospacing="0"/>
        <w:jc w:val="both"/>
        <w:divId w:val="911279972"/>
        <w:rPr>
          <w:sz w:val="20"/>
          <w:szCs w:val="20"/>
        </w:rPr>
      </w:pPr>
      <w:r>
        <w:rPr>
          <w:sz w:val="20"/>
          <w:szCs w:val="20"/>
        </w:rPr>
        <w:t>Certain notes allow the Company to redeem the notes at rates ranging from 115% to 125% depending on the redemption date provided that no redemption is allowed after the 180th day. Likew</w:t>
      </w:r>
      <w:r>
        <w:rPr>
          <w:sz w:val="20"/>
          <w:szCs w:val="20"/>
        </w:rPr>
        <w:t>ise, the note includes original issue discounts and financing costs totaling to $5,000 and the Company received cash of $100,000. Certain convertible note was also provided with a total of 50,000,000 common shares and 800,000,000 warrants.</w:t>
      </w:r>
    </w:p>
    <w:p w14:paraId="14256784" w14:textId="77777777" w:rsidR="00000000" w:rsidRDefault="007E65A2">
      <w:pPr>
        <w:pStyle w:val="a3"/>
        <w:spacing w:before="0" w:beforeAutospacing="0" w:after="0" w:afterAutospacing="0"/>
        <w:jc w:val="both"/>
        <w:divId w:val="911279972"/>
        <w:rPr>
          <w:sz w:val="20"/>
          <w:szCs w:val="20"/>
        </w:rPr>
      </w:pPr>
      <w:r>
        <w:rPr>
          <w:sz w:val="20"/>
          <w:szCs w:val="20"/>
        </w:rPr>
        <w:t> </w:t>
      </w:r>
    </w:p>
    <w:p w14:paraId="7A00F436" w14:textId="77777777" w:rsidR="00000000" w:rsidRDefault="007E65A2">
      <w:pPr>
        <w:pStyle w:val="a3"/>
        <w:spacing w:before="0" w:beforeAutospacing="0" w:after="0" w:afterAutospacing="0"/>
        <w:jc w:val="both"/>
        <w:divId w:val="911279972"/>
        <w:rPr>
          <w:sz w:val="20"/>
          <w:szCs w:val="20"/>
        </w:rPr>
      </w:pPr>
      <w:r>
        <w:rPr>
          <w:i/>
          <w:iCs/>
          <w:sz w:val="20"/>
          <w:szCs w:val="20"/>
        </w:rPr>
        <w:t>Derivative lia</w:t>
      </w:r>
      <w:r>
        <w:rPr>
          <w:i/>
          <w:iCs/>
          <w:sz w:val="20"/>
          <w:szCs w:val="20"/>
        </w:rPr>
        <w:t>bilities</w:t>
      </w:r>
    </w:p>
    <w:p w14:paraId="11A5C3D7" w14:textId="77777777" w:rsidR="00000000" w:rsidRDefault="007E65A2">
      <w:pPr>
        <w:pStyle w:val="a3"/>
        <w:spacing w:before="0" w:beforeAutospacing="0" w:after="0" w:afterAutospacing="0"/>
        <w:jc w:val="both"/>
        <w:divId w:val="911279972"/>
        <w:rPr>
          <w:sz w:val="20"/>
          <w:szCs w:val="20"/>
        </w:rPr>
      </w:pPr>
      <w:r>
        <w:rPr>
          <w:sz w:val="20"/>
          <w:szCs w:val="20"/>
        </w:rPr>
        <w:t> </w:t>
      </w:r>
    </w:p>
    <w:p w14:paraId="1F56CB46" w14:textId="77777777" w:rsidR="00000000" w:rsidRDefault="007E65A2">
      <w:pPr>
        <w:pStyle w:val="a3"/>
        <w:spacing w:before="0" w:beforeAutospacing="0" w:after="0" w:afterAutospacing="0"/>
        <w:jc w:val="both"/>
        <w:divId w:val="911279972"/>
        <w:rPr>
          <w:sz w:val="20"/>
          <w:szCs w:val="20"/>
        </w:rPr>
      </w:pPr>
      <w:r>
        <w:rPr>
          <w:sz w:val="20"/>
          <w:szCs w:val="20"/>
        </w:rPr>
        <w:t>The Company determined that the exercise feature of the warrants met the definition of a liability in accordance with ASC Topic No. 815 - 40, Derivatives and Hedging - Contracts in Entity’s Own Stock. The Company will bifurcate the embedded conv</w:t>
      </w:r>
      <w:r>
        <w:rPr>
          <w:sz w:val="20"/>
          <w:szCs w:val="20"/>
        </w:rPr>
        <w:t>ersion option in the note once the note becomes convertible and account for it as a derivative liability. The fair value of the warrants was recorded as a debt discount being amortized to interest expense over the term of the note.</w:t>
      </w:r>
    </w:p>
    <w:p w14:paraId="5FC110CC" w14:textId="77777777" w:rsidR="00000000" w:rsidRDefault="007E65A2">
      <w:pPr>
        <w:pStyle w:val="a3"/>
        <w:spacing w:before="0" w:beforeAutospacing="0" w:after="0" w:afterAutospacing="0"/>
        <w:jc w:val="both"/>
        <w:divId w:val="911279972"/>
        <w:rPr>
          <w:sz w:val="20"/>
          <w:szCs w:val="20"/>
        </w:rPr>
      </w:pPr>
      <w:r>
        <w:rPr>
          <w:sz w:val="20"/>
          <w:szCs w:val="20"/>
        </w:rPr>
        <w:t> </w:t>
      </w:r>
    </w:p>
    <w:p w14:paraId="0CAE502F" w14:textId="77777777" w:rsidR="00000000" w:rsidRDefault="007E65A2">
      <w:pPr>
        <w:pStyle w:val="a3"/>
        <w:spacing w:before="0" w:beforeAutospacing="0" w:after="0" w:afterAutospacing="0"/>
        <w:jc w:val="both"/>
        <w:divId w:val="911279972"/>
        <w:rPr>
          <w:sz w:val="20"/>
          <w:szCs w:val="20"/>
        </w:rPr>
      </w:pPr>
      <w:r>
        <w:rPr>
          <w:sz w:val="20"/>
          <w:szCs w:val="20"/>
        </w:rPr>
        <w:t>The Company valued the</w:t>
      </w:r>
      <w:r>
        <w:rPr>
          <w:sz w:val="20"/>
          <w:szCs w:val="20"/>
        </w:rPr>
        <w:t xml:space="preserve"> conversion features using the Black Scholes valuation model. The fair value of the derivative liability for all the note and warrants that became convertible for the year ended June 30, 2018 amounted to $965,401. $277,167 of the value assigned to the deri</w:t>
      </w:r>
      <w:r>
        <w:rPr>
          <w:sz w:val="20"/>
          <w:szCs w:val="20"/>
        </w:rPr>
        <w:t>vative liability was recognized as a debt discount to the notes while the balance of $688,234 was recognized as a “day 1” derivative loss.</w:t>
      </w:r>
    </w:p>
    <w:p w14:paraId="1646C809" w14:textId="77777777" w:rsidR="00000000" w:rsidRDefault="007E65A2">
      <w:pPr>
        <w:pStyle w:val="a3"/>
        <w:spacing w:before="0" w:beforeAutospacing="0" w:after="0" w:afterAutospacing="0"/>
        <w:jc w:val="both"/>
        <w:divId w:val="911279972"/>
        <w:rPr>
          <w:sz w:val="20"/>
          <w:szCs w:val="20"/>
        </w:rPr>
      </w:pPr>
      <w:r>
        <w:rPr>
          <w:sz w:val="20"/>
          <w:szCs w:val="20"/>
        </w:rPr>
        <w:t> </w:t>
      </w:r>
    </w:p>
    <w:p w14:paraId="3474B426" w14:textId="77777777" w:rsidR="00000000" w:rsidRDefault="007E65A2">
      <w:pPr>
        <w:pStyle w:val="a3"/>
        <w:spacing w:before="0" w:beforeAutospacing="0" w:after="0" w:afterAutospacing="0"/>
        <w:jc w:val="both"/>
        <w:divId w:val="911279972"/>
        <w:rPr>
          <w:sz w:val="20"/>
          <w:szCs w:val="20"/>
        </w:rPr>
      </w:pPr>
      <w:r>
        <w:rPr>
          <w:sz w:val="20"/>
          <w:szCs w:val="20"/>
        </w:rPr>
        <w:t>The fair value of the derivative liability for all the note that became convertible for the year ended June 30, 201</w:t>
      </w:r>
      <w:r>
        <w:rPr>
          <w:sz w:val="20"/>
          <w:szCs w:val="20"/>
        </w:rPr>
        <w:t>9 amounted to $387,038. $85,000 of the value assigned to the derivative liability was recognized as a debt discount to the notes while the balance of $302,038 was recognized as a “day 1” derivative loss.</w:t>
      </w:r>
    </w:p>
    <w:p w14:paraId="7C2FD617" w14:textId="77777777" w:rsidR="00000000" w:rsidRDefault="007E65A2">
      <w:pPr>
        <w:pStyle w:val="a3"/>
        <w:spacing w:before="0" w:beforeAutospacing="0" w:after="0" w:afterAutospacing="0"/>
        <w:jc w:val="both"/>
        <w:divId w:val="911279972"/>
        <w:rPr>
          <w:sz w:val="20"/>
          <w:szCs w:val="20"/>
        </w:rPr>
      </w:pPr>
      <w:r>
        <w:rPr>
          <w:sz w:val="20"/>
          <w:szCs w:val="20"/>
        </w:rPr>
        <w:t> </w:t>
      </w:r>
    </w:p>
    <w:p w14:paraId="52352AB6" w14:textId="77777777" w:rsidR="00000000" w:rsidRDefault="007E65A2">
      <w:pPr>
        <w:pStyle w:val="a3"/>
        <w:spacing w:before="0" w:beforeAutospacing="0" w:after="0" w:afterAutospacing="0"/>
        <w:jc w:val="both"/>
        <w:divId w:val="911279972"/>
        <w:rPr>
          <w:sz w:val="20"/>
          <w:szCs w:val="20"/>
        </w:rPr>
      </w:pPr>
      <w:r>
        <w:rPr>
          <w:i/>
          <w:iCs/>
          <w:sz w:val="20"/>
          <w:szCs w:val="20"/>
        </w:rPr>
        <w:t>Warrants</w:t>
      </w:r>
    </w:p>
    <w:p w14:paraId="5CB479C8" w14:textId="77777777" w:rsidR="00000000" w:rsidRDefault="007E65A2">
      <w:pPr>
        <w:pStyle w:val="a3"/>
        <w:spacing w:before="0" w:beforeAutospacing="0" w:after="0" w:afterAutospacing="0"/>
        <w:jc w:val="both"/>
        <w:divId w:val="911279972"/>
        <w:rPr>
          <w:sz w:val="20"/>
          <w:szCs w:val="20"/>
        </w:rPr>
      </w:pPr>
      <w:r>
        <w:rPr>
          <w:sz w:val="20"/>
          <w:szCs w:val="20"/>
        </w:rPr>
        <w:t> </w:t>
      </w:r>
    </w:p>
    <w:p w14:paraId="12B0DC8E" w14:textId="77777777" w:rsidR="00000000" w:rsidRDefault="007E65A2">
      <w:pPr>
        <w:pStyle w:val="a3"/>
        <w:spacing w:before="0" w:beforeAutospacing="0" w:after="0" w:afterAutospacing="0"/>
        <w:jc w:val="both"/>
        <w:divId w:val="911279972"/>
        <w:rPr>
          <w:sz w:val="20"/>
          <w:szCs w:val="20"/>
        </w:rPr>
      </w:pPr>
      <w:r>
        <w:rPr>
          <w:sz w:val="20"/>
          <w:szCs w:val="20"/>
        </w:rPr>
        <w:t>The Company identified conversion featu</w:t>
      </w:r>
      <w:r>
        <w:rPr>
          <w:sz w:val="20"/>
          <w:szCs w:val="20"/>
        </w:rPr>
        <w:t xml:space="preserve">res embedded within certain notes and warrants issued during the year ended June 30, 2018. The Company has determined that the conversion feature of the Notes represents an embedded derivative since the conversion price is variable and the Notes include a </w:t>
      </w:r>
      <w:r>
        <w:rPr>
          <w:sz w:val="20"/>
          <w:szCs w:val="20"/>
        </w:rPr>
        <w:t>reset provision which could cause adjustments upon conversion. Accordingly, the Notes are not considered to be conventional debt and the embedded conversion feature must be bifurcated from the debt host and accounted for as a derivative liability. The warr</w:t>
      </w:r>
      <w:r>
        <w:rPr>
          <w:sz w:val="20"/>
          <w:szCs w:val="20"/>
        </w:rPr>
        <w:t>ants are exercisable into 42,500,000 shares of common stock, for a period of five and three years from issuance, at a price of $0.0005 and $0.0001 per share. As a result of the reset features, the warrants increased by 193,181,818 and 150,681,818 for the y</w:t>
      </w:r>
      <w:r>
        <w:rPr>
          <w:sz w:val="20"/>
          <w:szCs w:val="20"/>
        </w:rPr>
        <w:t xml:space="preserve">ear ended June 30, 2019 and 2018, respectively, and the total warrants exercisable into 386,636,636 shares of common stock at $0.000055 per share as of June 30, 2019. The reset feature of warrants associated with this convertible note was effective at the </w:t>
      </w:r>
      <w:r>
        <w:rPr>
          <w:sz w:val="20"/>
          <w:szCs w:val="20"/>
        </w:rPr>
        <w:t>time that a separate convertible note with lower exercise price was issued. We accounted for the issuance of the Warrants as a derivative.</w:t>
      </w:r>
    </w:p>
    <w:p w14:paraId="2609E078" w14:textId="77777777" w:rsidR="00000000" w:rsidRDefault="007E65A2">
      <w:pPr>
        <w:pStyle w:val="a3"/>
        <w:spacing w:before="0" w:beforeAutospacing="0" w:after="0" w:afterAutospacing="0"/>
        <w:jc w:val="both"/>
        <w:divId w:val="911279972"/>
        <w:rPr>
          <w:sz w:val="20"/>
          <w:szCs w:val="20"/>
        </w:rPr>
      </w:pPr>
      <w:r>
        <w:rPr>
          <w:sz w:val="20"/>
          <w:szCs w:val="20"/>
        </w:rPr>
        <w:t> </w:t>
      </w:r>
    </w:p>
    <w:p w14:paraId="63F52DDD"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the Company granted 800,000,000 warrants valued at $159,160 in conjunction wit</w:t>
      </w:r>
      <w:r>
        <w:rPr>
          <w:sz w:val="20"/>
          <w:szCs w:val="20"/>
        </w:rPr>
        <w:t>h second tranche of Bellridge convertible note. The expiry date of warrant is on June 25, 2021.</w:t>
      </w:r>
    </w:p>
    <w:p w14:paraId="4FED620F"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D175A4A" w14:textId="77777777">
        <w:trPr>
          <w:divId w:val="911279972"/>
          <w:tblCellSpacing w:w="0" w:type="dxa"/>
        </w:trPr>
        <w:tc>
          <w:tcPr>
            <w:tcW w:w="0" w:type="auto"/>
            <w:vAlign w:val="center"/>
            <w:hideMark/>
          </w:tcPr>
          <w:p w14:paraId="60D7AD11" w14:textId="77777777" w:rsidR="00000000" w:rsidRDefault="007E65A2">
            <w:pPr>
              <w:rPr>
                <w:rFonts w:eastAsia="Times New Roman"/>
                <w:sz w:val="20"/>
                <w:szCs w:val="20"/>
              </w:rPr>
            </w:pPr>
            <w:r>
              <w:rPr>
                <w:rFonts w:eastAsia="Times New Roman"/>
                <w:sz w:val="20"/>
                <w:szCs w:val="20"/>
              </w:rPr>
              <w:t> </w:t>
            </w:r>
          </w:p>
        </w:tc>
      </w:tr>
      <w:tr w:rsidR="00000000" w14:paraId="6AB58B37" w14:textId="77777777">
        <w:trPr>
          <w:divId w:val="911279972"/>
          <w:tblCellSpacing w:w="0" w:type="dxa"/>
        </w:trPr>
        <w:tc>
          <w:tcPr>
            <w:tcW w:w="0" w:type="auto"/>
            <w:tcBorders>
              <w:bottom w:val="single" w:sz="6" w:space="0" w:color="000000"/>
            </w:tcBorders>
            <w:vAlign w:val="center"/>
            <w:hideMark/>
          </w:tcPr>
          <w:p w14:paraId="13EF9F0E" w14:textId="77777777" w:rsidR="00000000" w:rsidRDefault="007E65A2">
            <w:pPr>
              <w:jc w:val="center"/>
              <w:rPr>
                <w:rFonts w:eastAsia="Times New Roman"/>
                <w:sz w:val="20"/>
                <w:szCs w:val="20"/>
              </w:rPr>
            </w:pPr>
            <w:r>
              <w:rPr>
                <w:rFonts w:eastAsia="Times New Roman"/>
                <w:sz w:val="20"/>
                <w:szCs w:val="20"/>
              </w:rPr>
              <w:t>F-14</w:t>
            </w:r>
          </w:p>
        </w:tc>
      </w:tr>
      <w:tr w:rsidR="00000000" w14:paraId="19DB9748" w14:textId="77777777">
        <w:trPr>
          <w:divId w:val="911279972"/>
          <w:tblCellSpacing w:w="0" w:type="dxa"/>
        </w:trPr>
        <w:tc>
          <w:tcPr>
            <w:tcW w:w="0" w:type="auto"/>
            <w:vAlign w:val="center"/>
            <w:hideMark/>
          </w:tcPr>
          <w:p w14:paraId="51AAA07C" w14:textId="77777777" w:rsidR="00000000" w:rsidRDefault="007E65A2">
            <w:pPr>
              <w:rPr>
                <w:rFonts w:eastAsia="Times New Roman"/>
                <w:sz w:val="20"/>
                <w:szCs w:val="20"/>
              </w:rPr>
            </w:pPr>
            <w:r>
              <w:rPr>
                <w:rFonts w:eastAsia="Times New Roman"/>
                <w:sz w:val="20"/>
                <w:szCs w:val="20"/>
              </w:rPr>
              <w:t> </w:t>
            </w:r>
          </w:p>
        </w:tc>
      </w:tr>
      <w:tr w:rsidR="00000000" w14:paraId="04E0A7DD" w14:textId="77777777">
        <w:trPr>
          <w:divId w:val="911279972"/>
          <w:tblCellSpacing w:w="0" w:type="dxa"/>
        </w:trPr>
        <w:tc>
          <w:tcPr>
            <w:tcW w:w="0" w:type="auto"/>
            <w:vAlign w:val="center"/>
            <w:hideMark/>
          </w:tcPr>
          <w:p w14:paraId="18475DA8"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399474BF" w14:textId="77777777" w:rsidR="00000000" w:rsidRDefault="007E65A2">
      <w:pPr>
        <w:pStyle w:val="a3"/>
        <w:spacing w:before="0" w:beforeAutospacing="0" w:after="0" w:afterAutospacing="0"/>
        <w:jc w:val="both"/>
        <w:divId w:val="911279972"/>
        <w:rPr>
          <w:sz w:val="20"/>
          <w:szCs w:val="20"/>
        </w:rPr>
      </w:pPr>
      <w:r>
        <w:rPr>
          <w:sz w:val="20"/>
          <w:szCs w:val="20"/>
        </w:rPr>
        <w:t> </w:t>
      </w:r>
    </w:p>
    <w:p w14:paraId="0F4F845A" w14:textId="77777777" w:rsidR="00000000" w:rsidRDefault="007E65A2">
      <w:pPr>
        <w:pStyle w:val="a3"/>
        <w:spacing w:before="0" w:beforeAutospacing="0" w:after="0" w:afterAutospacing="0"/>
        <w:jc w:val="both"/>
        <w:divId w:val="911279972"/>
        <w:rPr>
          <w:sz w:val="20"/>
          <w:szCs w:val="20"/>
        </w:rPr>
      </w:pPr>
      <w:r>
        <w:rPr>
          <w:sz w:val="20"/>
          <w:szCs w:val="20"/>
        </w:rPr>
        <w:t>A summary of activity during the year ended June 30, 2019 and 2018 follows:</w:t>
      </w:r>
    </w:p>
    <w:p w14:paraId="789536AD"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018"/>
        <w:gridCol w:w="50"/>
        <w:gridCol w:w="50"/>
        <w:gridCol w:w="1150"/>
        <w:gridCol w:w="50"/>
        <w:gridCol w:w="50"/>
        <w:gridCol w:w="101"/>
        <w:gridCol w:w="787"/>
        <w:gridCol w:w="50"/>
      </w:tblGrid>
      <w:tr w:rsidR="00000000" w14:paraId="25DD9FD6" w14:textId="77777777">
        <w:trPr>
          <w:divId w:val="911279972"/>
          <w:tblCellSpacing w:w="0" w:type="dxa"/>
        </w:trPr>
        <w:tc>
          <w:tcPr>
            <w:tcW w:w="0" w:type="auto"/>
            <w:vAlign w:val="bottom"/>
            <w:hideMark/>
          </w:tcPr>
          <w:p w14:paraId="0F5F7DB7"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5D669A7D"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4441926A" w14:textId="77777777" w:rsidR="00000000" w:rsidRDefault="007E65A2">
            <w:pPr>
              <w:pStyle w:val="a3"/>
              <w:spacing w:before="0" w:beforeAutospacing="0" w:after="0" w:afterAutospacing="0"/>
              <w:jc w:val="center"/>
              <w:rPr>
                <w:sz w:val="20"/>
                <w:szCs w:val="20"/>
              </w:rPr>
            </w:pPr>
            <w:r>
              <w:rPr>
                <w:b/>
                <w:bCs/>
                <w:sz w:val="20"/>
                <w:szCs w:val="20"/>
              </w:rPr>
              <w:t>Warrants Outstanding</w:t>
            </w:r>
          </w:p>
        </w:tc>
        <w:tc>
          <w:tcPr>
            <w:tcW w:w="0" w:type="auto"/>
            <w:vAlign w:val="bottom"/>
            <w:hideMark/>
          </w:tcPr>
          <w:p w14:paraId="229AC0A8" w14:textId="77777777" w:rsidR="00000000" w:rsidRDefault="007E65A2">
            <w:pPr>
              <w:pStyle w:val="a3"/>
              <w:spacing w:before="0" w:beforeAutospacing="0" w:after="0" w:afterAutospacing="0"/>
              <w:jc w:val="both"/>
              <w:rPr>
                <w:sz w:val="20"/>
                <w:szCs w:val="20"/>
              </w:rPr>
            </w:pPr>
            <w:r>
              <w:rPr>
                <w:b/>
                <w:bCs/>
                <w:sz w:val="20"/>
                <w:szCs w:val="20"/>
              </w:rPr>
              <w:t> </w:t>
            </w:r>
          </w:p>
        </w:tc>
      </w:tr>
      <w:tr w:rsidR="00000000" w14:paraId="62A75C4C" w14:textId="77777777">
        <w:trPr>
          <w:divId w:val="911279972"/>
          <w:tblCellSpacing w:w="0" w:type="dxa"/>
        </w:trPr>
        <w:tc>
          <w:tcPr>
            <w:tcW w:w="0" w:type="auto"/>
            <w:vAlign w:val="bottom"/>
            <w:hideMark/>
          </w:tcPr>
          <w:p w14:paraId="42498E10"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1ADBD3EE"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7E5E1C50" w14:textId="77777777" w:rsidR="00000000" w:rsidRDefault="007E65A2">
            <w:pPr>
              <w:rPr>
                <w:sz w:val="20"/>
                <w:szCs w:val="20"/>
              </w:rPr>
            </w:pPr>
          </w:p>
        </w:tc>
        <w:tc>
          <w:tcPr>
            <w:tcW w:w="0" w:type="auto"/>
            <w:vAlign w:val="bottom"/>
            <w:hideMark/>
          </w:tcPr>
          <w:p w14:paraId="7B711482"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3C2CAB59"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18B6535F" w14:textId="77777777" w:rsidR="00000000" w:rsidRDefault="007E65A2">
            <w:pPr>
              <w:pStyle w:val="a3"/>
              <w:spacing w:before="0" w:beforeAutospacing="0" w:after="0" w:afterAutospacing="0"/>
              <w:jc w:val="center"/>
              <w:rPr>
                <w:sz w:val="20"/>
                <w:szCs w:val="20"/>
              </w:rPr>
            </w:pPr>
            <w:r>
              <w:rPr>
                <w:b/>
                <w:bCs/>
                <w:sz w:val="20"/>
                <w:szCs w:val="20"/>
              </w:rPr>
              <w:t>Weighted Average</w:t>
            </w:r>
          </w:p>
        </w:tc>
        <w:tc>
          <w:tcPr>
            <w:tcW w:w="0" w:type="auto"/>
            <w:tcMar>
              <w:top w:w="0" w:type="dxa"/>
              <w:left w:w="0" w:type="dxa"/>
              <w:bottom w:w="15" w:type="dxa"/>
              <w:right w:w="0" w:type="dxa"/>
            </w:tcMar>
            <w:vAlign w:val="bottom"/>
            <w:hideMark/>
          </w:tcPr>
          <w:p w14:paraId="25A9156A" w14:textId="77777777" w:rsidR="00000000" w:rsidRDefault="007E65A2">
            <w:pPr>
              <w:pStyle w:val="a3"/>
              <w:spacing w:before="0" w:beforeAutospacing="0" w:after="0" w:afterAutospacing="0"/>
              <w:jc w:val="both"/>
              <w:rPr>
                <w:sz w:val="20"/>
                <w:szCs w:val="20"/>
              </w:rPr>
            </w:pPr>
            <w:r>
              <w:rPr>
                <w:b/>
                <w:bCs/>
                <w:sz w:val="20"/>
                <w:szCs w:val="20"/>
              </w:rPr>
              <w:t> </w:t>
            </w:r>
          </w:p>
        </w:tc>
      </w:tr>
      <w:tr w:rsidR="00000000" w14:paraId="19385082" w14:textId="77777777">
        <w:trPr>
          <w:divId w:val="911279972"/>
          <w:tblCellSpacing w:w="0" w:type="dxa"/>
        </w:trPr>
        <w:tc>
          <w:tcPr>
            <w:tcW w:w="0" w:type="auto"/>
            <w:vAlign w:val="bottom"/>
            <w:hideMark/>
          </w:tcPr>
          <w:p w14:paraId="498CB2D0"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35B4C249"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000000"/>
            </w:tcBorders>
            <w:vAlign w:val="bottom"/>
            <w:hideMark/>
          </w:tcPr>
          <w:p w14:paraId="728E337F" w14:textId="77777777" w:rsidR="00000000" w:rsidRDefault="007E65A2">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545A8C31"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30C113C9"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000000"/>
            </w:tcBorders>
            <w:vAlign w:val="bottom"/>
            <w:hideMark/>
          </w:tcPr>
          <w:p w14:paraId="7A20D3A4" w14:textId="77777777" w:rsidR="00000000" w:rsidRDefault="007E65A2">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15" w:type="dxa"/>
              <w:right w:w="0" w:type="dxa"/>
            </w:tcMar>
            <w:vAlign w:val="bottom"/>
            <w:hideMark/>
          </w:tcPr>
          <w:p w14:paraId="586441AC" w14:textId="77777777" w:rsidR="00000000" w:rsidRDefault="007E65A2">
            <w:pPr>
              <w:pStyle w:val="a3"/>
              <w:spacing w:before="0" w:beforeAutospacing="0" w:after="0" w:afterAutospacing="0"/>
              <w:jc w:val="both"/>
              <w:rPr>
                <w:sz w:val="20"/>
                <w:szCs w:val="20"/>
              </w:rPr>
            </w:pPr>
            <w:r>
              <w:rPr>
                <w:sz w:val="20"/>
                <w:szCs w:val="20"/>
              </w:rPr>
              <w:t> </w:t>
            </w:r>
          </w:p>
        </w:tc>
      </w:tr>
      <w:tr w:rsidR="00000000" w14:paraId="50F17F6F" w14:textId="77777777">
        <w:trPr>
          <w:divId w:val="911279972"/>
          <w:tblCellSpacing w:w="0" w:type="dxa"/>
        </w:trPr>
        <w:tc>
          <w:tcPr>
            <w:tcW w:w="0" w:type="auto"/>
            <w:shd w:val="clear" w:color="auto" w:fill="CCEEFF"/>
            <w:hideMark/>
          </w:tcPr>
          <w:p w14:paraId="207549B8" w14:textId="77777777" w:rsidR="00000000" w:rsidRDefault="007E65A2">
            <w:pPr>
              <w:pStyle w:val="a3"/>
              <w:spacing w:before="0" w:beforeAutospacing="0" w:after="0" w:afterAutospacing="0"/>
              <w:jc w:val="both"/>
              <w:rPr>
                <w:sz w:val="20"/>
                <w:szCs w:val="20"/>
              </w:rPr>
            </w:pPr>
            <w:r>
              <w:rPr>
                <w:sz w:val="20"/>
                <w:szCs w:val="20"/>
              </w:rPr>
              <w:t>Outstanding, June 30, 2017</w:t>
            </w:r>
          </w:p>
        </w:tc>
        <w:tc>
          <w:tcPr>
            <w:tcW w:w="50" w:type="pct"/>
            <w:shd w:val="clear" w:color="auto" w:fill="CCEEFF"/>
            <w:vAlign w:val="bottom"/>
            <w:hideMark/>
          </w:tcPr>
          <w:p w14:paraId="4E99DE0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FE87A2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4A222ED" w14:textId="77777777" w:rsidR="00000000" w:rsidRDefault="007E65A2">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14:paraId="2B2296F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9067CC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8ED286C"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D347A11" w14:textId="77777777" w:rsidR="00000000" w:rsidRDefault="007E65A2">
            <w:pPr>
              <w:jc w:val="right"/>
              <w:rPr>
                <w:rFonts w:eastAsia="Times New Roman"/>
                <w:sz w:val="20"/>
                <w:szCs w:val="20"/>
              </w:rPr>
            </w:pPr>
            <w:r>
              <w:rPr>
                <w:rFonts w:eastAsia="Times New Roman"/>
                <w:sz w:val="20"/>
                <w:szCs w:val="20"/>
              </w:rPr>
              <w:t>0.03</w:t>
            </w:r>
          </w:p>
        </w:tc>
        <w:tc>
          <w:tcPr>
            <w:tcW w:w="50" w:type="pct"/>
            <w:shd w:val="clear" w:color="auto" w:fill="CCEEFF"/>
            <w:vAlign w:val="bottom"/>
            <w:hideMark/>
          </w:tcPr>
          <w:p w14:paraId="613BDF47" w14:textId="77777777" w:rsidR="00000000" w:rsidRDefault="007E65A2">
            <w:pPr>
              <w:pStyle w:val="a3"/>
              <w:spacing w:before="0" w:beforeAutospacing="0" w:after="0" w:afterAutospacing="0"/>
              <w:jc w:val="both"/>
              <w:rPr>
                <w:sz w:val="20"/>
                <w:szCs w:val="20"/>
              </w:rPr>
            </w:pPr>
            <w:r>
              <w:rPr>
                <w:sz w:val="20"/>
                <w:szCs w:val="20"/>
              </w:rPr>
              <w:t> </w:t>
            </w:r>
          </w:p>
        </w:tc>
      </w:tr>
      <w:tr w:rsidR="00000000" w14:paraId="6FFC3922" w14:textId="77777777">
        <w:trPr>
          <w:divId w:val="911279972"/>
          <w:tblCellSpacing w:w="0" w:type="dxa"/>
        </w:trPr>
        <w:tc>
          <w:tcPr>
            <w:tcW w:w="0" w:type="auto"/>
            <w:shd w:val="clear" w:color="auto" w:fill="FFFFFF"/>
            <w:vAlign w:val="center"/>
            <w:hideMark/>
          </w:tcPr>
          <w:p w14:paraId="5BB29A9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DE187D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0244B8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B720B0E"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11ED47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6CA43F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89E751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1FFF74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3BEF651" w14:textId="77777777" w:rsidR="00000000" w:rsidRDefault="007E65A2">
            <w:pPr>
              <w:pStyle w:val="a3"/>
              <w:spacing w:before="0" w:beforeAutospacing="0" w:after="0" w:afterAutospacing="0"/>
              <w:jc w:val="both"/>
              <w:rPr>
                <w:sz w:val="20"/>
                <w:szCs w:val="20"/>
              </w:rPr>
            </w:pPr>
            <w:r>
              <w:rPr>
                <w:sz w:val="20"/>
                <w:szCs w:val="20"/>
              </w:rPr>
              <w:t> </w:t>
            </w:r>
          </w:p>
        </w:tc>
      </w:tr>
      <w:tr w:rsidR="00000000" w14:paraId="4F40C2C6" w14:textId="77777777">
        <w:trPr>
          <w:divId w:val="911279972"/>
          <w:tblCellSpacing w:w="0" w:type="dxa"/>
        </w:trPr>
        <w:tc>
          <w:tcPr>
            <w:tcW w:w="0" w:type="auto"/>
            <w:shd w:val="clear" w:color="auto" w:fill="CCEEFF"/>
            <w:hideMark/>
          </w:tcPr>
          <w:p w14:paraId="3A28BC49" w14:textId="77777777" w:rsidR="00000000" w:rsidRDefault="007E65A2">
            <w:pPr>
              <w:pStyle w:val="a3"/>
              <w:spacing w:before="0" w:beforeAutospacing="0" w:after="0" w:afterAutospacing="0"/>
              <w:jc w:val="both"/>
              <w:rPr>
                <w:sz w:val="20"/>
                <w:szCs w:val="20"/>
              </w:rPr>
            </w:pPr>
            <w:r>
              <w:rPr>
                <w:sz w:val="20"/>
                <w:szCs w:val="20"/>
              </w:rPr>
              <w:t>Granted</w:t>
            </w:r>
          </w:p>
        </w:tc>
        <w:tc>
          <w:tcPr>
            <w:tcW w:w="50" w:type="pct"/>
            <w:shd w:val="clear" w:color="auto" w:fill="CCEEFF"/>
            <w:vAlign w:val="bottom"/>
            <w:hideMark/>
          </w:tcPr>
          <w:p w14:paraId="47CC002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82FBF5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ACD9778" w14:textId="77777777" w:rsidR="00000000" w:rsidRDefault="007E65A2">
            <w:pPr>
              <w:jc w:val="right"/>
              <w:rPr>
                <w:rFonts w:eastAsia="Times New Roman"/>
                <w:sz w:val="20"/>
                <w:szCs w:val="20"/>
              </w:rPr>
            </w:pPr>
            <w:r>
              <w:rPr>
                <w:rFonts w:eastAsia="Times New Roman"/>
                <w:sz w:val="20"/>
                <w:szCs w:val="20"/>
              </w:rPr>
              <w:t>437,235,000</w:t>
            </w:r>
          </w:p>
        </w:tc>
        <w:tc>
          <w:tcPr>
            <w:tcW w:w="50" w:type="pct"/>
            <w:shd w:val="clear" w:color="auto" w:fill="CCEEFF"/>
            <w:vAlign w:val="bottom"/>
            <w:hideMark/>
          </w:tcPr>
          <w:p w14:paraId="1C38CF7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A7B6E7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C4945C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20619B7" w14:textId="77777777" w:rsidR="00000000" w:rsidRDefault="007E65A2">
            <w:pPr>
              <w:jc w:val="right"/>
              <w:rPr>
                <w:rFonts w:eastAsia="Times New Roman"/>
                <w:sz w:val="20"/>
                <w:szCs w:val="20"/>
              </w:rPr>
            </w:pPr>
            <w:r>
              <w:rPr>
                <w:rFonts w:eastAsia="Times New Roman"/>
                <w:sz w:val="20"/>
                <w:szCs w:val="20"/>
              </w:rPr>
              <w:t>0.0002</w:t>
            </w:r>
          </w:p>
        </w:tc>
        <w:tc>
          <w:tcPr>
            <w:tcW w:w="50" w:type="pct"/>
            <w:shd w:val="clear" w:color="auto" w:fill="CCEEFF"/>
            <w:vAlign w:val="bottom"/>
            <w:hideMark/>
          </w:tcPr>
          <w:p w14:paraId="5F154D3B" w14:textId="77777777" w:rsidR="00000000" w:rsidRDefault="007E65A2">
            <w:pPr>
              <w:pStyle w:val="a3"/>
              <w:spacing w:before="0" w:beforeAutospacing="0" w:after="0" w:afterAutospacing="0"/>
              <w:jc w:val="both"/>
              <w:rPr>
                <w:sz w:val="20"/>
                <w:szCs w:val="20"/>
              </w:rPr>
            </w:pPr>
            <w:r>
              <w:rPr>
                <w:sz w:val="20"/>
                <w:szCs w:val="20"/>
              </w:rPr>
              <w:t> </w:t>
            </w:r>
          </w:p>
        </w:tc>
      </w:tr>
      <w:tr w:rsidR="00000000" w14:paraId="0FD593D9" w14:textId="77777777">
        <w:trPr>
          <w:divId w:val="911279972"/>
          <w:tblCellSpacing w:w="0" w:type="dxa"/>
        </w:trPr>
        <w:tc>
          <w:tcPr>
            <w:tcW w:w="0" w:type="auto"/>
            <w:shd w:val="clear" w:color="auto" w:fill="FFFFFF"/>
            <w:hideMark/>
          </w:tcPr>
          <w:p w14:paraId="027D06D1" w14:textId="77777777" w:rsidR="00000000" w:rsidRDefault="007E65A2">
            <w:pPr>
              <w:pStyle w:val="a3"/>
              <w:spacing w:before="0" w:beforeAutospacing="0" w:after="0" w:afterAutospacing="0"/>
              <w:jc w:val="both"/>
              <w:rPr>
                <w:sz w:val="20"/>
                <w:szCs w:val="20"/>
              </w:rPr>
            </w:pPr>
            <w:r>
              <w:rPr>
                <w:sz w:val="20"/>
                <w:szCs w:val="20"/>
              </w:rPr>
              <w:t>Reset feature</w:t>
            </w:r>
          </w:p>
        </w:tc>
        <w:tc>
          <w:tcPr>
            <w:tcW w:w="50" w:type="pct"/>
            <w:shd w:val="clear" w:color="auto" w:fill="FFFFFF"/>
            <w:vAlign w:val="bottom"/>
            <w:hideMark/>
          </w:tcPr>
          <w:p w14:paraId="117B2E1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DA3B14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BD4AC83" w14:textId="77777777" w:rsidR="00000000" w:rsidRDefault="007E65A2">
            <w:pPr>
              <w:jc w:val="right"/>
              <w:rPr>
                <w:rFonts w:eastAsia="Times New Roman"/>
                <w:sz w:val="20"/>
                <w:szCs w:val="20"/>
              </w:rPr>
            </w:pPr>
            <w:r>
              <w:rPr>
                <w:rFonts w:eastAsia="Times New Roman"/>
                <w:sz w:val="20"/>
                <w:szCs w:val="20"/>
              </w:rPr>
              <w:t>150,681,818</w:t>
            </w:r>
          </w:p>
        </w:tc>
        <w:tc>
          <w:tcPr>
            <w:tcW w:w="50" w:type="pct"/>
            <w:shd w:val="clear" w:color="auto" w:fill="FFFFFF"/>
            <w:vAlign w:val="bottom"/>
            <w:hideMark/>
          </w:tcPr>
          <w:p w14:paraId="38EAEE8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7CCF80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53CF4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342B89F" w14:textId="77777777" w:rsidR="00000000" w:rsidRDefault="007E65A2">
            <w:pPr>
              <w:jc w:val="right"/>
              <w:rPr>
                <w:rFonts w:eastAsia="Times New Roman"/>
                <w:sz w:val="20"/>
                <w:szCs w:val="20"/>
              </w:rPr>
            </w:pPr>
            <w:r>
              <w:rPr>
                <w:rFonts w:eastAsia="Times New Roman"/>
                <w:sz w:val="20"/>
                <w:szCs w:val="20"/>
              </w:rPr>
              <w:t>0.0001</w:t>
            </w:r>
          </w:p>
        </w:tc>
        <w:tc>
          <w:tcPr>
            <w:tcW w:w="50" w:type="pct"/>
            <w:shd w:val="clear" w:color="auto" w:fill="FFFFFF"/>
            <w:vAlign w:val="bottom"/>
            <w:hideMark/>
          </w:tcPr>
          <w:p w14:paraId="01B174AC" w14:textId="77777777" w:rsidR="00000000" w:rsidRDefault="007E65A2">
            <w:pPr>
              <w:pStyle w:val="a3"/>
              <w:spacing w:before="0" w:beforeAutospacing="0" w:after="0" w:afterAutospacing="0"/>
              <w:jc w:val="both"/>
              <w:rPr>
                <w:sz w:val="20"/>
                <w:szCs w:val="20"/>
              </w:rPr>
            </w:pPr>
            <w:r>
              <w:rPr>
                <w:sz w:val="20"/>
                <w:szCs w:val="20"/>
              </w:rPr>
              <w:t> </w:t>
            </w:r>
          </w:p>
        </w:tc>
      </w:tr>
      <w:tr w:rsidR="00000000" w14:paraId="4127F4EF" w14:textId="77777777">
        <w:trPr>
          <w:divId w:val="911279972"/>
          <w:tblCellSpacing w:w="0" w:type="dxa"/>
        </w:trPr>
        <w:tc>
          <w:tcPr>
            <w:tcW w:w="0" w:type="auto"/>
            <w:shd w:val="clear" w:color="auto" w:fill="CCEEFF"/>
            <w:hideMark/>
          </w:tcPr>
          <w:p w14:paraId="0F95A981" w14:textId="77777777" w:rsidR="00000000" w:rsidRDefault="007E65A2">
            <w:pPr>
              <w:pStyle w:val="a3"/>
              <w:spacing w:before="0" w:beforeAutospacing="0" w:after="0" w:afterAutospacing="0"/>
              <w:jc w:val="both"/>
              <w:rPr>
                <w:sz w:val="20"/>
                <w:szCs w:val="20"/>
              </w:rPr>
            </w:pPr>
            <w:r>
              <w:rPr>
                <w:sz w:val="20"/>
                <w:szCs w:val="20"/>
              </w:rPr>
              <w:t>Exercised</w:t>
            </w:r>
          </w:p>
        </w:tc>
        <w:tc>
          <w:tcPr>
            <w:tcW w:w="50" w:type="pct"/>
            <w:shd w:val="clear" w:color="auto" w:fill="CCEEFF"/>
            <w:vAlign w:val="bottom"/>
            <w:hideMark/>
          </w:tcPr>
          <w:p w14:paraId="7B9470C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8B7AE5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9A7A828"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FEABF9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BC646B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093185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618CCC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0755AC4" w14:textId="77777777" w:rsidR="00000000" w:rsidRDefault="007E65A2">
            <w:pPr>
              <w:pStyle w:val="a3"/>
              <w:spacing w:before="0" w:beforeAutospacing="0" w:after="0" w:afterAutospacing="0"/>
              <w:jc w:val="both"/>
              <w:rPr>
                <w:sz w:val="20"/>
                <w:szCs w:val="20"/>
              </w:rPr>
            </w:pPr>
            <w:r>
              <w:rPr>
                <w:sz w:val="20"/>
                <w:szCs w:val="20"/>
              </w:rPr>
              <w:t> </w:t>
            </w:r>
          </w:p>
        </w:tc>
      </w:tr>
      <w:tr w:rsidR="00000000" w14:paraId="1C20168C" w14:textId="77777777">
        <w:trPr>
          <w:divId w:val="911279972"/>
          <w:tblCellSpacing w:w="0" w:type="dxa"/>
        </w:trPr>
        <w:tc>
          <w:tcPr>
            <w:tcW w:w="0" w:type="auto"/>
            <w:shd w:val="clear" w:color="auto" w:fill="FFFFFF"/>
            <w:hideMark/>
          </w:tcPr>
          <w:p w14:paraId="34EC4599" w14:textId="77777777" w:rsidR="00000000" w:rsidRDefault="007E65A2">
            <w:pPr>
              <w:pStyle w:val="a3"/>
              <w:spacing w:before="0" w:beforeAutospacing="0" w:after="0" w:afterAutospacing="0"/>
              <w:jc w:val="both"/>
              <w:rPr>
                <w:sz w:val="20"/>
                <w:szCs w:val="20"/>
              </w:rPr>
            </w:pPr>
            <w:r>
              <w:rPr>
                <w:sz w:val="20"/>
                <w:szCs w:val="20"/>
              </w:rPr>
              <w:t>Forfeited/canceled</w:t>
            </w:r>
          </w:p>
        </w:tc>
        <w:tc>
          <w:tcPr>
            <w:tcW w:w="50" w:type="pct"/>
            <w:shd w:val="clear" w:color="auto" w:fill="FFFFFF"/>
            <w:vAlign w:val="bottom"/>
            <w:hideMark/>
          </w:tcPr>
          <w:p w14:paraId="6736D113"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3CFFC595"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3B4BAC63"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612121D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F1C00B5"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00540429"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32305BA8"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4390FCE" w14:textId="77777777" w:rsidR="00000000" w:rsidRDefault="007E65A2">
            <w:pPr>
              <w:pStyle w:val="a3"/>
              <w:spacing w:before="0" w:beforeAutospacing="0" w:after="0" w:afterAutospacing="0"/>
              <w:jc w:val="both"/>
              <w:rPr>
                <w:sz w:val="20"/>
                <w:szCs w:val="20"/>
              </w:rPr>
            </w:pPr>
            <w:r>
              <w:rPr>
                <w:sz w:val="20"/>
                <w:szCs w:val="20"/>
              </w:rPr>
              <w:t> </w:t>
            </w:r>
          </w:p>
        </w:tc>
      </w:tr>
      <w:tr w:rsidR="00000000" w14:paraId="22D8A2F8" w14:textId="77777777">
        <w:trPr>
          <w:divId w:val="911279972"/>
          <w:tblCellSpacing w:w="0" w:type="dxa"/>
        </w:trPr>
        <w:tc>
          <w:tcPr>
            <w:tcW w:w="0" w:type="auto"/>
            <w:shd w:val="clear" w:color="auto" w:fill="CCEEFF"/>
            <w:hideMark/>
          </w:tcPr>
          <w:p w14:paraId="160DC1FE" w14:textId="77777777" w:rsidR="00000000" w:rsidRDefault="007E65A2">
            <w:pPr>
              <w:pStyle w:val="a3"/>
              <w:spacing w:before="0" w:beforeAutospacing="0" w:after="0" w:afterAutospacing="0"/>
              <w:jc w:val="both"/>
              <w:rPr>
                <w:sz w:val="20"/>
                <w:szCs w:val="20"/>
              </w:rPr>
            </w:pPr>
            <w:r>
              <w:rPr>
                <w:sz w:val="20"/>
                <w:szCs w:val="20"/>
              </w:rPr>
              <w:t>Outstanding, June 30, 2018</w:t>
            </w:r>
          </w:p>
        </w:tc>
        <w:tc>
          <w:tcPr>
            <w:tcW w:w="50" w:type="pct"/>
            <w:shd w:val="clear" w:color="auto" w:fill="CCEEFF"/>
            <w:vAlign w:val="bottom"/>
            <w:hideMark/>
          </w:tcPr>
          <w:p w14:paraId="28D7EB8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E73E4C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F1D53E1" w14:textId="77777777" w:rsidR="00000000" w:rsidRDefault="007E65A2">
            <w:pPr>
              <w:jc w:val="right"/>
              <w:rPr>
                <w:rFonts w:eastAsia="Times New Roman"/>
                <w:sz w:val="20"/>
                <w:szCs w:val="20"/>
              </w:rPr>
            </w:pPr>
            <w:r>
              <w:rPr>
                <w:rFonts w:eastAsia="Times New Roman"/>
                <w:sz w:val="20"/>
                <w:szCs w:val="20"/>
              </w:rPr>
              <w:t>592,916,818</w:t>
            </w:r>
          </w:p>
        </w:tc>
        <w:tc>
          <w:tcPr>
            <w:tcW w:w="50" w:type="pct"/>
            <w:shd w:val="clear" w:color="auto" w:fill="CCEEFF"/>
            <w:tcMar>
              <w:top w:w="0" w:type="dxa"/>
              <w:left w:w="0" w:type="dxa"/>
              <w:bottom w:w="15" w:type="dxa"/>
              <w:right w:w="0" w:type="dxa"/>
            </w:tcMar>
            <w:vAlign w:val="bottom"/>
            <w:hideMark/>
          </w:tcPr>
          <w:p w14:paraId="6327BC9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67C107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90132C"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23C6171" w14:textId="77777777" w:rsidR="00000000" w:rsidRDefault="007E65A2">
            <w:pPr>
              <w:jc w:val="right"/>
              <w:rPr>
                <w:rFonts w:eastAsia="Times New Roman"/>
                <w:sz w:val="20"/>
                <w:szCs w:val="20"/>
              </w:rPr>
            </w:pPr>
            <w:r>
              <w:rPr>
                <w:rFonts w:eastAsia="Times New Roman"/>
                <w:sz w:val="20"/>
                <w:szCs w:val="20"/>
              </w:rPr>
              <w:t>0.0004</w:t>
            </w:r>
          </w:p>
        </w:tc>
        <w:tc>
          <w:tcPr>
            <w:tcW w:w="50" w:type="pct"/>
            <w:shd w:val="clear" w:color="auto" w:fill="CCEEFF"/>
            <w:tcMar>
              <w:top w:w="0" w:type="dxa"/>
              <w:left w:w="0" w:type="dxa"/>
              <w:bottom w:w="15" w:type="dxa"/>
              <w:right w:w="0" w:type="dxa"/>
            </w:tcMar>
            <w:vAlign w:val="bottom"/>
            <w:hideMark/>
          </w:tcPr>
          <w:p w14:paraId="3172F974" w14:textId="77777777" w:rsidR="00000000" w:rsidRDefault="007E65A2">
            <w:pPr>
              <w:pStyle w:val="a3"/>
              <w:spacing w:before="0" w:beforeAutospacing="0" w:after="0" w:afterAutospacing="0"/>
              <w:jc w:val="both"/>
              <w:rPr>
                <w:sz w:val="20"/>
                <w:szCs w:val="20"/>
              </w:rPr>
            </w:pPr>
            <w:r>
              <w:rPr>
                <w:sz w:val="20"/>
                <w:szCs w:val="20"/>
              </w:rPr>
              <w:t> </w:t>
            </w:r>
          </w:p>
        </w:tc>
      </w:tr>
      <w:tr w:rsidR="00000000" w14:paraId="4D2D3839" w14:textId="77777777">
        <w:trPr>
          <w:divId w:val="911279972"/>
          <w:tblCellSpacing w:w="0" w:type="dxa"/>
        </w:trPr>
        <w:tc>
          <w:tcPr>
            <w:tcW w:w="0" w:type="auto"/>
            <w:shd w:val="clear" w:color="auto" w:fill="FFFFFF"/>
            <w:hideMark/>
          </w:tcPr>
          <w:p w14:paraId="6BF0D709" w14:textId="77777777" w:rsidR="00000000" w:rsidRDefault="007E65A2">
            <w:pPr>
              <w:pStyle w:val="a3"/>
              <w:spacing w:before="0" w:beforeAutospacing="0" w:after="0" w:afterAutospacing="0"/>
              <w:jc w:val="both"/>
              <w:rPr>
                <w:sz w:val="20"/>
                <w:szCs w:val="20"/>
              </w:rPr>
            </w:pPr>
            <w:r>
              <w:rPr>
                <w:sz w:val="20"/>
                <w:szCs w:val="20"/>
              </w:rPr>
              <w:t xml:space="preserve">Granted </w:t>
            </w:r>
          </w:p>
        </w:tc>
        <w:tc>
          <w:tcPr>
            <w:tcW w:w="50" w:type="pct"/>
            <w:shd w:val="clear" w:color="auto" w:fill="FFFFFF"/>
            <w:vAlign w:val="bottom"/>
            <w:hideMark/>
          </w:tcPr>
          <w:p w14:paraId="1176776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8CF32B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FDA365C" w14:textId="77777777" w:rsidR="00000000" w:rsidRDefault="007E65A2">
            <w:pPr>
              <w:jc w:val="right"/>
              <w:rPr>
                <w:rFonts w:eastAsia="Times New Roman"/>
                <w:sz w:val="20"/>
                <w:szCs w:val="20"/>
              </w:rPr>
            </w:pPr>
            <w:r>
              <w:rPr>
                <w:rFonts w:eastAsia="Times New Roman"/>
                <w:sz w:val="20"/>
                <w:szCs w:val="20"/>
              </w:rPr>
              <w:t>800,000,000</w:t>
            </w:r>
          </w:p>
        </w:tc>
        <w:tc>
          <w:tcPr>
            <w:tcW w:w="50" w:type="pct"/>
            <w:shd w:val="clear" w:color="auto" w:fill="FFFFFF"/>
            <w:vAlign w:val="bottom"/>
            <w:hideMark/>
          </w:tcPr>
          <w:p w14:paraId="416415A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79F844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A2851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ED983E6"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9A5EACA" w14:textId="77777777" w:rsidR="00000000" w:rsidRDefault="007E65A2">
            <w:pPr>
              <w:pStyle w:val="a3"/>
              <w:spacing w:before="0" w:beforeAutospacing="0" w:after="0" w:afterAutospacing="0"/>
              <w:jc w:val="both"/>
              <w:rPr>
                <w:sz w:val="20"/>
                <w:szCs w:val="20"/>
              </w:rPr>
            </w:pPr>
            <w:r>
              <w:rPr>
                <w:sz w:val="20"/>
                <w:szCs w:val="20"/>
              </w:rPr>
              <w:t> </w:t>
            </w:r>
          </w:p>
        </w:tc>
      </w:tr>
      <w:tr w:rsidR="00000000" w14:paraId="561AC31A" w14:textId="77777777">
        <w:trPr>
          <w:divId w:val="911279972"/>
          <w:tblCellSpacing w:w="0" w:type="dxa"/>
        </w:trPr>
        <w:tc>
          <w:tcPr>
            <w:tcW w:w="0" w:type="auto"/>
            <w:shd w:val="clear" w:color="auto" w:fill="CCEEFF"/>
            <w:hideMark/>
          </w:tcPr>
          <w:p w14:paraId="5AD2D1AD" w14:textId="77777777" w:rsidR="00000000" w:rsidRDefault="007E65A2">
            <w:pPr>
              <w:pStyle w:val="a3"/>
              <w:spacing w:before="0" w:beforeAutospacing="0" w:after="0" w:afterAutospacing="0"/>
              <w:jc w:val="both"/>
              <w:rPr>
                <w:sz w:val="20"/>
                <w:szCs w:val="20"/>
              </w:rPr>
            </w:pPr>
            <w:r>
              <w:rPr>
                <w:sz w:val="20"/>
                <w:szCs w:val="20"/>
              </w:rPr>
              <w:t>Reset feature</w:t>
            </w:r>
          </w:p>
        </w:tc>
        <w:tc>
          <w:tcPr>
            <w:tcW w:w="50" w:type="pct"/>
            <w:shd w:val="clear" w:color="auto" w:fill="CCEEFF"/>
            <w:vAlign w:val="bottom"/>
            <w:hideMark/>
          </w:tcPr>
          <w:p w14:paraId="64C2B40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C8297F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90CA383" w14:textId="77777777" w:rsidR="00000000" w:rsidRDefault="007E65A2">
            <w:pPr>
              <w:jc w:val="right"/>
              <w:rPr>
                <w:rFonts w:eastAsia="Times New Roman"/>
                <w:sz w:val="20"/>
                <w:szCs w:val="20"/>
              </w:rPr>
            </w:pPr>
            <w:r>
              <w:rPr>
                <w:rFonts w:eastAsia="Times New Roman"/>
                <w:sz w:val="20"/>
                <w:szCs w:val="20"/>
              </w:rPr>
              <w:t>193,181,818</w:t>
            </w:r>
          </w:p>
        </w:tc>
        <w:tc>
          <w:tcPr>
            <w:tcW w:w="50" w:type="pct"/>
            <w:shd w:val="clear" w:color="auto" w:fill="CCEEFF"/>
            <w:vAlign w:val="bottom"/>
            <w:hideMark/>
          </w:tcPr>
          <w:p w14:paraId="54E9CF0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8B9063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D30DD7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6AD5535" w14:textId="77777777" w:rsidR="00000000" w:rsidRDefault="007E65A2">
            <w:pPr>
              <w:jc w:val="right"/>
              <w:rPr>
                <w:rFonts w:eastAsia="Times New Roman"/>
                <w:sz w:val="20"/>
                <w:szCs w:val="20"/>
              </w:rPr>
            </w:pPr>
            <w:r>
              <w:rPr>
                <w:rFonts w:eastAsia="Times New Roman"/>
                <w:sz w:val="20"/>
                <w:szCs w:val="20"/>
              </w:rPr>
              <w:t>0.0000</w:t>
            </w:r>
          </w:p>
        </w:tc>
        <w:tc>
          <w:tcPr>
            <w:tcW w:w="50" w:type="pct"/>
            <w:shd w:val="clear" w:color="auto" w:fill="CCEEFF"/>
            <w:vAlign w:val="bottom"/>
            <w:hideMark/>
          </w:tcPr>
          <w:p w14:paraId="32AA9B76" w14:textId="77777777" w:rsidR="00000000" w:rsidRDefault="007E65A2">
            <w:pPr>
              <w:pStyle w:val="a3"/>
              <w:spacing w:before="0" w:beforeAutospacing="0" w:after="0" w:afterAutospacing="0"/>
              <w:jc w:val="both"/>
              <w:rPr>
                <w:sz w:val="20"/>
                <w:szCs w:val="20"/>
              </w:rPr>
            </w:pPr>
            <w:r>
              <w:rPr>
                <w:sz w:val="20"/>
                <w:szCs w:val="20"/>
              </w:rPr>
              <w:t> </w:t>
            </w:r>
          </w:p>
        </w:tc>
      </w:tr>
      <w:tr w:rsidR="00000000" w14:paraId="70FC6046" w14:textId="77777777">
        <w:trPr>
          <w:divId w:val="911279972"/>
          <w:tblCellSpacing w:w="0" w:type="dxa"/>
        </w:trPr>
        <w:tc>
          <w:tcPr>
            <w:tcW w:w="0" w:type="auto"/>
            <w:shd w:val="clear" w:color="auto" w:fill="FFFFFF"/>
            <w:hideMark/>
          </w:tcPr>
          <w:p w14:paraId="5BBB8FFD" w14:textId="77777777" w:rsidR="00000000" w:rsidRDefault="007E65A2">
            <w:pPr>
              <w:pStyle w:val="a3"/>
              <w:spacing w:before="0" w:beforeAutospacing="0" w:after="0" w:afterAutospacing="0"/>
              <w:jc w:val="both"/>
              <w:rPr>
                <w:sz w:val="20"/>
                <w:szCs w:val="20"/>
              </w:rPr>
            </w:pPr>
            <w:r>
              <w:rPr>
                <w:sz w:val="20"/>
                <w:szCs w:val="20"/>
              </w:rPr>
              <w:t>Exercised</w:t>
            </w:r>
          </w:p>
        </w:tc>
        <w:tc>
          <w:tcPr>
            <w:tcW w:w="50" w:type="pct"/>
            <w:shd w:val="clear" w:color="auto" w:fill="FFFFFF"/>
            <w:vAlign w:val="bottom"/>
            <w:hideMark/>
          </w:tcPr>
          <w:p w14:paraId="458FCB0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86DB26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360E1FE"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6CAB44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973BE7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85DF86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80F4AED"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DBA592F" w14:textId="77777777" w:rsidR="00000000" w:rsidRDefault="007E65A2">
            <w:pPr>
              <w:pStyle w:val="a3"/>
              <w:spacing w:before="0" w:beforeAutospacing="0" w:after="0" w:afterAutospacing="0"/>
              <w:jc w:val="both"/>
              <w:rPr>
                <w:sz w:val="20"/>
                <w:szCs w:val="20"/>
              </w:rPr>
            </w:pPr>
            <w:r>
              <w:rPr>
                <w:sz w:val="20"/>
                <w:szCs w:val="20"/>
              </w:rPr>
              <w:t> </w:t>
            </w:r>
          </w:p>
        </w:tc>
      </w:tr>
      <w:tr w:rsidR="00000000" w14:paraId="6AEADF3B" w14:textId="77777777">
        <w:trPr>
          <w:divId w:val="911279972"/>
          <w:tblCellSpacing w:w="0" w:type="dxa"/>
        </w:trPr>
        <w:tc>
          <w:tcPr>
            <w:tcW w:w="0" w:type="auto"/>
            <w:shd w:val="clear" w:color="auto" w:fill="CCEEFF"/>
            <w:hideMark/>
          </w:tcPr>
          <w:p w14:paraId="1D06558B" w14:textId="77777777" w:rsidR="00000000" w:rsidRDefault="007E65A2">
            <w:pPr>
              <w:pStyle w:val="a3"/>
              <w:spacing w:before="0" w:beforeAutospacing="0" w:after="0" w:afterAutospacing="0"/>
              <w:jc w:val="both"/>
              <w:rPr>
                <w:sz w:val="20"/>
                <w:szCs w:val="20"/>
              </w:rPr>
            </w:pPr>
            <w:r>
              <w:rPr>
                <w:sz w:val="20"/>
                <w:szCs w:val="20"/>
              </w:rPr>
              <w:t>Forfeited/canceled</w:t>
            </w:r>
          </w:p>
        </w:tc>
        <w:tc>
          <w:tcPr>
            <w:tcW w:w="50" w:type="pct"/>
            <w:shd w:val="clear" w:color="auto" w:fill="CCEEFF"/>
            <w:vAlign w:val="bottom"/>
            <w:hideMark/>
          </w:tcPr>
          <w:p w14:paraId="170C6F91"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5320DEBF"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2F0E33C2"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EE4624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9C3975"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4654FF4A"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45D2A627"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D3D1211" w14:textId="77777777" w:rsidR="00000000" w:rsidRDefault="007E65A2">
            <w:pPr>
              <w:pStyle w:val="a3"/>
              <w:spacing w:before="0" w:beforeAutospacing="0" w:after="0" w:afterAutospacing="0"/>
              <w:jc w:val="both"/>
              <w:rPr>
                <w:sz w:val="20"/>
                <w:szCs w:val="20"/>
              </w:rPr>
            </w:pPr>
            <w:r>
              <w:rPr>
                <w:sz w:val="20"/>
                <w:szCs w:val="20"/>
              </w:rPr>
              <w:t> </w:t>
            </w:r>
          </w:p>
        </w:tc>
      </w:tr>
      <w:tr w:rsidR="00000000" w14:paraId="7AFF72B2" w14:textId="77777777">
        <w:trPr>
          <w:divId w:val="911279972"/>
          <w:tblCellSpacing w:w="0" w:type="dxa"/>
        </w:trPr>
        <w:tc>
          <w:tcPr>
            <w:tcW w:w="0" w:type="auto"/>
            <w:shd w:val="clear" w:color="auto" w:fill="FFFFFF"/>
            <w:hideMark/>
          </w:tcPr>
          <w:p w14:paraId="4F82B818" w14:textId="77777777" w:rsidR="00000000" w:rsidRDefault="007E65A2">
            <w:pPr>
              <w:pStyle w:val="a3"/>
              <w:spacing w:before="0" w:beforeAutospacing="0" w:after="0" w:afterAutospacing="0"/>
              <w:jc w:val="both"/>
              <w:rPr>
                <w:sz w:val="20"/>
                <w:szCs w:val="20"/>
              </w:rPr>
            </w:pPr>
            <w:r>
              <w:rPr>
                <w:sz w:val="20"/>
                <w:szCs w:val="20"/>
              </w:rPr>
              <w:t>Outstanding, June 30, 2019</w:t>
            </w:r>
          </w:p>
        </w:tc>
        <w:tc>
          <w:tcPr>
            <w:tcW w:w="50" w:type="pct"/>
            <w:shd w:val="clear" w:color="auto" w:fill="FFFFFF"/>
            <w:vAlign w:val="bottom"/>
            <w:hideMark/>
          </w:tcPr>
          <w:p w14:paraId="64DD4CA7"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18D29E01"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double" w:sz="6" w:space="0" w:color="000000"/>
            </w:tcBorders>
            <w:shd w:val="clear" w:color="auto" w:fill="FFFFFF"/>
            <w:vAlign w:val="bottom"/>
            <w:hideMark/>
          </w:tcPr>
          <w:p w14:paraId="63043F17" w14:textId="77777777" w:rsidR="00000000" w:rsidRDefault="007E65A2">
            <w:pPr>
              <w:jc w:val="right"/>
              <w:rPr>
                <w:rFonts w:eastAsia="Times New Roman"/>
                <w:sz w:val="20"/>
                <w:szCs w:val="20"/>
              </w:rPr>
            </w:pPr>
            <w:r>
              <w:rPr>
                <w:rFonts w:eastAsia="Times New Roman"/>
                <w:sz w:val="20"/>
                <w:szCs w:val="20"/>
              </w:rPr>
              <w:t>1,586,098,636</w:t>
            </w:r>
          </w:p>
        </w:tc>
        <w:tc>
          <w:tcPr>
            <w:tcW w:w="50" w:type="pct"/>
            <w:shd w:val="clear" w:color="auto" w:fill="FFFFFF"/>
            <w:tcMar>
              <w:top w:w="0" w:type="dxa"/>
              <w:left w:w="0" w:type="dxa"/>
              <w:bottom w:w="45" w:type="dxa"/>
              <w:right w:w="0" w:type="dxa"/>
            </w:tcMar>
            <w:vAlign w:val="bottom"/>
            <w:hideMark/>
          </w:tcPr>
          <w:p w14:paraId="34F52E1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CF544C7"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285C50C6"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8938488" w14:textId="77777777" w:rsidR="00000000" w:rsidRDefault="007E65A2">
            <w:pPr>
              <w:jc w:val="right"/>
              <w:rPr>
                <w:rFonts w:eastAsia="Times New Roman"/>
                <w:sz w:val="20"/>
                <w:szCs w:val="20"/>
              </w:rPr>
            </w:pPr>
            <w:r>
              <w:rPr>
                <w:rFonts w:eastAsia="Times New Roman"/>
                <w:sz w:val="20"/>
                <w:szCs w:val="20"/>
              </w:rPr>
              <w:t>0.0002</w:t>
            </w:r>
          </w:p>
        </w:tc>
        <w:tc>
          <w:tcPr>
            <w:tcW w:w="50" w:type="pct"/>
            <w:shd w:val="clear" w:color="auto" w:fill="FFFFFF"/>
            <w:tcMar>
              <w:top w:w="0" w:type="dxa"/>
              <w:left w:w="0" w:type="dxa"/>
              <w:bottom w:w="45" w:type="dxa"/>
              <w:right w:w="0" w:type="dxa"/>
            </w:tcMar>
            <w:vAlign w:val="bottom"/>
            <w:hideMark/>
          </w:tcPr>
          <w:p w14:paraId="4E5055FC" w14:textId="77777777" w:rsidR="00000000" w:rsidRDefault="007E65A2">
            <w:pPr>
              <w:pStyle w:val="a3"/>
              <w:spacing w:before="0" w:beforeAutospacing="0" w:after="0" w:afterAutospacing="0"/>
              <w:jc w:val="both"/>
              <w:rPr>
                <w:sz w:val="20"/>
                <w:szCs w:val="20"/>
              </w:rPr>
            </w:pPr>
            <w:r>
              <w:rPr>
                <w:sz w:val="20"/>
                <w:szCs w:val="20"/>
              </w:rPr>
              <w:t> </w:t>
            </w:r>
          </w:p>
        </w:tc>
      </w:tr>
    </w:tbl>
    <w:p w14:paraId="34E001D0" w14:textId="77777777" w:rsidR="00000000" w:rsidRDefault="007E65A2">
      <w:pPr>
        <w:pStyle w:val="a3"/>
        <w:spacing w:before="0" w:beforeAutospacing="0" w:after="0" w:afterAutospacing="0"/>
        <w:jc w:val="both"/>
        <w:divId w:val="911279972"/>
        <w:rPr>
          <w:sz w:val="20"/>
          <w:szCs w:val="20"/>
        </w:rPr>
      </w:pPr>
      <w:r>
        <w:rPr>
          <w:sz w:val="20"/>
          <w:szCs w:val="20"/>
        </w:rPr>
        <w:t> </w:t>
      </w:r>
    </w:p>
    <w:p w14:paraId="10B258D0" w14:textId="77777777" w:rsidR="00000000" w:rsidRDefault="007E65A2">
      <w:pPr>
        <w:pStyle w:val="a3"/>
        <w:spacing w:before="0" w:beforeAutospacing="0" w:after="0" w:afterAutospacing="0"/>
        <w:jc w:val="both"/>
        <w:divId w:val="911279972"/>
        <w:rPr>
          <w:sz w:val="20"/>
          <w:szCs w:val="20"/>
        </w:rPr>
      </w:pPr>
      <w:r>
        <w:rPr>
          <w:sz w:val="20"/>
          <w:szCs w:val="20"/>
        </w:rPr>
        <w:t>The following table summarizes information relating to outstanding and exercisable warrants as of June 30, 2019:</w:t>
      </w:r>
    </w:p>
    <w:p w14:paraId="2505EBA5"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0"/>
        <w:gridCol w:w="1266"/>
        <w:gridCol w:w="140"/>
        <w:gridCol w:w="141"/>
        <w:gridCol w:w="141"/>
        <w:gridCol w:w="1267"/>
        <w:gridCol w:w="141"/>
        <w:gridCol w:w="141"/>
        <w:gridCol w:w="141"/>
        <w:gridCol w:w="1267"/>
        <w:gridCol w:w="141"/>
        <w:gridCol w:w="141"/>
        <w:gridCol w:w="141"/>
        <w:gridCol w:w="1267"/>
        <w:gridCol w:w="141"/>
        <w:gridCol w:w="141"/>
        <w:gridCol w:w="141"/>
        <w:gridCol w:w="1267"/>
        <w:gridCol w:w="141"/>
      </w:tblGrid>
      <w:tr w:rsidR="00000000" w14:paraId="486C4C31" w14:textId="77777777">
        <w:trPr>
          <w:divId w:val="911279972"/>
          <w:tblCellSpacing w:w="0" w:type="dxa"/>
        </w:trPr>
        <w:tc>
          <w:tcPr>
            <w:tcW w:w="0" w:type="auto"/>
            <w:vAlign w:val="center"/>
            <w:hideMark/>
          </w:tcPr>
          <w:p w14:paraId="6F2DE8BD" w14:textId="77777777" w:rsidR="00000000" w:rsidRDefault="007E65A2">
            <w:pPr>
              <w:rPr>
                <w:sz w:val="20"/>
                <w:szCs w:val="20"/>
              </w:rPr>
            </w:pPr>
          </w:p>
        </w:tc>
        <w:tc>
          <w:tcPr>
            <w:tcW w:w="0" w:type="auto"/>
            <w:vAlign w:val="center"/>
            <w:hideMark/>
          </w:tcPr>
          <w:p w14:paraId="4F4685A8" w14:textId="77777777" w:rsidR="00000000" w:rsidRDefault="007E65A2">
            <w:pPr>
              <w:jc w:val="both"/>
              <w:rPr>
                <w:rFonts w:eastAsia="Times New Roman"/>
                <w:sz w:val="20"/>
                <w:szCs w:val="20"/>
              </w:rPr>
            </w:pPr>
          </w:p>
        </w:tc>
        <w:tc>
          <w:tcPr>
            <w:tcW w:w="0" w:type="auto"/>
            <w:gridSpan w:val="8"/>
            <w:tcBorders>
              <w:bottom w:val="single" w:sz="6" w:space="0" w:color="000000"/>
            </w:tcBorders>
            <w:vAlign w:val="bottom"/>
            <w:hideMark/>
          </w:tcPr>
          <w:p w14:paraId="5F82668E" w14:textId="77777777" w:rsidR="00000000" w:rsidRDefault="007E65A2">
            <w:pPr>
              <w:pStyle w:val="a3"/>
              <w:spacing w:before="0" w:beforeAutospacing="0" w:after="0" w:afterAutospacing="0"/>
              <w:jc w:val="center"/>
              <w:rPr>
                <w:sz w:val="20"/>
                <w:szCs w:val="20"/>
              </w:rPr>
            </w:pPr>
            <w:r>
              <w:rPr>
                <w:b/>
                <w:bCs/>
                <w:sz w:val="20"/>
                <w:szCs w:val="20"/>
              </w:rPr>
              <w:t>Warrants Outstanding</w:t>
            </w:r>
          </w:p>
        </w:tc>
        <w:tc>
          <w:tcPr>
            <w:tcW w:w="0" w:type="auto"/>
            <w:vAlign w:val="bottom"/>
            <w:hideMark/>
          </w:tcPr>
          <w:p w14:paraId="28A53E56"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vAlign w:val="bottom"/>
            <w:hideMark/>
          </w:tcPr>
          <w:p w14:paraId="66554088"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gridSpan w:val="6"/>
            <w:tcBorders>
              <w:bottom w:val="single" w:sz="6" w:space="0" w:color="000000"/>
            </w:tcBorders>
            <w:vAlign w:val="bottom"/>
            <w:hideMark/>
          </w:tcPr>
          <w:p w14:paraId="6F9992B2" w14:textId="77777777" w:rsidR="00000000" w:rsidRDefault="007E65A2">
            <w:pPr>
              <w:pStyle w:val="a3"/>
              <w:spacing w:before="0" w:beforeAutospacing="0" w:after="0" w:afterAutospacing="0"/>
              <w:jc w:val="center"/>
              <w:rPr>
                <w:sz w:val="20"/>
                <w:szCs w:val="20"/>
              </w:rPr>
            </w:pPr>
            <w:r>
              <w:rPr>
                <w:b/>
                <w:bCs/>
                <w:sz w:val="20"/>
                <w:szCs w:val="20"/>
              </w:rPr>
              <w:t>Warrants Exercisable</w:t>
            </w:r>
          </w:p>
        </w:tc>
        <w:tc>
          <w:tcPr>
            <w:tcW w:w="0" w:type="auto"/>
            <w:vAlign w:val="bottom"/>
            <w:hideMark/>
          </w:tcPr>
          <w:p w14:paraId="719DA914" w14:textId="77777777" w:rsidR="00000000" w:rsidRDefault="007E65A2">
            <w:pPr>
              <w:pStyle w:val="a3"/>
              <w:spacing w:before="0" w:beforeAutospacing="0" w:after="0" w:afterAutospacing="0"/>
              <w:jc w:val="center"/>
              <w:rPr>
                <w:sz w:val="20"/>
                <w:szCs w:val="20"/>
              </w:rPr>
            </w:pPr>
            <w:r>
              <w:rPr>
                <w:b/>
                <w:bCs/>
                <w:sz w:val="20"/>
                <w:szCs w:val="20"/>
              </w:rPr>
              <w:t> </w:t>
            </w:r>
          </w:p>
        </w:tc>
      </w:tr>
      <w:tr w:rsidR="00000000" w14:paraId="16331619" w14:textId="77777777">
        <w:trPr>
          <w:divId w:val="911279972"/>
          <w:tblCellSpacing w:w="0" w:type="dxa"/>
        </w:trPr>
        <w:tc>
          <w:tcPr>
            <w:tcW w:w="0" w:type="auto"/>
            <w:gridSpan w:val="2"/>
            <w:tcBorders>
              <w:bottom w:val="single" w:sz="6" w:space="0" w:color="000000"/>
            </w:tcBorders>
            <w:vAlign w:val="bottom"/>
            <w:hideMark/>
          </w:tcPr>
          <w:p w14:paraId="7DB3CB3D" w14:textId="77777777" w:rsidR="00000000" w:rsidRDefault="007E65A2">
            <w:pPr>
              <w:pStyle w:val="a3"/>
              <w:spacing w:before="0" w:beforeAutospacing="0" w:after="0" w:afterAutospacing="0"/>
              <w:jc w:val="center"/>
              <w:rPr>
                <w:sz w:val="20"/>
                <w:szCs w:val="20"/>
              </w:rPr>
            </w:pPr>
            <w:r>
              <w:rPr>
                <w:b/>
                <w:bCs/>
                <w:sz w:val="20"/>
                <w:szCs w:val="20"/>
              </w:rPr>
              <w:t>Number of</w:t>
            </w:r>
          </w:p>
          <w:p w14:paraId="7588E263" w14:textId="77777777" w:rsidR="00000000" w:rsidRDefault="007E65A2">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1F61DA4A"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vAlign w:val="bottom"/>
            <w:hideMark/>
          </w:tcPr>
          <w:p w14:paraId="08001922"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gridSpan w:val="2"/>
            <w:tcBorders>
              <w:bottom w:val="single" w:sz="6" w:space="0" w:color="000000"/>
            </w:tcBorders>
            <w:vAlign w:val="bottom"/>
            <w:hideMark/>
          </w:tcPr>
          <w:p w14:paraId="06D0F570" w14:textId="77777777" w:rsidR="00000000" w:rsidRDefault="007E65A2">
            <w:pPr>
              <w:pStyle w:val="a3"/>
              <w:spacing w:before="0" w:beforeAutospacing="0" w:after="0" w:afterAutospacing="0"/>
              <w:jc w:val="center"/>
              <w:rPr>
                <w:sz w:val="20"/>
                <w:szCs w:val="20"/>
              </w:rPr>
            </w:pPr>
            <w:r>
              <w:rPr>
                <w:b/>
                <w:bCs/>
                <w:sz w:val="20"/>
                <w:szCs w:val="20"/>
              </w:rPr>
              <w:t>Weighted Average</w:t>
            </w:r>
          </w:p>
          <w:p w14:paraId="19647320" w14:textId="77777777" w:rsidR="00000000" w:rsidRDefault="007E65A2">
            <w:pPr>
              <w:pStyle w:val="a3"/>
              <w:spacing w:before="0" w:beforeAutospacing="0" w:after="0" w:afterAutospacing="0"/>
              <w:jc w:val="center"/>
              <w:rPr>
                <w:sz w:val="20"/>
                <w:szCs w:val="20"/>
              </w:rPr>
            </w:pPr>
            <w:r>
              <w:rPr>
                <w:b/>
                <w:bCs/>
                <w:sz w:val="20"/>
                <w:szCs w:val="20"/>
              </w:rPr>
              <w:t>Remaining</w:t>
            </w:r>
          </w:p>
          <w:p w14:paraId="3DA15743" w14:textId="77777777" w:rsidR="00000000" w:rsidRDefault="007E65A2">
            <w:pPr>
              <w:pStyle w:val="a3"/>
              <w:spacing w:before="0" w:beforeAutospacing="0" w:after="0" w:afterAutospacing="0"/>
              <w:jc w:val="center"/>
              <w:rPr>
                <w:sz w:val="20"/>
                <w:szCs w:val="20"/>
              </w:rPr>
            </w:pPr>
            <w:r>
              <w:rPr>
                <w:b/>
                <w:bCs/>
                <w:sz w:val="20"/>
                <w:szCs w:val="20"/>
              </w:rPr>
              <w:t xml:space="preserve">Contractual life </w:t>
            </w:r>
          </w:p>
          <w:p w14:paraId="719D6780" w14:textId="77777777" w:rsidR="00000000" w:rsidRDefault="007E65A2">
            <w:pPr>
              <w:pStyle w:val="a3"/>
              <w:spacing w:before="0" w:beforeAutospacing="0" w:after="0" w:afterAutospacing="0"/>
              <w:jc w:val="center"/>
              <w:rPr>
                <w:sz w:val="20"/>
                <w:szCs w:val="20"/>
              </w:rPr>
            </w:pPr>
            <w:r>
              <w:rPr>
                <w:b/>
                <w:bCs/>
                <w:sz w:val="20"/>
                <w:szCs w:val="20"/>
              </w:rPr>
              <w:t>(in years)</w:t>
            </w:r>
          </w:p>
        </w:tc>
        <w:tc>
          <w:tcPr>
            <w:tcW w:w="0" w:type="auto"/>
            <w:tcMar>
              <w:top w:w="0" w:type="dxa"/>
              <w:left w:w="0" w:type="dxa"/>
              <w:bottom w:w="15" w:type="dxa"/>
              <w:right w:w="0" w:type="dxa"/>
            </w:tcMar>
            <w:vAlign w:val="bottom"/>
            <w:hideMark/>
          </w:tcPr>
          <w:p w14:paraId="3E988240"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vAlign w:val="bottom"/>
            <w:hideMark/>
          </w:tcPr>
          <w:p w14:paraId="7BC9A8B0"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gridSpan w:val="2"/>
            <w:tcBorders>
              <w:bottom w:val="single" w:sz="6" w:space="0" w:color="000000"/>
            </w:tcBorders>
            <w:vAlign w:val="bottom"/>
            <w:hideMark/>
          </w:tcPr>
          <w:p w14:paraId="0259672B" w14:textId="77777777" w:rsidR="00000000" w:rsidRDefault="007E65A2">
            <w:pPr>
              <w:pStyle w:val="a3"/>
              <w:spacing w:before="0" w:beforeAutospacing="0" w:after="0" w:afterAutospacing="0"/>
              <w:jc w:val="center"/>
              <w:rPr>
                <w:sz w:val="20"/>
                <w:szCs w:val="20"/>
              </w:rPr>
            </w:pPr>
            <w:r>
              <w:rPr>
                <w:b/>
                <w:bCs/>
                <w:sz w:val="20"/>
                <w:szCs w:val="20"/>
              </w:rPr>
              <w:t>Weighted</w:t>
            </w:r>
          </w:p>
          <w:p w14:paraId="3AD7A095" w14:textId="77777777" w:rsidR="00000000" w:rsidRDefault="007E65A2">
            <w:pPr>
              <w:pStyle w:val="a3"/>
              <w:spacing w:before="0" w:beforeAutospacing="0" w:after="0" w:afterAutospacing="0"/>
              <w:jc w:val="center"/>
              <w:rPr>
                <w:sz w:val="20"/>
                <w:szCs w:val="20"/>
              </w:rPr>
            </w:pPr>
            <w:r>
              <w:rPr>
                <w:b/>
                <w:bCs/>
                <w:sz w:val="20"/>
                <w:szCs w:val="20"/>
              </w:rPr>
              <w:t>Average</w:t>
            </w:r>
          </w:p>
          <w:p w14:paraId="7D38444D" w14:textId="77777777" w:rsidR="00000000" w:rsidRDefault="007E65A2">
            <w:pPr>
              <w:pStyle w:val="a3"/>
              <w:spacing w:before="0" w:beforeAutospacing="0" w:after="0" w:afterAutospacing="0"/>
              <w:jc w:val="center"/>
              <w:rPr>
                <w:sz w:val="20"/>
                <w:szCs w:val="20"/>
              </w:rPr>
            </w:pPr>
            <w:r>
              <w:rPr>
                <w:b/>
                <w:bCs/>
                <w:sz w:val="20"/>
                <w:szCs w:val="20"/>
              </w:rPr>
              <w:t>Exercise</w:t>
            </w:r>
          </w:p>
          <w:p w14:paraId="72A13C73" w14:textId="77777777" w:rsidR="00000000" w:rsidRDefault="007E65A2">
            <w:pPr>
              <w:pStyle w:val="a3"/>
              <w:spacing w:before="0" w:beforeAutospacing="0" w:after="0" w:afterAutospacing="0"/>
              <w:jc w:val="center"/>
              <w:rPr>
                <w:sz w:val="20"/>
                <w:szCs w:val="20"/>
              </w:rPr>
            </w:pPr>
            <w:r>
              <w:rPr>
                <w:b/>
                <w:bCs/>
                <w:sz w:val="20"/>
                <w:szCs w:val="20"/>
              </w:rPr>
              <w:t>Price</w:t>
            </w:r>
          </w:p>
        </w:tc>
        <w:tc>
          <w:tcPr>
            <w:tcW w:w="0" w:type="auto"/>
            <w:tcMar>
              <w:top w:w="0" w:type="dxa"/>
              <w:left w:w="0" w:type="dxa"/>
              <w:bottom w:w="15" w:type="dxa"/>
              <w:right w:w="0" w:type="dxa"/>
            </w:tcMar>
            <w:vAlign w:val="bottom"/>
            <w:hideMark/>
          </w:tcPr>
          <w:p w14:paraId="2E98F8FF"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vAlign w:val="bottom"/>
            <w:hideMark/>
          </w:tcPr>
          <w:p w14:paraId="3D9513CC"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gridSpan w:val="2"/>
            <w:tcBorders>
              <w:bottom w:val="single" w:sz="6" w:space="0" w:color="000000"/>
            </w:tcBorders>
            <w:vAlign w:val="bottom"/>
            <w:hideMark/>
          </w:tcPr>
          <w:p w14:paraId="1B2545B0" w14:textId="77777777" w:rsidR="00000000" w:rsidRDefault="007E65A2">
            <w:pPr>
              <w:pStyle w:val="a3"/>
              <w:spacing w:before="0" w:beforeAutospacing="0" w:after="0" w:afterAutospacing="0"/>
              <w:jc w:val="center"/>
              <w:rPr>
                <w:sz w:val="20"/>
                <w:szCs w:val="20"/>
              </w:rPr>
            </w:pPr>
            <w:r>
              <w:rPr>
                <w:b/>
                <w:bCs/>
                <w:sz w:val="20"/>
                <w:szCs w:val="20"/>
              </w:rPr>
              <w:t>Number of</w:t>
            </w:r>
          </w:p>
          <w:p w14:paraId="7FEF3CD6" w14:textId="77777777" w:rsidR="00000000" w:rsidRDefault="007E65A2">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17FDDE06"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vAlign w:val="bottom"/>
            <w:hideMark/>
          </w:tcPr>
          <w:p w14:paraId="013B3E76" w14:textId="77777777" w:rsidR="00000000" w:rsidRDefault="007E65A2">
            <w:pPr>
              <w:pStyle w:val="a3"/>
              <w:spacing w:before="0" w:beforeAutospacing="0" w:after="0" w:afterAutospacing="0"/>
              <w:jc w:val="center"/>
              <w:rPr>
                <w:sz w:val="20"/>
                <w:szCs w:val="20"/>
              </w:rPr>
            </w:pPr>
            <w:r>
              <w:rPr>
                <w:b/>
                <w:bCs/>
                <w:sz w:val="20"/>
                <w:szCs w:val="20"/>
              </w:rPr>
              <w:t> </w:t>
            </w:r>
          </w:p>
        </w:tc>
        <w:tc>
          <w:tcPr>
            <w:tcW w:w="0" w:type="auto"/>
            <w:gridSpan w:val="2"/>
            <w:tcBorders>
              <w:bottom w:val="single" w:sz="6" w:space="0" w:color="000000"/>
            </w:tcBorders>
            <w:vAlign w:val="bottom"/>
            <w:hideMark/>
          </w:tcPr>
          <w:p w14:paraId="58D7E3C5" w14:textId="77777777" w:rsidR="00000000" w:rsidRDefault="007E65A2">
            <w:pPr>
              <w:pStyle w:val="a3"/>
              <w:spacing w:before="0" w:beforeAutospacing="0" w:after="0" w:afterAutospacing="0"/>
              <w:jc w:val="center"/>
              <w:rPr>
                <w:sz w:val="20"/>
                <w:szCs w:val="20"/>
              </w:rPr>
            </w:pPr>
            <w:r>
              <w:rPr>
                <w:b/>
                <w:bCs/>
                <w:sz w:val="20"/>
                <w:szCs w:val="20"/>
              </w:rPr>
              <w:t xml:space="preserve">Weighted </w:t>
            </w:r>
          </w:p>
          <w:p w14:paraId="6D49F187" w14:textId="77777777" w:rsidR="00000000" w:rsidRDefault="007E65A2">
            <w:pPr>
              <w:pStyle w:val="a3"/>
              <w:spacing w:before="0" w:beforeAutospacing="0" w:after="0" w:afterAutospacing="0"/>
              <w:jc w:val="center"/>
              <w:rPr>
                <w:sz w:val="20"/>
                <w:szCs w:val="20"/>
              </w:rPr>
            </w:pPr>
            <w:r>
              <w:rPr>
                <w:b/>
                <w:bCs/>
                <w:sz w:val="20"/>
                <w:szCs w:val="20"/>
              </w:rPr>
              <w:t>Average</w:t>
            </w:r>
          </w:p>
          <w:p w14:paraId="48C3C21A" w14:textId="77777777" w:rsidR="00000000" w:rsidRDefault="007E65A2">
            <w:pPr>
              <w:pStyle w:val="a3"/>
              <w:spacing w:before="0" w:beforeAutospacing="0" w:after="0" w:afterAutospacing="0"/>
              <w:jc w:val="center"/>
              <w:rPr>
                <w:sz w:val="20"/>
                <w:szCs w:val="20"/>
              </w:rPr>
            </w:pPr>
            <w:r>
              <w:rPr>
                <w:b/>
                <w:bCs/>
                <w:sz w:val="20"/>
                <w:szCs w:val="20"/>
              </w:rPr>
              <w:t>Exercise</w:t>
            </w:r>
          </w:p>
          <w:p w14:paraId="18FA353E" w14:textId="77777777" w:rsidR="00000000" w:rsidRDefault="007E65A2">
            <w:pPr>
              <w:pStyle w:val="a3"/>
              <w:spacing w:before="0" w:beforeAutospacing="0" w:after="0" w:afterAutospacing="0"/>
              <w:jc w:val="center"/>
              <w:rPr>
                <w:sz w:val="20"/>
                <w:szCs w:val="20"/>
              </w:rPr>
            </w:pPr>
            <w:r>
              <w:rPr>
                <w:b/>
                <w:bCs/>
                <w:sz w:val="20"/>
                <w:szCs w:val="20"/>
              </w:rPr>
              <w:t>Price</w:t>
            </w:r>
          </w:p>
        </w:tc>
        <w:tc>
          <w:tcPr>
            <w:tcW w:w="0" w:type="auto"/>
            <w:tcMar>
              <w:top w:w="0" w:type="dxa"/>
              <w:left w:w="0" w:type="dxa"/>
              <w:bottom w:w="15" w:type="dxa"/>
              <w:right w:w="0" w:type="dxa"/>
            </w:tcMar>
            <w:vAlign w:val="bottom"/>
            <w:hideMark/>
          </w:tcPr>
          <w:p w14:paraId="51D93E2D" w14:textId="77777777" w:rsidR="00000000" w:rsidRDefault="007E65A2">
            <w:pPr>
              <w:pStyle w:val="a3"/>
              <w:spacing w:before="0" w:beforeAutospacing="0" w:after="0" w:afterAutospacing="0"/>
              <w:jc w:val="both"/>
              <w:rPr>
                <w:sz w:val="20"/>
                <w:szCs w:val="20"/>
              </w:rPr>
            </w:pPr>
            <w:r>
              <w:rPr>
                <w:sz w:val="20"/>
                <w:szCs w:val="20"/>
              </w:rPr>
              <w:t> </w:t>
            </w:r>
          </w:p>
        </w:tc>
      </w:tr>
      <w:tr w:rsidR="00000000" w14:paraId="35338715" w14:textId="77777777">
        <w:trPr>
          <w:divId w:val="911279972"/>
          <w:tblCellSpacing w:w="0" w:type="dxa"/>
        </w:trPr>
        <w:tc>
          <w:tcPr>
            <w:tcW w:w="50" w:type="pct"/>
            <w:shd w:val="clear" w:color="auto" w:fill="CCEEFF"/>
            <w:vAlign w:val="bottom"/>
            <w:hideMark/>
          </w:tcPr>
          <w:p w14:paraId="40E3771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center"/>
            <w:hideMark/>
          </w:tcPr>
          <w:p w14:paraId="715C045E" w14:textId="77777777" w:rsidR="00000000" w:rsidRDefault="007E65A2">
            <w:pPr>
              <w:pStyle w:val="a3"/>
              <w:spacing w:before="0" w:beforeAutospacing="0" w:after="0" w:afterAutospacing="0"/>
              <w:jc w:val="right"/>
              <w:rPr>
                <w:sz w:val="20"/>
                <w:szCs w:val="20"/>
              </w:rPr>
            </w:pPr>
            <w:r>
              <w:rPr>
                <w:sz w:val="20"/>
                <w:szCs w:val="20"/>
              </w:rPr>
              <w:t>5,000,000</w:t>
            </w:r>
          </w:p>
        </w:tc>
        <w:tc>
          <w:tcPr>
            <w:tcW w:w="50" w:type="pct"/>
            <w:shd w:val="clear" w:color="auto" w:fill="CCEEFF"/>
            <w:vAlign w:val="bottom"/>
            <w:hideMark/>
          </w:tcPr>
          <w:p w14:paraId="72207CA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35A680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55EDA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189CA1F" w14:textId="77777777" w:rsidR="00000000" w:rsidRDefault="007E65A2">
            <w:pPr>
              <w:jc w:val="right"/>
              <w:rPr>
                <w:rFonts w:eastAsia="Times New Roman"/>
                <w:sz w:val="20"/>
                <w:szCs w:val="20"/>
              </w:rPr>
            </w:pPr>
            <w:r>
              <w:rPr>
                <w:rFonts w:eastAsia="Times New Roman"/>
                <w:sz w:val="20"/>
                <w:szCs w:val="20"/>
              </w:rPr>
              <w:t>0.38</w:t>
            </w:r>
          </w:p>
        </w:tc>
        <w:tc>
          <w:tcPr>
            <w:tcW w:w="50" w:type="pct"/>
            <w:shd w:val="clear" w:color="auto" w:fill="CCEEFF"/>
            <w:vAlign w:val="bottom"/>
            <w:hideMark/>
          </w:tcPr>
          <w:p w14:paraId="7E1BED8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0749EA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4F72623"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87EF2C4" w14:textId="77777777" w:rsidR="00000000" w:rsidRDefault="007E65A2">
            <w:pPr>
              <w:jc w:val="right"/>
              <w:rPr>
                <w:rFonts w:eastAsia="Times New Roman"/>
                <w:sz w:val="20"/>
                <w:szCs w:val="20"/>
              </w:rPr>
            </w:pPr>
            <w:r>
              <w:rPr>
                <w:rFonts w:eastAsia="Times New Roman"/>
                <w:sz w:val="20"/>
                <w:szCs w:val="20"/>
              </w:rPr>
              <w:t>0.03</w:t>
            </w:r>
          </w:p>
        </w:tc>
        <w:tc>
          <w:tcPr>
            <w:tcW w:w="50" w:type="pct"/>
            <w:shd w:val="clear" w:color="auto" w:fill="CCEEFF"/>
            <w:vAlign w:val="bottom"/>
            <w:hideMark/>
          </w:tcPr>
          <w:p w14:paraId="3934322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275D49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D6A9D4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E2135AB" w14:textId="77777777" w:rsidR="00000000" w:rsidRDefault="007E65A2">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14:paraId="7B14986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281CA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DE0467F"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FFD84CD" w14:textId="77777777" w:rsidR="00000000" w:rsidRDefault="007E65A2">
            <w:pPr>
              <w:jc w:val="right"/>
              <w:rPr>
                <w:rFonts w:eastAsia="Times New Roman"/>
                <w:sz w:val="20"/>
                <w:szCs w:val="20"/>
              </w:rPr>
            </w:pPr>
            <w:r>
              <w:rPr>
                <w:rFonts w:eastAsia="Times New Roman"/>
                <w:sz w:val="20"/>
                <w:szCs w:val="20"/>
              </w:rPr>
              <w:t>0.03</w:t>
            </w:r>
          </w:p>
        </w:tc>
        <w:tc>
          <w:tcPr>
            <w:tcW w:w="50" w:type="pct"/>
            <w:shd w:val="clear" w:color="auto" w:fill="CCEEFF"/>
            <w:vAlign w:val="bottom"/>
            <w:hideMark/>
          </w:tcPr>
          <w:p w14:paraId="5BDC8051" w14:textId="77777777" w:rsidR="00000000" w:rsidRDefault="007E65A2">
            <w:pPr>
              <w:pStyle w:val="a3"/>
              <w:spacing w:before="0" w:beforeAutospacing="0" w:after="0" w:afterAutospacing="0"/>
              <w:jc w:val="both"/>
              <w:rPr>
                <w:sz w:val="20"/>
                <w:szCs w:val="20"/>
              </w:rPr>
            </w:pPr>
            <w:r>
              <w:rPr>
                <w:sz w:val="20"/>
                <w:szCs w:val="20"/>
              </w:rPr>
              <w:t> </w:t>
            </w:r>
          </w:p>
        </w:tc>
      </w:tr>
      <w:tr w:rsidR="00000000" w14:paraId="7107EB50" w14:textId="77777777">
        <w:trPr>
          <w:divId w:val="911279972"/>
          <w:tblCellSpacing w:w="0" w:type="dxa"/>
        </w:trPr>
        <w:tc>
          <w:tcPr>
            <w:tcW w:w="0" w:type="auto"/>
            <w:shd w:val="clear" w:color="auto" w:fill="FFFFFF"/>
            <w:vAlign w:val="bottom"/>
            <w:hideMark/>
          </w:tcPr>
          <w:p w14:paraId="14D1FA7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814AF1" w14:textId="77777777" w:rsidR="00000000" w:rsidRDefault="007E65A2">
            <w:pPr>
              <w:pStyle w:val="a3"/>
              <w:spacing w:before="0" w:beforeAutospacing="0" w:after="0" w:afterAutospacing="0"/>
              <w:jc w:val="right"/>
              <w:rPr>
                <w:sz w:val="20"/>
                <w:szCs w:val="20"/>
              </w:rPr>
            </w:pPr>
            <w:r>
              <w:rPr>
                <w:sz w:val="20"/>
                <w:szCs w:val="20"/>
              </w:rPr>
              <w:t>386,363,636</w:t>
            </w:r>
          </w:p>
        </w:tc>
        <w:tc>
          <w:tcPr>
            <w:tcW w:w="0" w:type="auto"/>
            <w:shd w:val="clear" w:color="auto" w:fill="FFFFFF"/>
            <w:vAlign w:val="bottom"/>
            <w:hideMark/>
          </w:tcPr>
          <w:p w14:paraId="3924D87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592248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29119B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393D81E" w14:textId="77777777" w:rsidR="00000000" w:rsidRDefault="007E65A2">
            <w:pPr>
              <w:jc w:val="right"/>
              <w:rPr>
                <w:rFonts w:eastAsia="Times New Roman"/>
                <w:sz w:val="20"/>
                <w:szCs w:val="20"/>
              </w:rPr>
            </w:pPr>
            <w:r>
              <w:rPr>
                <w:rFonts w:eastAsia="Times New Roman"/>
                <w:sz w:val="20"/>
                <w:szCs w:val="20"/>
              </w:rPr>
              <w:t>3.29</w:t>
            </w:r>
          </w:p>
        </w:tc>
        <w:tc>
          <w:tcPr>
            <w:tcW w:w="0" w:type="auto"/>
            <w:shd w:val="clear" w:color="auto" w:fill="FFFFFF"/>
            <w:vAlign w:val="bottom"/>
            <w:hideMark/>
          </w:tcPr>
          <w:p w14:paraId="09D6ECE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54B83C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D0B6108"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FFFFFF"/>
            <w:vAlign w:val="bottom"/>
            <w:hideMark/>
          </w:tcPr>
          <w:p w14:paraId="08962D6D" w14:textId="77777777" w:rsidR="00000000" w:rsidRDefault="007E65A2">
            <w:pPr>
              <w:jc w:val="right"/>
              <w:rPr>
                <w:rFonts w:eastAsia="Times New Roman"/>
                <w:sz w:val="20"/>
                <w:szCs w:val="20"/>
              </w:rPr>
            </w:pPr>
            <w:r>
              <w:rPr>
                <w:rFonts w:eastAsia="Times New Roman"/>
                <w:sz w:val="20"/>
                <w:szCs w:val="20"/>
              </w:rPr>
              <w:t>0.000055</w:t>
            </w:r>
          </w:p>
        </w:tc>
        <w:tc>
          <w:tcPr>
            <w:tcW w:w="0" w:type="auto"/>
            <w:shd w:val="clear" w:color="auto" w:fill="FFFFFF"/>
            <w:vAlign w:val="bottom"/>
            <w:hideMark/>
          </w:tcPr>
          <w:p w14:paraId="045966F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4CF1C2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87877A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0945B4D" w14:textId="77777777" w:rsidR="00000000" w:rsidRDefault="007E65A2">
            <w:pPr>
              <w:jc w:val="right"/>
              <w:rPr>
                <w:rFonts w:eastAsia="Times New Roman"/>
                <w:sz w:val="20"/>
                <w:szCs w:val="20"/>
              </w:rPr>
            </w:pPr>
            <w:r>
              <w:rPr>
                <w:rFonts w:eastAsia="Times New Roman"/>
                <w:sz w:val="20"/>
                <w:szCs w:val="20"/>
              </w:rPr>
              <w:t>386,363,636</w:t>
            </w:r>
          </w:p>
        </w:tc>
        <w:tc>
          <w:tcPr>
            <w:tcW w:w="0" w:type="auto"/>
            <w:shd w:val="clear" w:color="auto" w:fill="FFFFFF"/>
            <w:vAlign w:val="bottom"/>
            <w:hideMark/>
          </w:tcPr>
          <w:p w14:paraId="667F73E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28F854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6F9768D"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FFFFFF"/>
            <w:vAlign w:val="bottom"/>
            <w:hideMark/>
          </w:tcPr>
          <w:p w14:paraId="7B45ACB3" w14:textId="77777777" w:rsidR="00000000" w:rsidRDefault="007E65A2">
            <w:pPr>
              <w:jc w:val="right"/>
              <w:rPr>
                <w:rFonts w:eastAsia="Times New Roman"/>
                <w:sz w:val="20"/>
                <w:szCs w:val="20"/>
              </w:rPr>
            </w:pPr>
            <w:r>
              <w:rPr>
                <w:rFonts w:eastAsia="Times New Roman"/>
                <w:sz w:val="20"/>
                <w:szCs w:val="20"/>
              </w:rPr>
              <w:t>0.000055</w:t>
            </w:r>
          </w:p>
        </w:tc>
        <w:tc>
          <w:tcPr>
            <w:tcW w:w="0" w:type="auto"/>
            <w:shd w:val="clear" w:color="auto" w:fill="FFFFFF"/>
            <w:vAlign w:val="bottom"/>
            <w:hideMark/>
          </w:tcPr>
          <w:p w14:paraId="3AFF590C" w14:textId="77777777" w:rsidR="00000000" w:rsidRDefault="007E65A2">
            <w:pPr>
              <w:pStyle w:val="a3"/>
              <w:spacing w:before="0" w:beforeAutospacing="0" w:after="0" w:afterAutospacing="0"/>
              <w:jc w:val="both"/>
              <w:rPr>
                <w:sz w:val="20"/>
                <w:szCs w:val="20"/>
              </w:rPr>
            </w:pPr>
            <w:r>
              <w:rPr>
                <w:sz w:val="20"/>
                <w:szCs w:val="20"/>
              </w:rPr>
              <w:t> </w:t>
            </w:r>
          </w:p>
        </w:tc>
      </w:tr>
      <w:tr w:rsidR="00000000" w14:paraId="01849102" w14:textId="77777777">
        <w:trPr>
          <w:divId w:val="911279972"/>
          <w:tblCellSpacing w:w="0" w:type="dxa"/>
        </w:trPr>
        <w:tc>
          <w:tcPr>
            <w:tcW w:w="0" w:type="auto"/>
            <w:shd w:val="clear" w:color="auto" w:fill="CCEEFF"/>
            <w:vAlign w:val="bottom"/>
            <w:hideMark/>
          </w:tcPr>
          <w:p w14:paraId="57DB409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114ABE40" w14:textId="77777777" w:rsidR="00000000" w:rsidRDefault="007E65A2">
            <w:pPr>
              <w:pStyle w:val="a3"/>
              <w:spacing w:before="0" w:beforeAutospacing="0" w:after="0" w:afterAutospacing="0"/>
              <w:jc w:val="right"/>
              <w:rPr>
                <w:sz w:val="20"/>
                <w:szCs w:val="20"/>
              </w:rPr>
            </w:pPr>
            <w:r>
              <w:rPr>
                <w:sz w:val="20"/>
                <w:szCs w:val="20"/>
              </w:rPr>
              <w:t>1,194,735,000</w:t>
            </w:r>
          </w:p>
        </w:tc>
        <w:tc>
          <w:tcPr>
            <w:tcW w:w="0" w:type="auto"/>
            <w:shd w:val="clear" w:color="auto" w:fill="CCEEFF"/>
            <w:vAlign w:val="bottom"/>
            <w:hideMark/>
          </w:tcPr>
          <w:p w14:paraId="7B71505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52461E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FCC2F8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7486E16" w14:textId="77777777" w:rsidR="00000000" w:rsidRDefault="007E65A2">
            <w:pPr>
              <w:jc w:val="right"/>
              <w:rPr>
                <w:rFonts w:eastAsia="Times New Roman"/>
                <w:sz w:val="20"/>
                <w:szCs w:val="20"/>
              </w:rPr>
            </w:pPr>
            <w:r>
              <w:rPr>
                <w:rFonts w:eastAsia="Times New Roman"/>
                <w:sz w:val="20"/>
                <w:szCs w:val="20"/>
              </w:rPr>
              <w:t>1.99</w:t>
            </w:r>
          </w:p>
        </w:tc>
        <w:tc>
          <w:tcPr>
            <w:tcW w:w="0" w:type="auto"/>
            <w:shd w:val="clear" w:color="auto" w:fill="CCEEFF"/>
            <w:vAlign w:val="bottom"/>
            <w:hideMark/>
          </w:tcPr>
          <w:p w14:paraId="30B4419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E454AF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35900E1"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58837ED8" w14:textId="77777777" w:rsidR="00000000" w:rsidRDefault="007E65A2">
            <w:pPr>
              <w:jc w:val="right"/>
              <w:rPr>
                <w:rFonts w:eastAsia="Times New Roman"/>
                <w:sz w:val="20"/>
                <w:szCs w:val="20"/>
              </w:rPr>
            </w:pPr>
            <w:r>
              <w:rPr>
                <w:rFonts w:eastAsia="Times New Roman"/>
                <w:sz w:val="20"/>
                <w:szCs w:val="20"/>
              </w:rPr>
              <w:t>0.0001</w:t>
            </w:r>
          </w:p>
        </w:tc>
        <w:tc>
          <w:tcPr>
            <w:tcW w:w="0" w:type="auto"/>
            <w:shd w:val="clear" w:color="auto" w:fill="CCEEFF"/>
            <w:vAlign w:val="bottom"/>
            <w:hideMark/>
          </w:tcPr>
          <w:p w14:paraId="47A60CC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844B56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EF060C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6BE6247" w14:textId="77777777" w:rsidR="00000000" w:rsidRDefault="007E65A2">
            <w:pPr>
              <w:jc w:val="right"/>
              <w:rPr>
                <w:rFonts w:eastAsia="Times New Roman"/>
                <w:sz w:val="20"/>
                <w:szCs w:val="20"/>
              </w:rPr>
            </w:pPr>
            <w:r>
              <w:rPr>
                <w:rFonts w:eastAsia="Times New Roman"/>
                <w:sz w:val="20"/>
                <w:szCs w:val="20"/>
              </w:rPr>
              <w:t>1,194,735,000</w:t>
            </w:r>
          </w:p>
        </w:tc>
        <w:tc>
          <w:tcPr>
            <w:tcW w:w="0" w:type="auto"/>
            <w:shd w:val="clear" w:color="auto" w:fill="CCEEFF"/>
            <w:vAlign w:val="bottom"/>
            <w:hideMark/>
          </w:tcPr>
          <w:p w14:paraId="40CD146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694D91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758EBC5"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CCEEFF"/>
            <w:vAlign w:val="bottom"/>
            <w:hideMark/>
          </w:tcPr>
          <w:p w14:paraId="5959C90B" w14:textId="77777777" w:rsidR="00000000" w:rsidRDefault="007E65A2">
            <w:pPr>
              <w:jc w:val="right"/>
              <w:rPr>
                <w:rFonts w:eastAsia="Times New Roman"/>
                <w:sz w:val="20"/>
                <w:szCs w:val="20"/>
              </w:rPr>
            </w:pPr>
            <w:r>
              <w:rPr>
                <w:rFonts w:eastAsia="Times New Roman"/>
                <w:sz w:val="20"/>
                <w:szCs w:val="20"/>
              </w:rPr>
              <w:t>0.0001</w:t>
            </w:r>
          </w:p>
        </w:tc>
        <w:tc>
          <w:tcPr>
            <w:tcW w:w="0" w:type="auto"/>
            <w:shd w:val="clear" w:color="auto" w:fill="CCEEFF"/>
            <w:vAlign w:val="bottom"/>
            <w:hideMark/>
          </w:tcPr>
          <w:p w14:paraId="64829B16" w14:textId="77777777" w:rsidR="00000000" w:rsidRDefault="007E65A2">
            <w:pPr>
              <w:pStyle w:val="a3"/>
              <w:spacing w:before="0" w:beforeAutospacing="0" w:after="0" w:afterAutospacing="0"/>
              <w:jc w:val="both"/>
              <w:rPr>
                <w:sz w:val="20"/>
                <w:szCs w:val="20"/>
              </w:rPr>
            </w:pPr>
            <w:r>
              <w:rPr>
                <w:sz w:val="20"/>
                <w:szCs w:val="20"/>
              </w:rPr>
              <w:t> </w:t>
            </w:r>
          </w:p>
        </w:tc>
      </w:tr>
      <w:tr w:rsidR="00000000" w14:paraId="3DC08C21" w14:textId="77777777">
        <w:trPr>
          <w:divId w:val="911279972"/>
          <w:tblCellSpacing w:w="0" w:type="dxa"/>
        </w:trPr>
        <w:tc>
          <w:tcPr>
            <w:tcW w:w="0" w:type="auto"/>
            <w:shd w:val="clear" w:color="auto" w:fill="FFFFFF"/>
            <w:vAlign w:val="bottom"/>
            <w:hideMark/>
          </w:tcPr>
          <w:p w14:paraId="55BBB06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6C1001" w14:textId="77777777" w:rsidR="00000000" w:rsidRDefault="007E65A2">
            <w:pPr>
              <w:pStyle w:val="a3"/>
              <w:spacing w:before="0" w:beforeAutospacing="0" w:after="0" w:afterAutospacing="0"/>
              <w:jc w:val="right"/>
              <w:rPr>
                <w:sz w:val="20"/>
                <w:szCs w:val="20"/>
              </w:rPr>
            </w:pPr>
            <w:r>
              <w:rPr>
                <w:sz w:val="20"/>
                <w:szCs w:val="20"/>
              </w:rPr>
              <w:t>1,586,098,636</w:t>
            </w:r>
          </w:p>
        </w:tc>
        <w:tc>
          <w:tcPr>
            <w:tcW w:w="0" w:type="auto"/>
            <w:shd w:val="clear" w:color="auto" w:fill="FFFFFF"/>
            <w:tcMar>
              <w:top w:w="0" w:type="dxa"/>
              <w:left w:w="0" w:type="dxa"/>
              <w:bottom w:w="15" w:type="dxa"/>
              <w:right w:w="0" w:type="dxa"/>
            </w:tcMar>
            <w:vAlign w:val="bottom"/>
            <w:hideMark/>
          </w:tcPr>
          <w:p w14:paraId="78AEC37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38D828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6D6184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E6EAA26" w14:textId="77777777" w:rsidR="00000000" w:rsidRDefault="007E65A2">
            <w:pPr>
              <w:jc w:val="right"/>
              <w:rPr>
                <w:rFonts w:eastAsia="Times New Roman"/>
                <w:sz w:val="20"/>
                <w:szCs w:val="20"/>
              </w:rPr>
            </w:pPr>
            <w:r>
              <w:rPr>
                <w:rFonts w:eastAsia="Times New Roman"/>
                <w:sz w:val="20"/>
                <w:szCs w:val="20"/>
              </w:rPr>
              <w:t>2.30</w:t>
            </w:r>
          </w:p>
        </w:tc>
        <w:tc>
          <w:tcPr>
            <w:tcW w:w="0" w:type="auto"/>
            <w:shd w:val="clear" w:color="auto" w:fill="FFFFFF"/>
            <w:tcMar>
              <w:top w:w="0" w:type="dxa"/>
              <w:left w:w="0" w:type="dxa"/>
              <w:bottom w:w="15" w:type="dxa"/>
              <w:right w:w="0" w:type="dxa"/>
            </w:tcMar>
            <w:vAlign w:val="bottom"/>
            <w:hideMark/>
          </w:tcPr>
          <w:p w14:paraId="1682306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B88770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5D4C0311"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FFFFFF"/>
            <w:vAlign w:val="bottom"/>
            <w:hideMark/>
          </w:tcPr>
          <w:p w14:paraId="481E78BE" w14:textId="77777777" w:rsidR="00000000" w:rsidRDefault="007E65A2">
            <w:pPr>
              <w:jc w:val="right"/>
              <w:rPr>
                <w:rFonts w:eastAsia="Times New Roman"/>
                <w:sz w:val="20"/>
                <w:szCs w:val="20"/>
              </w:rPr>
            </w:pPr>
            <w:r>
              <w:rPr>
                <w:rFonts w:eastAsia="Times New Roman"/>
                <w:sz w:val="20"/>
                <w:szCs w:val="20"/>
              </w:rPr>
              <w:t>0.0002</w:t>
            </w:r>
          </w:p>
        </w:tc>
        <w:tc>
          <w:tcPr>
            <w:tcW w:w="0" w:type="auto"/>
            <w:shd w:val="clear" w:color="auto" w:fill="FFFFFF"/>
            <w:tcMar>
              <w:top w:w="0" w:type="dxa"/>
              <w:left w:w="0" w:type="dxa"/>
              <w:bottom w:w="15" w:type="dxa"/>
              <w:right w:w="0" w:type="dxa"/>
            </w:tcMar>
            <w:vAlign w:val="bottom"/>
            <w:hideMark/>
          </w:tcPr>
          <w:p w14:paraId="540AFB7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45F153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EBEF12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E3506EE" w14:textId="77777777" w:rsidR="00000000" w:rsidRDefault="007E65A2">
            <w:pPr>
              <w:jc w:val="right"/>
              <w:rPr>
                <w:rFonts w:eastAsia="Times New Roman"/>
                <w:sz w:val="20"/>
                <w:szCs w:val="20"/>
              </w:rPr>
            </w:pPr>
            <w:r>
              <w:rPr>
                <w:rFonts w:eastAsia="Times New Roman"/>
                <w:sz w:val="20"/>
                <w:szCs w:val="20"/>
              </w:rPr>
              <w:t>1,586,098,636</w:t>
            </w:r>
          </w:p>
        </w:tc>
        <w:tc>
          <w:tcPr>
            <w:tcW w:w="0" w:type="auto"/>
            <w:shd w:val="clear" w:color="auto" w:fill="FFFFFF"/>
            <w:tcMar>
              <w:top w:w="0" w:type="dxa"/>
              <w:left w:w="0" w:type="dxa"/>
              <w:bottom w:w="15" w:type="dxa"/>
              <w:right w:w="0" w:type="dxa"/>
            </w:tcMar>
            <w:vAlign w:val="bottom"/>
            <w:hideMark/>
          </w:tcPr>
          <w:p w14:paraId="6357BC0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7D5B4D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C872A1F" w14:textId="77777777" w:rsidR="00000000" w:rsidRDefault="007E65A2">
            <w:pPr>
              <w:jc w:val="both"/>
              <w:rPr>
                <w:rFonts w:eastAsia="Times New Roman"/>
                <w:sz w:val="20"/>
                <w:szCs w:val="20"/>
              </w:rPr>
            </w:pPr>
            <w:r>
              <w:rPr>
                <w:rFonts w:eastAsia="Times New Roman"/>
                <w:sz w:val="20"/>
                <w:szCs w:val="20"/>
              </w:rPr>
              <w:t>$</w:t>
            </w:r>
          </w:p>
        </w:tc>
        <w:tc>
          <w:tcPr>
            <w:tcW w:w="0" w:type="auto"/>
            <w:shd w:val="clear" w:color="auto" w:fill="FFFFFF"/>
            <w:vAlign w:val="bottom"/>
            <w:hideMark/>
          </w:tcPr>
          <w:p w14:paraId="08679978" w14:textId="77777777" w:rsidR="00000000" w:rsidRDefault="007E65A2">
            <w:pPr>
              <w:jc w:val="right"/>
              <w:rPr>
                <w:rFonts w:eastAsia="Times New Roman"/>
                <w:sz w:val="20"/>
                <w:szCs w:val="20"/>
              </w:rPr>
            </w:pPr>
            <w:r>
              <w:rPr>
                <w:rFonts w:eastAsia="Times New Roman"/>
                <w:sz w:val="20"/>
                <w:szCs w:val="20"/>
              </w:rPr>
              <w:t>0.0002</w:t>
            </w:r>
          </w:p>
        </w:tc>
        <w:tc>
          <w:tcPr>
            <w:tcW w:w="0" w:type="auto"/>
            <w:shd w:val="clear" w:color="auto" w:fill="FFFFFF"/>
            <w:tcMar>
              <w:top w:w="0" w:type="dxa"/>
              <w:left w:w="0" w:type="dxa"/>
              <w:bottom w:w="15" w:type="dxa"/>
              <w:right w:w="0" w:type="dxa"/>
            </w:tcMar>
            <w:vAlign w:val="bottom"/>
            <w:hideMark/>
          </w:tcPr>
          <w:p w14:paraId="09773889" w14:textId="77777777" w:rsidR="00000000" w:rsidRDefault="007E65A2">
            <w:pPr>
              <w:pStyle w:val="a3"/>
              <w:spacing w:before="0" w:beforeAutospacing="0" w:after="0" w:afterAutospacing="0"/>
              <w:jc w:val="both"/>
              <w:rPr>
                <w:sz w:val="20"/>
                <w:szCs w:val="20"/>
              </w:rPr>
            </w:pPr>
            <w:r>
              <w:rPr>
                <w:sz w:val="20"/>
                <w:szCs w:val="20"/>
              </w:rPr>
              <w:t> </w:t>
            </w:r>
          </w:p>
        </w:tc>
      </w:tr>
    </w:tbl>
    <w:p w14:paraId="1ECC95D9" w14:textId="77777777" w:rsidR="00000000" w:rsidRDefault="007E65A2">
      <w:pPr>
        <w:pStyle w:val="a3"/>
        <w:spacing w:before="0" w:beforeAutospacing="0" w:after="0" w:afterAutospacing="0"/>
        <w:jc w:val="both"/>
        <w:divId w:val="911279972"/>
        <w:rPr>
          <w:sz w:val="20"/>
          <w:szCs w:val="20"/>
        </w:rPr>
      </w:pPr>
      <w:r>
        <w:rPr>
          <w:sz w:val="20"/>
          <w:szCs w:val="20"/>
        </w:rPr>
        <w:t> </w:t>
      </w:r>
    </w:p>
    <w:p w14:paraId="299D60BA" w14:textId="77777777" w:rsidR="00000000" w:rsidRDefault="007E65A2">
      <w:pPr>
        <w:pStyle w:val="a3"/>
        <w:spacing w:before="0" w:beforeAutospacing="0" w:after="0" w:afterAutospacing="0"/>
        <w:jc w:val="both"/>
        <w:divId w:val="911279972"/>
        <w:rPr>
          <w:sz w:val="20"/>
          <w:szCs w:val="20"/>
        </w:rPr>
      </w:pPr>
      <w:r>
        <w:rPr>
          <w:b/>
          <w:bCs/>
          <w:sz w:val="20"/>
          <w:szCs w:val="20"/>
        </w:rPr>
        <w:t>6. CONVERTIBLE LOANS – RELATED PARTY</w:t>
      </w:r>
    </w:p>
    <w:p w14:paraId="15949092" w14:textId="77777777" w:rsidR="00000000" w:rsidRDefault="007E65A2">
      <w:pPr>
        <w:pStyle w:val="a3"/>
        <w:spacing w:before="0" w:beforeAutospacing="0" w:after="0" w:afterAutospacing="0"/>
        <w:jc w:val="both"/>
        <w:divId w:val="911279972"/>
        <w:rPr>
          <w:sz w:val="20"/>
          <w:szCs w:val="20"/>
        </w:rPr>
      </w:pPr>
      <w:r>
        <w:rPr>
          <w:sz w:val="20"/>
          <w:szCs w:val="20"/>
        </w:rPr>
        <w:t> </w:t>
      </w:r>
    </w:p>
    <w:p w14:paraId="7F7AF213" w14:textId="77777777" w:rsidR="00000000" w:rsidRDefault="007E65A2">
      <w:pPr>
        <w:pStyle w:val="a3"/>
        <w:spacing w:before="0" w:beforeAutospacing="0" w:after="0" w:afterAutospacing="0"/>
        <w:jc w:val="both"/>
        <w:divId w:val="911279972"/>
        <w:rPr>
          <w:sz w:val="20"/>
          <w:szCs w:val="20"/>
        </w:rPr>
      </w:pPr>
      <w:r>
        <w:rPr>
          <w:sz w:val="20"/>
          <w:szCs w:val="20"/>
        </w:rPr>
        <w:t>At June 30, 2019 and 2018, convertible loan – related party consisted of the following:</w:t>
      </w:r>
    </w:p>
    <w:p w14:paraId="2AA5B638"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7"/>
        <w:gridCol w:w="78"/>
        <w:gridCol w:w="101"/>
        <w:gridCol w:w="743"/>
        <w:gridCol w:w="78"/>
        <w:gridCol w:w="78"/>
        <w:gridCol w:w="100"/>
        <w:gridCol w:w="743"/>
        <w:gridCol w:w="78"/>
      </w:tblGrid>
      <w:tr w:rsidR="00000000" w14:paraId="22F747EB" w14:textId="77777777">
        <w:trPr>
          <w:divId w:val="911279972"/>
          <w:tblCellSpacing w:w="0" w:type="dxa"/>
        </w:trPr>
        <w:tc>
          <w:tcPr>
            <w:tcW w:w="0" w:type="auto"/>
            <w:vAlign w:val="bottom"/>
            <w:hideMark/>
          </w:tcPr>
          <w:p w14:paraId="324C4ACD"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33DE66C0"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7618AA24"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2B44117A"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6D5F4C76"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7C052E38"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6DCB1526" w14:textId="77777777" w:rsidR="00000000" w:rsidRDefault="007E65A2">
            <w:pPr>
              <w:pStyle w:val="a3"/>
              <w:spacing w:before="0" w:beforeAutospacing="0" w:after="0" w:afterAutospacing="0"/>
              <w:jc w:val="both"/>
              <w:rPr>
                <w:sz w:val="20"/>
                <w:szCs w:val="20"/>
              </w:rPr>
            </w:pPr>
            <w:r>
              <w:rPr>
                <w:sz w:val="20"/>
                <w:szCs w:val="20"/>
              </w:rPr>
              <w:t> </w:t>
            </w:r>
          </w:p>
        </w:tc>
      </w:tr>
      <w:tr w:rsidR="00000000" w14:paraId="56F5C549" w14:textId="77777777">
        <w:trPr>
          <w:divId w:val="911279972"/>
          <w:tblCellSpacing w:w="0" w:type="dxa"/>
        </w:trPr>
        <w:tc>
          <w:tcPr>
            <w:tcW w:w="0" w:type="auto"/>
            <w:vAlign w:val="bottom"/>
            <w:hideMark/>
          </w:tcPr>
          <w:p w14:paraId="038ED89E"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1A18DB80"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46A97685"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E34AEEB"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76276F12"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61DCEF90"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73DF420C" w14:textId="77777777" w:rsidR="00000000" w:rsidRDefault="007E65A2">
            <w:pPr>
              <w:pStyle w:val="a3"/>
              <w:spacing w:before="0" w:beforeAutospacing="0" w:after="0" w:afterAutospacing="0"/>
              <w:jc w:val="both"/>
              <w:rPr>
                <w:sz w:val="20"/>
                <w:szCs w:val="20"/>
              </w:rPr>
            </w:pPr>
            <w:r>
              <w:rPr>
                <w:sz w:val="20"/>
                <w:szCs w:val="20"/>
              </w:rPr>
              <w:t> </w:t>
            </w:r>
          </w:p>
        </w:tc>
      </w:tr>
      <w:tr w:rsidR="00000000" w14:paraId="55BB1BD2" w14:textId="77777777">
        <w:trPr>
          <w:divId w:val="911279972"/>
          <w:tblCellSpacing w:w="0" w:type="dxa"/>
        </w:trPr>
        <w:tc>
          <w:tcPr>
            <w:tcW w:w="0" w:type="auto"/>
            <w:shd w:val="clear" w:color="auto" w:fill="CCEEFF"/>
            <w:hideMark/>
          </w:tcPr>
          <w:p w14:paraId="2D9E7656" w14:textId="77777777" w:rsidR="00000000" w:rsidRDefault="007E65A2">
            <w:pPr>
              <w:pStyle w:val="a3"/>
              <w:spacing w:before="0" w:beforeAutospacing="0" w:after="0" w:afterAutospacing="0"/>
              <w:jc w:val="both"/>
              <w:rPr>
                <w:sz w:val="20"/>
                <w:szCs w:val="20"/>
              </w:rPr>
            </w:pPr>
            <w:r>
              <w:rPr>
                <w:sz w:val="20"/>
                <w:szCs w:val="20"/>
              </w:rPr>
              <w:t>Convertible notes - related party -Issued in fiscal year 2018</w:t>
            </w:r>
          </w:p>
        </w:tc>
        <w:tc>
          <w:tcPr>
            <w:tcW w:w="50" w:type="pct"/>
            <w:shd w:val="clear" w:color="auto" w:fill="CCEEFF"/>
            <w:vAlign w:val="bottom"/>
            <w:hideMark/>
          </w:tcPr>
          <w:p w14:paraId="332E7B8A"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19461CC0"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31C9AD6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10DC5A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8642F7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267EEBD6"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6E2A3C44" w14:textId="77777777" w:rsidR="00000000" w:rsidRDefault="007E65A2">
            <w:pPr>
              <w:jc w:val="right"/>
              <w:rPr>
                <w:rFonts w:eastAsia="Times New Roman"/>
                <w:sz w:val="20"/>
                <w:szCs w:val="20"/>
              </w:rPr>
            </w:pPr>
            <w:r>
              <w:rPr>
                <w:rFonts w:eastAsia="Times New Roman"/>
                <w:sz w:val="20"/>
                <w:szCs w:val="20"/>
              </w:rPr>
              <w:t>8,333</w:t>
            </w:r>
          </w:p>
        </w:tc>
        <w:tc>
          <w:tcPr>
            <w:tcW w:w="50" w:type="pct"/>
            <w:shd w:val="clear" w:color="auto" w:fill="CCEEFF"/>
            <w:tcMar>
              <w:top w:w="0" w:type="dxa"/>
              <w:left w:w="0" w:type="dxa"/>
              <w:bottom w:w="15" w:type="dxa"/>
              <w:right w:w="0" w:type="dxa"/>
            </w:tcMar>
            <w:vAlign w:val="bottom"/>
            <w:hideMark/>
          </w:tcPr>
          <w:p w14:paraId="65570080" w14:textId="77777777" w:rsidR="00000000" w:rsidRDefault="007E65A2">
            <w:pPr>
              <w:pStyle w:val="a3"/>
              <w:spacing w:before="0" w:beforeAutospacing="0" w:after="0" w:afterAutospacing="0"/>
              <w:jc w:val="both"/>
              <w:rPr>
                <w:sz w:val="20"/>
                <w:szCs w:val="20"/>
              </w:rPr>
            </w:pPr>
            <w:r>
              <w:rPr>
                <w:sz w:val="20"/>
                <w:szCs w:val="20"/>
              </w:rPr>
              <w:t> </w:t>
            </w:r>
          </w:p>
        </w:tc>
      </w:tr>
      <w:tr w:rsidR="00000000" w14:paraId="5319CB64" w14:textId="77777777">
        <w:trPr>
          <w:divId w:val="911279972"/>
          <w:tblCellSpacing w:w="0" w:type="dxa"/>
        </w:trPr>
        <w:tc>
          <w:tcPr>
            <w:tcW w:w="0" w:type="auto"/>
            <w:shd w:val="clear" w:color="auto" w:fill="FFFFFF"/>
            <w:hideMark/>
          </w:tcPr>
          <w:p w14:paraId="062721A8" w14:textId="77777777" w:rsidR="00000000" w:rsidRDefault="007E65A2">
            <w:pPr>
              <w:pStyle w:val="a3"/>
              <w:spacing w:before="0" w:beforeAutospacing="0" w:after="0" w:afterAutospacing="0"/>
              <w:jc w:val="both"/>
              <w:rPr>
                <w:sz w:val="20"/>
                <w:szCs w:val="20"/>
              </w:rPr>
            </w:pPr>
            <w:r>
              <w:rPr>
                <w:sz w:val="20"/>
                <w:szCs w:val="20"/>
              </w:rPr>
              <w:t>Total convertible notes payable</w:t>
            </w:r>
          </w:p>
        </w:tc>
        <w:tc>
          <w:tcPr>
            <w:tcW w:w="50" w:type="pct"/>
            <w:shd w:val="clear" w:color="auto" w:fill="FFFFFF"/>
            <w:vAlign w:val="bottom"/>
            <w:hideMark/>
          </w:tcPr>
          <w:p w14:paraId="2642DFC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E8ED20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81BDAA9"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FA0854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C2690D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E8F9F4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6DF88AB" w14:textId="77777777" w:rsidR="00000000" w:rsidRDefault="007E65A2">
            <w:pPr>
              <w:jc w:val="right"/>
              <w:rPr>
                <w:rFonts w:eastAsia="Times New Roman"/>
                <w:sz w:val="20"/>
                <w:szCs w:val="20"/>
              </w:rPr>
            </w:pPr>
            <w:r>
              <w:rPr>
                <w:rFonts w:eastAsia="Times New Roman"/>
                <w:sz w:val="20"/>
                <w:szCs w:val="20"/>
              </w:rPr>
              <w:t>8,333</w:t>
            </w:r>
          </w:p>
        </w:tc>
        <w:tc>
          <w:tcPr>
            <w:tcW w:w="50" w:type="pct"/>
            <w:shd w:val="clear" w:color="auto" w:fill="FFFFFF"/>
            <w:vAlign w:val="bottom"/>
            <w:hideMark/>
          </w:tcPr>
          <w:p w14:paraId="088AE257" w14:textId="77777777" w:rsidR="00000000" w:rsidRDefault="007E65A2">
            <w:pPr>
              <w:pStyle w:val="a3"/>
              <w:spacing w:before="0" w:beforeAutospacing="0" w:after="0" w:afterAutospacing="0"/>
              <w:jc w:val="both"/>
              <w:rPr>
                <w:sz w:val="20"/>
                <w:szCs w:val="20"/>
              </w:rPr>
            </w:pPr>
            <w:r>
              <w:rPr>
                <w:sz w:val="20"/>
                <w:szCs w:val="20"/>
              </w:rPr>
              <w:t> </w:t>
            </w:r>
          </w:p>
        </w:tc>
      </w:tr>
      <w:tr w:rsidR="00000000" w14:paraId="4D9334A4" w14:textId="77777777">
        <w:trPr>
          <w:divId w:val="911279972"/>
          <w:tblCellSpacing w:w="0" w:type="dxa"/>
        </w:trPr>
        <w:tc>
          <w:tcPr>
            <w:tcW w:w="0" w:type="auto"/>
            <w:shd w:val="clear" w:color="auto" w:fill="CCEEFF"/>
            <w:vAlign w:val="center"/>
            <w:hideMark/>
          </w:tcPr>
          <w:p w14:paraId="1F9CA67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7AB666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584F76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9131C48"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D30BA0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15E013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60ED2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775B82B"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7A2737C3" w14:textId="77777777" w:rsidR="00000000" w:rsidRDefault="007E65A2">
            <w:pPr>
              <w:pStyle w:val="a3"/>
              <w:spacing w:before="0" w:beforeAutospacing="0" w:after="0" w:afterAutospacing="0"/>
              <w:jc w:val="both"/>
              <w:rPr>
                <w:sz w:val="20"/>
                <w:szCs w:val="20"/>
              </w:rPr>
            </w:pPr>
            <w:r>
              <w:rPr>
                <w:sz w:val="20"/>
                <w:szCs w:val="20"/>
              </w:rPr>
              <w:t> </w:t>
            </w:r>
          </w:p>
        </w:tc>
      </w:tr>
      <w:tr w:rsidR="00000000" w14:paraId="1009803F" w14:textId="77777777">
        <w:trPr>
          <w:divId w:val="911279972"/>
          <w:tblCellSpacing w:w="0" w:type="dxa"/>
        </w:trPr>
        <w:tc>
          <w:tcPr>
            <w:tcW w:w="0" w:type="auto"/>
            <w:shd w:val="clear" w:color="auto" w:fill="FFFFFF"/>
            <w:hideMark/>
          </w:tcPr>
          <w:p w14:paraId="23575AB6" w14:textId="77777777" w:rsidR="00000000" w:rsidRDefault="007E65A2">
            <w:pPr>
              <w:pStyle w:val="a3"/>
              <w:spacing w:before="0" w:beforeAutospacing="0" w:after="0" w:afterAutospacing="0"/>
              <w:jc w:val="both"/>
              <w:rPr>
                <w:sz w:val="20"/>
                <w:szCs w:val="20"/>
              </w:rPr>
            </w:pPr>
            <w:r>
              <w:rPr>
                <w:sz w:val="20"/>
                <w:szCs w:val="20"/>
              </w:rPr>
              <w:t>Accrued interest -related party</w:t>
            </w:r>
          </w:p>
        </w:tc>
        <w:tc>
          <w:tcPr>
            <w:tcW w:w="50" w:type="pct"/>
            <w:shd w:val="clear" w:color="auto" w:fill="FFFFFF"/>
            <w:vAlign w:val="bottom"/>
            <w:hideMark/>
          </w:tcPr>
          <w:p w14:paraId="693FB78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C6FC35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6A543D4"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D2825C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83F518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027DEB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4980C8A" w14:textId="77777777" w:rsidR="00000000" w:rsidRDefault="007E65A2">
            <w:pPr>
              <w:jc w:val="right"/>
              <w:rPr>
                <w:rFonts w:eastAsia="Times New Roman"/>
                <w:sz w:val="20"/>
                <w:szCs w:val="20"/>
              </w:rPr>
            </w:pPr>
            <w:r>
              <w:rPr>
                <w:rFonts w:eastAsia="Times New Roman"/>
                <w:sz w:val="20"/>
                <w:szCs w:val="20"/>
              </w:rPr>
              <w:t>644</w:t>
            </w:r>
          </w:p>
        </w:tc>
        <w:tc>
          <w:tcPr>
            <w:tcW w:w="50" w:type="pct"/>
            <w:shd w:val="clear" w:color="auto" w:fill="FFFFFF"/>
            <w:vAlign w:val="bottom"/>
            <w:hideMark/>
          </w:tcPr>
          <w:p w14:paraId="6825DFD9" w14:textId="77777777" w:rsidR="00000000" w:rsidRDefault="007E65A2">
            <w:pPr>
              <w:pStyle w:val="a3"/>
              <w:spacing w:before="0" w:beforeAutospacing="0" w:after="0" w:afterAutospacing="0"/>
              <w:jc w:val="both"/>
              <w:rPr>
                <w:sz w:val="20"/>
                <w:szCs w:val="20"/>
              </w:rPr>
            </w:pPr>
            <w:r>
              <w:rPr>
                <w:sz w:val="20"/>
                <w:szCs w:val="20"/>
              </w:rPr>
              <w:t> </w:t>
            </w:r>
          </w:p>
        </w:tc>
      </w:tr>
      <w:tr w:rsidR="00000000" w14:paraId="442878E4" w14:textId="77777777">
        <w:trPr>
          <w:divId w:val="911279972"/>
          <w:tblCellSpacing w:w="0" w:type="dxa"/>
        </w:trPr>
        <w:tc>
          <w:tcPr>
            <w:tcW w:w="0" w:type="auto"/>
            <w:shd w:val="clear" w:color="auto" w:fill="CCEEFF"/>
            <w:hideMark/>
          </w:tcPr>
          <w:p w14:paraId="5789A064" w14:textId="77777777" w:rsidR="00000000" w:rsidRDefault="007E65A2">
            <w:pPr>
              <w:pStyle w:val="a3"/>
              <w:spacing w:before="0" w:beforeAutospacing="0" w:after="0" w:afterAutospacing="0"/>
              <w:jc w:val="both"/>
              <w:rPr>
                <w:sz w:val="20"/>
                <w:szCs w:val="20"/>
              </w:rPr>
            </w:pPr>
            <w:r>
              <w:rPr>
                <w:sz w:val="20"/>
                <w:szCs w:val="20"/>
              </w:rPr>
              <w:t>Less: Unamortized debt discount - related party</w:t>
            </w:r>
          </w:p>
        </w:tc>
        <w:tc>
          <w:tcPr>
            <w:tcW w:w="50" w:type="pct"/>
            <w:shd w:val="clear" w:color="auto" w:fill="CCEEFF"/>
            <w:vAlign w:val="bottom"/>
            <w:hideMark/>
          </w:tcPr>
          <w:p w14:paraId="55DAFC4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4D0E56B0"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3A207EA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0BA8531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387910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12D4DD25"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0B348F1D"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A6307A0" w14:textId="77777777" w:rsidR="00000000" w:rsidRDefault="007E65A2">
            <w:pPr>
              <w:pStyle w:val="a3"/>
              <w:spacing w:before="0" w:beforeAutospacing="0" w:after="0" w:afterAutospacing="0"/>
              <w:jc w:val="both"/>
              <w:rPr>
                <w:sz w:val="20"/>
                <w:szCs w:val="20"/>
              </w:rPr>
            </w:pPr>
            <w:r>
              <w:rPr>
                <w:sz w:val="20"/>
                <w:szCs w:val="20"/>
              </w:rPr>
              <w:t> </w:t>
            </w:r>
          </w:p>
        </w:tc>
      </w:tr>
      <w:tr w:rsidR="00000000" w14:paraId="2A3AFCDC" w14:textId="77777777">
        <w:trPr>
          <w:divId w:val="911279972"/>
          <w:tblCellSpacing w:w="0" w:type="dxa"/>
        </w:trPr>
        <w:tc>
          <w:tcPr>
            <w:tcW w:w="0" w:type="auto"/>
            <w:shd w:val="clear" w:color="auto" w:fill="FFFFFF"/>
            <w:hideMark/>
          </w:tcPr>
          <w:p w14:paraId="5FB28EBB" w14:textId="77777777" w:rsidR="00000000" w:rsidRDefault="007E65A2">
            <w:pPr>
              <w:pStyle w:val="a3"/>
              <w:spacing w:before="0" w:beforeAutospacing="0" w:after="0" w:afterAutospacing="0"/>
              <w:jc w:val="both"/>
              <w:rPr>
                <w:sz w:val="20"/>
                <w:szCs w:val="20"/>
              </w:rPr>
            </w:pPr>
            <w:r>
              <w:rPr>
                <w:sz w:val="20"/>
                <w:szCs w:val="20"/>
              </w:rPr>
              <w:t>Total convertible notes</w:t>
            </w:r>
          </w:p>
        </w:tc>
        <w:tc>
          <w:tcPr>
            <w:tcW w:w="50" w:type="pct"/>
            <w:shd w:val="clear" w:color="auto" w:fill="FFFFFF"/>
            <w:vAlign w:val="bottom"/>
            <w:hideMark/>
          </w:tcPr>
          <w:p w14:paraId="601A75D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227DE78"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E8E9D39"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03288D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DB7B68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BE25BD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5EB332E" w14:textId="77777777" w:rsidR="00000000" w:rsidRDefault="007E65A2">
            <w:pPr>
              <w:jc w:val="right"/>
              <w:rPr>
                <w:rFonts w:eastAsia="Times New Roman"/>
                <w:sz w:val="20"/>
                <w:szCs w:val="20"/>
              </w:rPr>
            </w:pPr>
            <w:r>
              <w:rPr>
                <w:rFonts w:eastAsia="Times New Roman"/>
                <w:sz w:val="20"/>
                <w:szCs w:val="20"/>
              </w:rPr>
              <w:t>8,977</w:t>
            </w:r>
          </w:p>
        </w:tc>
        <w:tc>
          <w:tcPr>
            <w:tcW w:w="50" w:type="pct"/>
            <w:shd w:val="clear" w:color="auto" w:fill="FFFFFF"/>
            <w:vAlign w:val="bottom"/>
            <w:hideMark/>
          </w:tcPr>
          <w:p w14:paraId="5B175C40" w14:textId="77777777" w:rsidR="00000000" w:rsidRDefault="007E65A2">
            <w:pPr>
              <w:pStyle w:val="a3"/>
              <w:spacing w:before="0" w:beforeAutospacing="0" w:after="0" w:afterAutospacing="0"/>
              <w:jc w:val="both"/>
              <w:rPr>
                <w:sz w:val="20"/>
                <w:szCs w:val="20"/>
              </w:rPr>
            </w:pPr>
            <w:r>
              <w:rPr>
                <w:sz w:val="20"/>
                <w:szCs w:val="20"/>
              </w:rPr>
              <w:t> </w:t>
            </w:r>
          </w:p>
        </w:tc>
      </w:tr>
      <w:tr w:rsidR="00000000" w14:paraId="325838E0" w14:textId="77777777">
        <w:trPr>
          <w:divId w:val="911279972"/>
          <w:tblCellSpacing w:w="0" w:type="dxa"/>
        </w:trPr>
        <w:tc>
          <w:tcPr>
            <w:tcW w:w="0" w:type="auto"/>
            <w:shd w:val="clear" w:color="auto" w:fill="CCEEFF"/>
            <w:vAlign w:val="center"/>
            <w:hideMark/>
          </w:tcPr>
          <w:p w14:paraId="3403563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F0E809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A675B0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A1BC3EF"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363857A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8690F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774D0B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776D22C"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4699A7C" w14:textId="77777777" w:rsidR="00000000" w:rsidRDefault="007E65A2">
            <w:pPr>
              <w:pStyle w:val="a3"/>
              <w:spacing w:before="0" w:beforeAutospacing="0" w:after="0" w:afterAutospacing="0"/>
              <w:jc w:val="both"/>
              <w:rPr>
                <w:sz w:val="20"/>
                <w:szCs w:val="20"/>
              </w:rPr>
            </w:pPr>
            <w:r>
              <w:rPr>
                <w:sz w:val="20"/>
                <w:szCs w:val="20"/>
              </w:rPr>
              <w:t> </w:t>
            </w:r>
          </w:p>
        </w:tc>
      </w:tr>
      <w:tr w:rsidR="00000000" w14:paraId="49630A66" w14:textId="77777777">
        <w:trPr>
          <w:divId w:val="911279972"/>
          <w:tblCellSpacing w:w="0" w:type="dxa"/>
        </w:trPr>
        <w:tc>
          <w:tcPr>
            <w:tcW w:w="0" w:type="auto"/>
            <w:shd w:val="clear" w:color="auto" w:fill="FFFFFF"/>
            <w:hideMark/>
          </w:tcPr>
          <w:p w14:paraId="7D8ABB31" w14:textId="77777777" w:rsidR="00000000" w:rsidRDefault="007E65A2">
            <w:pPr>
              <w:pStyle w:val="a3"/>
              <w:spacing w:before="0" w:beforeAutospacing="0" w:after="0" w:afterAutospacing="0"/>
              <w:jc w:val="both"/>
              <w:rPr>
                <w:sz w:val="20"/>
                <w:szCs w:val="20"/>
              </w:rPr>
            </w:pPr>
            <w:r>
              <w:rPr>
                <w:sz w:val="20"/>
                <w:szCs w:val="20"/>
              </w:rPr>
              <w:t>Less: current portion of convertible notes - related party</w:t>
            </w:r>
          </w:p>
        </w:tc>
        <w:tc>
          <w:tcPr>
            <w:tcW w:w="50" w:type="pct"/>
            <w:shd w:val="clear" w:color="auto" w:fill="FFFFFF"/>
            <w:vAlign w:val="bottom"/>
            <w:hideMark/>
          </w:tcPr>
          <w:p w14:paraId="4E3C547D"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7B822BD4"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4BD85DD9"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695352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5252BE0"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5E11233D"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5281C675" w14:textId="77777777" w:rsidR="00000000" w:rsidRDefault="007E65A2">
            <w:pPr>
              <w:jc w:val="right"/>
              <w:rPr>
                <w:rFonts w:eastAsia="Times New Roman"/>
                <w:sz w:val="20"/>
                <w:szCs w:val="20"/>
              </w:rPr>
            </w:pPr>
            <w:r>
              <w:rPr>
                <w:rFonts w:eastAsia="Times New Roman"/>
                <w:sz w:val="20"/>
                <w:szCs w:val="20"/>
              </w:rPr>
              <w:t>8,977</w:t>
            </w:r>
          </w:p>
        </w:tc>
        <w:tc>
          <w:tcPr>
            <w:tcW w:w="50" w:type="pct"/>
            <w:shd w:val="clear" w:color="auto" w:fill="FFFFFF"/>
            <w:tcMar>
              <w:top w:w="0" w:type="dxa"/>
              <w:left w:w="0" w:type="dxa"/>
              <w:bottom w:w="15" w:type="dxa"/>
              <w:right w:w="0" w:type="dxa"/>
            </w:tcMar>
            <w:vAlign w:val="bottom"/>
            <w:hideMark/>
          </w:tcPr>
          <w:p w14:paraId="57A7548A" w14:textId="77777777" w:rsidR="00000000" w:rsidRDefault="007E65A2">
            <w:pPr>
              <w:pStyle w:val="a3"/>
              <w:spacing w:before="0" w:beforeAutospacing="0" w:after="0" w:afterAutospacing="0"/>
              <w:jc w:val="both"/>
              <w:rPr>
                <w:sz w:val="20"/>
                <w:szCs w:val="20"/>
              </w:rPr>
            </w:pPr>
            <w:r>
              <w:rPr>
                <w:sz w:val="20"/>
                <w:szCs w:val="20"/>
              </w:rPr>
              <w:t> </w:t>
            </w:r>
          </w:p>
        </w:tc>
      </w:tr>
      <w:tr w:rsidR="00000000" w14:paraId="75A773AA" w14:textId="77777777">
        <w:trPr>
          <w:divId w:val="911279972"/>
          <w:tblCellSpacing w:w="0" w:type="dxa"/>
        </w:trPr>
        <w:tc>
          <w:tcPr>
            <w:tcW w:w="0" w:type="auto"/>
            <w:shd w:val="clear" w:color="auto" w:fill="CCEEFF"/>
            <w:hideMark/>
          </w:tcPr>
          <w:p w14:paraId="7792C3D7" w14:textId="77777777" w:rsidR="00000000" w:rsidRDefault="007E65A2">
            <w:pPr>
              <w:pStyle w:val="a3"/>
              <w:spacing w:before="0" w:beforeAutospacing="0" w:after="0" w:afterAutospacing="0"/>
              <w:jc w:val="both"/>
              <w:rPr>
                <w:sz w:val="20"/>
                <w:szCs w:val="20"/>
              </w:rPr>
            </w:pPr>
            <w:r>
              <w:rPr>
                <w:sz w:val="20"/>
                <w:szCs w:val="20"/>
              </w:rPr>
              <w:t>Long-term convertible notes</w:t>
            </w:r>
          </w:p>
        </w:tc>
        <w:tc>
          <w:tcPr>
            <w:tcW w:w="50" w:type="pct"/>
            <w:shd w:val="clear" w:color="auto" w:fill="CCEEFF"/>
            <w:vAlign w:val="bottom"/>
            <w:hideMark/>
          </w:tcPr>
          <w:p w14:paraId="547018AC"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CCEEFF"/>
            <w:vAlign w:val="bottom"/>
            <w:hideMark/>
          </w:tcPr>
          <w:p w14:paraId="6B6F6B34"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14:paraId="2C70993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76B369A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BE8800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CCEEFF"/>
            <w:vAlign w:val="bottom"/>
            <w:hideMark/>
          </w:tcPr>
          <w:p w14:paraId="0185A462"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14:paraId="7EFFEA69"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3AD0C1CC" w14:textId="77777777" w:rsidR="00000000" w:rsidRDefault="007E65A2">
            <w:pPr>
              <w:pStyle w:val="a3"/>
              <w:spacing w:before="0" w:beforeAutospacing="0" w:after="0" w:afterAutospacing="0"/>
              <w:jc w:val="both"/>
              <w:rPr>
                <w:sz w:val="20"/>
                <w:szCs w:val="20"/>
              </w:rPr>
            </w:pPr>
            <w:r>
              <w:rPr>
                <w:sz w:val="20"/>
                <w:szCs w:val="20"/>
              </w:rPr>
              <w:t> </w:t>
            </w:r>
          </w:p>
        </w:tc>
      </w:tr>
    </w:tbl>
    <w:p w14:paraId="340D48AE" w14:textId="77777777" w:rsidR="00000000" w:rsidRDefault="007E65A2">
      <w:pPr>
        <w:pStyle w:val="a3"/>
        <w:spacing w:before="0" w:beforeAutospacing="0" w:after="0" w:afterAutospacing="0"/>
        <w:jc w:val="both"/>
        <w:divId w:val="911279972"/>
        <w:rPr>
          <w:sz w:val="20"/>
          <w:szCs w:val="20"/>
        </w:rPr>
      </w:pPr>
      <w:r>
        <w:rPr>
          <w:sz w:val="20"/>
          <w:szCs w:val="20"/>
        </w:rPr>
        <w:t> </w:t>
      </w:r>
    </w:p>
    <w:p w14:paraId="7CAA01DD"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and 2018, the Company recognized amortization of discount, included in interest expense, of $0 and $8,333, respectively.</w:t>
      </w:r>
    </w:p>
    <w:p w14:paraId="21168681"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F5E58B0" w14:textId="77777777">
        <w:trPr>
          <w:divId w:val="911279972"/>
          <w:tblCellSpacing w:w="0" w:type="dxa"/>
        </w:trPr>
        <w:tc>
          <w:tcPr>
            <w:tcW w:w="0" w:type="auto"/>
            <w:vAlign w:val="center"/>
            <w:hideMark/>
          </w:tcPr>
          <w:p w14:paraId="7832C938" w14:textId="77777777" w:rsidR="00000000" w:rsidRDefault="007E65A2">
            <w:pPr>
              <w:rPr>
                <w:rFonts w:eastAsia="Times New Roman"/>
                <w:sz w:val="20"/>
                <w:szCs w:val="20"/>
              </w:rPr>
            </w:pPr>
            <w:r>
              <w:rPr>
                <w:rFonts w:eastAsia="Times New Roman"/>
                <w:sz w:val="20"/>
                <w:szCs w:val="20"/>
              </w:rPr>
              <w:t> </w:t>
            </w:r>
          </w:p>
        </w:tc>
      </w:tr>
      <w:tr w:rsidR="00000000" w14:paraId="6A787623" w14:textId="77777777">
        <w:trPr>
          <w:divId w:val="911279972"/>
          <w:tblCellSpacing w:w="0" w:type="dxa"/>
        </w:trPr>
        <w:tc>
          <w:tcPr>
            <w:tcW w:w="0" w:type="auto"/>
            <w:tcBorders>
              <w:bottom w:val="single" w:sz="6" w:space="0" w:color="000000"/>
            </w:tcBorders>
            <w:vAlign w:val="center"/>
            <w:hideMark/>
          </w:tcPr>
          <w:p w14:paraId="717D2EC7" w14:textId="77777777" w:rsidR="00000000" w:rsidRDefault="007E65A2">
            <w:pPr>
              <w:jc w:val="center"/>
              <w:rPr>
                <w:rFonts w:eastAsia="Times New Roman"/>
                <w:sz w:val="20"/>
                <w:szCs w:val="20"/>
              </w:rPr>
            </w:pPr>
            <w:r>
              <w:rPr>
                <w:rFonts w:eastAsia="Times New Roman"/>
                <w:sz w:val="20"/>
                <w:szCs w:val="20"/>
              </w:rPr>
              <w:t>F-15</w:t>
            </w:r>
          </w:p>
        </w:tc>
      </w:tr>
      <w:tr w:rsidR="00000000" w14:paraId="33A0E41E" w14:textId="77777777">
        <w:trPr>
          <w:divId w:val="911279972"/>
          <w:tblCellSpacing w:w="0" w:type="dxa"/>
        </w:trPr>
        <w:tc>
          <w:tcPr>
            <w:tcW w:w="0" w:type="auto"/>
            <w:vAlign w:val="center"/>
            <w:hideMark/>
          </w:tcPr>
          <w:p w14:paraId="2A5901A5" w14:textId="77777777" w:rsidR="00000000" w:rsidRDefault="007E65A2">
            <w:pPr>
              <w:rPr>
                <w:rFonts w:eastAsia="Times New Roman"/>
                <w:sz w:val="20"/>
                <w:szCs w:val="20"/>
              </w:rPr>
            </w:pPr>
            <w:r>
              <w:rPr>
                <w:rFonts w:eastAsia="Times New Roman"/>
                <w:sz w:val="20"/>
                <w:szCs w:val="20"/>
              </w:rPr>
              <w:t> </w:t>
            </w:r>
          </w:p>
        </w:tc>
      </w:tr>
      <w:tr w:rsidR="00000000" w14:paraId="71B15A61" w14:textId="77777777">
        <w:trPr>
          <w:divId w:val="911279972"/>
          <w:tblCellSpacing w:w="0" w:type="dxa"/>
        </w:trPr>
        <w:tc>
          <w:tcPr>
            <w:tcW w:w="0" w:type="auto"/>
            <w:vAlign w:val="center"/>
            <w:hideMark/>
          </w:tcPr>
          <w:p w14:paraId="3E5C302F"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3BE53D3D" w14:textId="77777777" w:rsidR="00000000" w:rsidRDefault="007E65A2">
      <w:pPr>
        <w:pStyle w:val="a3"/>
        <w:spacing w:before="0" w:beforeAutospacing="0" w:after="0" w:afterAutospacing="0"/>
        <w:jc w:val="both"/>
        <w:divId w:val="911279972"/>
        <w:rPr>
          <w:sz w:val="20"/>
          <w:szCs w:val="20"/>
        </w:rPr>
      </w:pPr>
      <w:r>
        <w:rPr>
          <w:sz w:val="20"/>
          <w:szCs w:val="20"/>
        </w:rPr>
        <w:t>  </w:t>
      </w:r>
    </w:p>
    <w:p w14:paraId="646B2CB1" w14:textId="77777777" w:rsidR="00000000" w:rsidRDefault="007E65A2">
      <w:pPr>
        <w:pStyle w:val="a3"/>
        <w:spacing w:before="0" w:beforeAutospacing="0" w:after="0" w:afterAutospacing="0"/>
        <w:jc w:val="both"/>
        <w:divId w:val="911279972"/>
        <w:rPr>
          <w:sz w:val="20"/>
          <w:szCs w:val="20"/>
        </w:rPr>
      </w:pPr>
      <w:r>
        <w:rPr>
          <w:i/>
          <w:iCs/>
          <w:sz w:val="20"/>
          <w:szCs w:val="20"/>
        </w:rPr>
        <w:t>Conversion</w:t>
      </w:r>
    </w:p>
    <w:p w14:paraId="7E9E72D7" w14:textId="77777777" w:rsidR="00000000" w:rsidRDefault="007E65A2">
      <w:pPr>
        <w:pStyle w:val="a3"/>
        <w:spacing w:before="0" w:beforeAutospacing="0" w:after="0" w:afterAutospacing="0"/>
        <w:jc w:val="both"/>
        <w:divId w:val="911279972"/>
        <w:rPr>
          <w:sz w:val="20"/>
          <w:szCs w:val="20"/>
        </w:rPr>
      </w:pPr>
      <w:r>
        <w:rPr>
          <w:sz w:val="20"/>
          <w:szCs w:val="20"/>
        </w:rPr>
        <w:t> </w:t>
      </w:r>
    </w:p>
    <w:p w14:paraId="1FA89B91"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the Company converted notes with principal amounts and accrued interest of $10,158 into 101,597,905 shares of common stock. The corresponding derivative liability at the date of conversion of $30,479 was settled through</w:t>
      </w:r>
      <w:r>
        <w:rPr>
          <w:sz w:val="20"/>
          <w:szCs w:val="20"/>
        </w:rPr>
        <w:t xml:space="preserve"> additional paid in capital.</w:t>
      </w:r>
    </w:p>
    <w:p w14:paraId="2264CE16" w14:textId="77777777" w:rsidR="00000000" w:rsidRDefault="007E65A2">
      <w:pPr>
        <w:pStyle w:val="a3"/>
        <w:spacing w:before="0" w:beforeAutospacing="0" w:after="0" w:afterAutospacing="0"/>
        <w:jc w:val="both"/>
        <w:divId w:val="911279972"/>
        <w:rPr>
          <w:sz w:val="20"/>
          <w:szCs w:val="20"/>
        </w:rPr>
      </w:pPr>
      <w:r>
        <w:rPr>
          <w:sz w:val="20"/>
          <w:szCs w:val="20"/>
        </w:rPr>
        <w:t> </w:t>
      </w:r>
    </w:p>
    <w:p w14:paraId="1042F59E" w14:textId="77777777" w:rsidR="00000000" w:rsidRDefault="007E65A2">
      <w:pPr>
        <w:pStyle w:val="a3"/>
        <w:spacing w:before="0" w:beforeAutospacing="0" w:after="0" w:afterAutospacing="0"/>
        <w:jc w:val="both"/>
        <w:divId w:val="911279972"/>
        <w:rPr>
          <w:sz w:val="20"/>
          <w:szCs w:val="20"/>
        </w:rPr>
      </w:pPr>
      <w:r>
        <w:rPr>
          <w:i/>
          <w:iCs/>
          <w:sz w:val="20"/>
          <w:szCs w:val="20"/>
        </w:rPr>
        <w:t>Promissory Notes - Issued in fiscal year 2018</w:t>
      </w:r>
    </w:p>
    <w:p w14:paraId="73D556C8" w14:textId="77777777" w:rsidR="00000000" w:rsidRDefault="007E65A2">
      <w:pPr>
        <w:pStyle w:val="a3"/>
        <w:spacing w:before="0" w:beforeAutospacing="0" w:after="0" w:afterAutospacing="0"/>
        <w:jc w:val="both"/>
        <w:divId w:val="911279972"/>
        <w:rPr>
          <w:sz w:val="20"/>
          <w:szCs w:val="20"/>
        </w:rPr>
      </w:pPr>
      <w:r>
        <w:rPr>
          <w:sz w:val="20"/>
          <w:szCs w:val="20"/>
        </w:rPr>
        <w:t> </w:t>
      </w:r>
    </w:p>
    <w:p w14:paraId="5A6F3330"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2018, the Company issued a total of $8,333 note with the following terms:</w:t>
      </w:r>
    </w:p>
    <w:p w14:paraId="770B8E14"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765F02C7" w14:textId="77777777">
        <w:trPr>
          <w:divId w:val="911279972"/>
          <w:trHeight w:val="180"/>
          <w:tblCellSpacing w:w="0" w:type="dxa"/>
        </w:trPr>
        <w:tc>
          <w:tcPr>
            <w:tcW w:w="200" w:type="pct"/>
            <w:vAlign w:val="center"/>
            <w:hideMark/>
          </w:tcPr>
          <w:p w14:paraId="115686B6"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3F7AA7E5"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5F87C35F" w14:textId="77777777" w:rsidR="00000000" w:rsidRDefault="007E65A2">
            <w:pPr>
              <w:pStyle w:val="a3"/>
              <w:spacing w:before="0" w:beforeAutospacing="0" w:after="0" w:afterAutospacing="0"/>
              <w:jc w:val="both"/>
              <w:rPr>
                <w:sz w:val="20"/>
                <w:szCs w:val="20"/>
              </w:rPr>
            </w:pPr>
            <w:r>
              <w:rPr>
                <w:sz w:val="20"/>
                <w:szCs w:val="20"/>
              </w:rPr>
              <w:t>Terms of 6 months.</w:t>
            </w:r>
          </w:p>
        </w:tc>
      </w:tr>
      <w:tr w:rsidR="00000000" w14:paraId="2543E6B6" w14:textId="77777777">
        <w:trPr>
          <w:divId w:val="911279972"/>
          <w:trHeight w:val="180"/>
          <w:tblCellSpacing w:w="0" w:type="dxa"/>
        </w:trPr>
        <w:tc>
          <w:tcPr>
            <w:tcW w:w="0" w:type="auto"/>
            <w:vAlign w:val="center"/>
            <w:hideMark/>
          </w:tcPr>
          <w:p w14:paraId="35FA8262"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6668A744"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57E5C859" w14:textId="77777777" w:rsidR="00000000" w:rsidRDefault="007E65A2">
            <w:pPr>
              <w:pStyle w:val="a3"/>
              <w:spacing w:before="0" w:beforeAutospacing="0" w:after="0" w:afterAutospacing="0"/>
              <w:jc w:val="both"/>
              <w:rPr>
                <w:sz w:val="20"/>
                <w:szCs w:val="20"/>
              </w:rPr>
            </w:pPr>
            <w:r>
              <w:rPr>
                <w:sz w:val="20"/>
                <w:szCs w:val="20"/>
              </w:rPr>
              <w:t>Annual interest rates of 8%.</w:t>
            </w:r>
          </w:p>
        </w:tc>
      </w:tr>
      <w:tr w:rsidR="00000000" w14:paraId="1A14B435" w14:textId="77777777">
        <w:trPr>
          <w:divId w:val="911279972"/>
          <w:trHeight w:val="180"/>
          <w:tblCellSpacing w:w="0" w:type="dxa"/>
        </w:trPr>
        <w:tc>
          <w:tcPr>
            <w:tcW w:w="0" w:type="auto"/>
            <w:vAlign w:val="center"/>
            <w:hideMark/>
          </w:tcPr>
          <w:p w14:paraId="38F68891"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64E20235"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4D7B9BCC" w14:textId="77777777" w:rsidR="00000000" w:rsidRDefault="007E65A2">
            <w:pPr>
              <w:pStyle w:val="a3"/>
              <w:spacing w:before="0" w:beforeAutospacing="0" w:after="0" w:afterAutospacing="0"/>
              <w:jc w:val="both"/>
              <w:rPr>
                <w:sz w:val="20"/>
                <w:szCs w:val="20"/>
              </w:rPr>
            </w:pPr>
            <w:r>
              <w:rPr>
                <w:sz w:val="20"/>
                <w:szCs w:val="20"/>
              </w:rPr>
              <w:t>Convertible at the option of the holders at issuance.</w:t>
            </w:r>
          </w:p>
        </w:tc>
      </w:tr>
      <w:tr w:rsidR="00000000" w14:paraId="0DCCFCE1" w14:textId="77777777">
        <w:trPr>
          <w:divId w:val="911279972"/>
          <w:trHeight w:val="180"/>
          <w:tblCellSpacing w:w="0" w:type="dxa"/>
        </w:trPr>
        <w:tc>
          <w:tcPr>
            <w:tcW w:w="0" w:type="auto"/>
            <w:vAlign w:val="center"/>
            <w:hideMark/>
          </w:tcPr>
          <w:p w14:paraId="27521997"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13AC8283"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5C178819" w14:textId="77777777" w:rsidR="00000000" w:rsidRDefault="007E65A2">
            <w:pPr>
              <w:pStyle w:val="a3"/>
              <w:spacing w:before="0" w:beforeAutospacing="0" w:after="0" w:afterAutospacing="0"/>
              <w:jc w:val="both"/>
              <w:rPr>
                <w:sz w:val="20"/>
                <w:szCs w:val="20"/>
              </w:rPr>
            </w:pPr>
            <w:r>
              <w:rPr>
                <w:sz w:val="20"/>
                <w:szCs w:val="20"/>
              </w:rPr>
              <w:t>Conversion prices are typically based on the discounted (45% discount) average closing prices of the Company’s shares during 20 days prior to conversion.</w:t>
            </w:r>
          </w:p>
        </w:tc>
      </w:tr>
    </w:tbl>
    <w:p w14:paraId="0C0DF665" w14:textId="77777777" w:rsidR="00000000" w:rsidRDefault="007E65A2">
      <w:pPr>
        <w:pStyle w:val="a3"/>
        <w:spacing w:before="0" w:beforeAutospacing="0" w:after="0" w:afterAutospacing="0"/>
        <w:jc w:val="both"/>
        <w:divId w:val="911279972"/>
        <w:rPr>
          <w:sz w:val="20"/>
          <w:szCs w:val="20"/>
        </w:rPr>
      </w:pPr>
      <w:r>
        <w:rPr>
          <w:sz w:val="20"/>
          <w:szCs w:val="20"/>
        </w:rPr>
        <w:t> </w:t>
      </w:r>
    </w:p>
    <w:p w14:paraId="0EB22C14" w14:textId="77777777" w:rsidR="00000000" w:rsidRDefault="007E65A2">
      <w:pPr>
        <w:pStyle w:val="a3"/>
        <w:spacing w:before="0" w:beforeAutospacing="0" w:after="0" w:afterAutospacing="0"/>
        <w:jc w:val="both"/>
        <w:divId w:val="911279972"/>
        <w:rPr>
          <w:sz w:val="20"/>
          <w:szCs w:val="20"/>
        </w:rPr>
      </w:pPr>
      <w:r>
        <w:rPr>
          <w:sz w:val="20"/>
          <w:szCs w:val="20"/>
        </w:rPr>
        <w:t>The Co</w:t>
      </w:r>
      <w:r>
        <w:rPr>
          <w:sz w:val="20"/>
          <w:szCs w:val="20"/>
        </w:rPr>
        <w:t>mpany received cash of $8,333. Note is currently in default.</w:t>
      </w:r>
    </w:p>
    <w:p w14:paraId="6451B542" w14:textId="77777777" w:rsidR="00000000" w:rsidRDefault="007E65A2">
      <w:pPr>
        <w:pStyle w:val="a3"/>
        <w:spacing w:before="0" w:beforeAutospacing="0" w:after="0" w:afterAutospacing="0"/>
        <w:jc w:val="both"/>
        <w:divId w:val="911279972"/>
        <w:rPr>
          <w:sz w:val="20"/>
          <w:szCs w:val="20"/>
        </w:rPr>
      </w:pPr>
      <w:r>
        <w:rPr>
          <w:sz w:val="20"/>
          <w:szCs w:val="20"/>
        </w:rPr>
        <w:t> </w:t>
      </w:r>
    </w:p>
    <w:p w14:paraId="2DA39572" w14:textId="77777777" w:rsidR="00000000" w:rsidRDefault="007E65A2">
      <w:pPr>
        <w:pStyle w:val="a3"/>
        <w:spacing w:before="0" w:beforeAutospacing="0" w:after="0" w:afterAutospacing="0"/>
        <w:jc w:val="both"/>
        <w:divId w:val="911279972"/>
        <w:rPr>
          <w:sz w:val="20"/>
          <w:szCs w:val="20"/>
        </w:rPr>
      </w:pPr>
      <w:r>
        <w:rPr>
          <w:sz w:val="20"/>
          <w:szCs w:val="20"/>
        </w:rPr>
        <w:t>The Company determined that the conversion feature met the definition of a liability in accordance with ASC Topic No. 815 - 40, Derivatives and Hedging - Contracts in Entity’s Own Stock and the</w:t>
      </w:r>
      <w:r>
        <w:rPr>
          <w:sz w:val="20"/>
          <w:szCs w:val="20"/>
        </w:rPr>
        <w:t>refore bifurcated the embedded conversion option once the note becomes convertible and accounted for it as a derivative liability. The fair value of the conversion feature was recorded as a debt discount and amortized to interest expense over the term of t</w:t>
      </w:r>
      <w:r>
        <w:rPr>
          <w:sz w:val="20"/>
          <w:szCs w:val="20"/>
        </w:rPr>
        <w:t>he note.</w:t>
      </w:r>
    </w:p>
    <w:p w14:paraId="77A9028A" w14:textId="77777777" w:rsidR="00000000" w:rsidRDefault="007E65A2">
      <w:pPr>
        <w:pStyle w:val="a3"/>
        <w:spacing w:before="0" w:beforeAutospacing="0" w:after="0" w:afterAutospacing="0"/>
        <w:jc w:val="both"/>
        <w:divId w:val="911279972"/>
        <w:rPr>
          <w:sz w:val="20"/>
          <w:szCs w:val="20"/>
        </w:rPr>
      </w:pPr>
      <w:r>
        <w:rPr>
          <w:sz w:val="20"/>
          <w:szCs w:val="20"/>
        </w:rPr>
        <w:t> </w:t>
      </w:r>
    </w:p>
    <w:p w14:paraId="29D356F4" w14:textId="77777777" w:rsidR="00000000" w:rsidRDefault="007E65A2">
      <w:pPr>
        <w:pStyle w:val="a3"/>
        <w:spacing w:before="0" w:beforeAutospacing="0" w:after="0" w:afterAutospacing="0"/>
        <w:jc w:val="both"/>
        <w:divId w:val="911279972"/>
        <w:rPr>
          <w:sz w:val="20"/>
          <w:szCs w:val="20"/>
        </w:rPr>
      </w:pPr>
      <w:r>
        <w:rPr>
          <w:sz w:val="20"/>
          <w:szCs w:val="20"/>
        </w:rPr>
        <w:t>The Company valued the conversion feature using the Black Scholes valuation model. The fair value of the derivative liability for all the notes that became convertible, including the notes issued in prior years, during the year ended June 30, 20</w:t>
      </w:r>
      <w:r>
        <w:rPr>
          <w:sz w:val="20"/>
          <w:szCs w:val="20"/>
        </w:rPr>
        <w:t>18 amounted to $9,371. $8,333 of the value assigned to the derivative liability was recognized as a debt discount to the notes while the balance of $1,038 was recognized as a “day 1” derivative loss.</w:t>
      </w:r>
    </w:p>
    <w:p w14:paraId="2BBB9AFE" w14:textId="77777777" w:rsidR="00000000" w:rsidRDefault="007E65A2">
      <w:pPr>
        <w:pStyle w:val="a3"/>
        <w:spacing w:before="0" w:beforeAutospacing="0" w:after="0" w:afterAutospacing="0"/>
        <w:jc w:val="both"/>
        <w:divId w:val="911279972"/>
        <w:rPr>
          <w:sz w:val="20"/>
          <w:szCs w:val="20"/>
        </w:rPr>
      </w:pPr>
      <w:r>
        <w:rPr>
          <w:sz w:val="20"/>
          <w:szCs w:val="20"/>
        </w:rPr>
        <w:t> </w:t>
      </w:r>
    </w:p>
    <w:p w14:paraId="5735DFA2" w14:textId="77777777" w:rsidR="00000000" w:rsidRDefault="007E65A2">
      <w:pPr>
        <w:pStyle w:val="a3"/>
        <w:spacing w:before="0" w:beforeAutospacing="0" w:after="0" w:afterAutospacing="0"/>
        <w:jc w:val="both"/>
        <w:divId w:val="911279972"/>
        <w:rPr>
          <w:sz w:val="20"/>
          <w:szCs w:val="20"/>
        </w:rPr>
      </w:pPr>
      <w:r>
        <w:rPr>
          <w:b/>
          <w:bCs/>
          <w:sz w:val="20"/>
          <w:szCs w:val="20"/>
        </w:rPr>
        <w:t>7. DERIVATIVE LIABILITIES</w:t>
      </w:r>
    </w:p>
    <w:p w14:paraId="48D13021" w14:textId="77777777" w:rsidR="00000000" w:rsidRDefault="007E65A2">
      <w:pPr>
        <w:pStyle w:val="a3"/>
        <w:spacing w:before="0" w:beforeAutospacing="0" w:after="0" w:afterAutospacing="0"/>
        <w:jc w:val="both"/>
        <w:divId w:val="911279972"/>
        <w:rPr>
          <w:sz w:val="20"/>
          <w:szCs w:val="20"/>
        </w:rPr>
      </w:pPr>
      <w:r>
        <w:rPr>
          <w:sz w:val="20"/>
          <w:szCs w:val="20"/>
        </w:rPr>
        <w:t> </w:t>
      </w:r>
    </w:p>
    <w:p w14:paraId="1C303982" w14:textId="77777777" w:rsidR="00000000" w:rsidRDefault="007E65A2">
      <w:pPr>
        <w:pStyle w:val="a3"/>
        <w:spacing w:before="0" w:beforeAutospacing="0" w:after="0" w:afterAutospacing="0"/>
        <w:jc w:val="both"/>
        <w:divId w:val="911279972"/>
        <w:rPr>
          <w:sz w:val="20"/>
          <w:szCs w:val="20"/>
        </w:rPr>
      </w:pPr>
      <w:r>
        <w:rPr>
          <w:sz w:val="20"/>
          <w:szCs w:val="20"/>
        </w:rPr>
        <w:t>The Company analyzed the c</w:t>
      </w:r>
      <w:r>
        <w:rPr>
          <w:sz w:val="20"/>
          <w:szCs w:val="20"/>
        </w:rPr>
        <w:t>onversion option for derivative accounting consideration under ASC 815, Derivatives and Hedging, and hedging, and determined that the instrument should be classified as a liability since the conversion option becomes effective at issuance resulting in ther</w:t>
      </w:r>
      <w:r>
        <w:rPr>
          <w:sz w:val="20"/>
          <w:szCs w:val="20"/>
        </w:rPr>
        <w:t>e being no explicit limit to the number of shares to be delivered upon settlement of the above conversion options.</w:t>
      </w:r>
    </w:p>
    <w:p w14:paraId="011AE9B3" w14:textId="77777777" w:rsidR="00000000" w:rsidRDefault="007E65A2">
      <w:pPr>
        <w:pStyle w:val="a3"/>
        <w:spacing w:before="0" w:beforeAutospacing="0" w:after="0" w:afterAutospacing="0"/>
        <w:jc w:val="both"/>
        <w:divId w:val="911279972"/>
        <w:rPr>
          <w:sz w:val="20"/>
          <w:szCs w:val="20"/>
        </w:rPr>
      </w:pPr>
      <w:r>
        <w:rPr>
          <w:sz w:val="20"/>
          <w:szCs w:val="20"/>
        </w:rPr>
        <w:t> </w:t>
      </w:r>
    </w:p>
    <w:p w14:paraId="008437B8" w14:textId="77777777" w:rsidR="00000000" w:rsidRDefault="007E65A2">
      <w:pPr>
        <w:pStyle w:val="a3"/>
        <w:spacing w:before="0" w:beforeAutospacing="0" w:after="0" w:afterAutospacing="0"/>
        <w:jc w:val="both"/>
        <w:divId w:val="911279972"/>
        <w:rPr>
          <w:sz w:val="20"/>
          <w:szCs w:val="20"/>
        </w:rPr>
      </w:pPr>
      <w:r>
        <w:rPr>
          <w:sz w:val="20"/>
          <w:szCs w:val="20"/>
        </w:rPr>
        <w:t>Fair Value Assumptions Used in Accounting for Derivative Liabilities.</w:t>
      </w:r>
    </w:p>
    <w:p w14:paraId="6B5A5074" w14:textId="77777777" w:rsidR="00000000" w:rsidRDefault="007E65A2">
      <w:pPr>
        <w:pStyle w:val="a3"/>
        <w:spacing w:before="0" w:beforeAutospacing="0" w:after="0" w:afterAutospacing="0"/>
        <w:jc w:val="both"/>
        <w:divId w:val="911279972"/>
        <w:rPr>
          <w:sz w:val="20"/>
          <w:szCs w:val="20"/>
        </w:rPr>
      </w:pPr>
      <w:r>
        <w:rPr>
          <w:sz w:val="20"/>
          <w:szCs w:val="20"/>
        </w:rPr>
        <w:t> </w:t>
      </w:r>
    </w:p>
    <w:p w14:paraId="02CD69D7" w14:textId="77777777" w:rsidR="00000000" w:rsidRDefault="007E65A2">
      <w:pPr>
        <w:pStyle w:val="a3"/>
        <w:spacing w:before="0" w:beforeAutospacing="0" w:after="0" w:afterAutospacing="0"/>
        <w:jc w:val="both"/>
        <w:divId w:val="911279972"/>
        <w:rPr>
          <w:sz w:val="20"/>
          <w:szCs w:val="20"/>
        </w:rPr>
      </w:pPr>
      <w:r>
        <w:rPr>
          <w:sz w:val="20"/>
          <w:szCs w:val="20"/>
        </w:rPr>
        <w:t>ASC 815 requires we assess the fair market value of derivative liab</w:t>
      </w:r>
      <w:r>
        <w:rPr>
          <w:sz w:val="20"/>
          <w:szCs w:val="20"/>
        </w:rPr>
        <w:t>ility at the end of each reporting period and recognize any change in the fair market value as other income or expense item.</w:t>
      </w:r>
    </w:p>
    <w:p w14:paraId="1D62136E" w14:textId="77777777" w:rsidR="00000000" w:rsidRDefault="007E65A2">
      <w:pPr>
        <w:pStyle w:val="a3"/>
        <w:spacing w:before="0" w:beforeAutospacing="0" w:after="0" w:afterAutospacing="0"/>
        <w:jc w:val="both"/>
        <w:divId w:val="911279972"/>
        <w:rPr>
          <w:sz w:val="20"/>
          <w:szCs w:val="20"/>
        </w:rPr>
      </w:pPr>
      <w:r>
        <w:rPr>
          <w:sz w:val="20"/>
          <w:szCs w:val="20"/>
        </w:rPr>
        <w:t> </w:t>
      </w:r>
    </w:p>
    <w:p w14:paraId="569030E3" w14:textId="77777777" w:rsidR="00000000" w:rsidRDefault="007E65A2">
      <w:pPr>
        <w:pStyle w:val="a3"/>
        <w:spacing w:before="0" w:beforeAutospacing="0" w:after="0" w:afterAutospacing="0"/>
        <w:jc w:val="both"/>
        <w:divId w:val="911279972"/>
        <w:rPr>
          <w:sz w:val="20"/>
          <w:szCs w:val="20"/>
        </w:rPr>
      </w:pPr>
      <w:r>
        <w:rPr>
          <w:sz w:val="20"/>
          <w:szCs w:val="20"/>
        </w:rPr>
        <w:t>The Company determined our derivative liabilities to be a Level 3 fair value measurement and used the Black-Scholes pricing model to calculate the fair value as of June 30, 2019. The Black-Scholes model requires six basic data inputs: the exercise or strik</w:t>
      </w:r>
      <w:r>
        <w:rPr>
          <w:sz w:val="20"/>
          <w:szCs w:val="20"/>
        </w:rPr>
        <w:t>e price, time to expiration, the risk free interest rate, the current stock price, the estimated volatility of the stock price in the future, and the dividend rate. Changes to these inputs could produce a significantly higher or lower fair value measuremen</w:t>
      </w:r>
      <w:r>
        <w:rPr>
          <w:sz w:val="20"/>
          <w:szCs w:val="20"/>
        </w:rPr>
        <w:t>t. The fair value of each convertible note is estimated using the Black-Scholes valuation model.</w:t>
      </w:r>
    </w:p>
    <w:p w14:paraId="74B061B5" w14:textId="77777777" w:rsidR="00000000" w:rsidRDefault="007E65A2">
      <w:pPr>
        <w:pStyle w:val="a3"/>
        <w:spacing w:before="0" w:beforeAutospacing="0" w:after="0" w:afterAutospacing="0"/>
        <w:jc w:val="both"/>
        <w:divId w:val="911279972"/>
        <w:rPr>
          <w:sz w:val="20"/>
          <w:szCs w:val="20"/>
        </w:rPr>
      </w:pPr>
      <w:r>
        <w:rPr>
          <w:sz w:val="20"/>
          <w:szCs w:val="20"/>
        </w:rPr>
        <w:t> </w:t>
      </w:r>
    </w:p>
    <w:p w14:paraId="2DA15684" w14:textId="77777777" w:rsidR="00000000" w:rsidRDefault="007E65A2">
      <w:pPr>
        <w:pStyle w:val="a3"/>
        <w:spacing w:before="0" w:beforeAutospacing="0" w:after="0" w:afterAutospacing="0"/>
        <w:jc w:val="both"/>
        <w:divId w:val="911279972"/>
        <w:rPr>
          <w:sz w:val="20"/>
          <w:szCs w:val="20"/>
        </w:rPr>
      </w:pPr>
      <w:r>
        <w:rPr>
          <w:sz w:val="20"/>
          <w:szCs w:val="20"/>
        </w:rPr>
        <w:t>For the year ended June 30, 2019 and 2018, the estimated fair values of the liabilities measured on a recurring basis are as follows:</w:t>
      </w:r>
    </w:p>
    <w:p w14:paraId="2180BFE0"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288"/>
        <w:gridCol w:w="59"/>
        <w:gridCol w:w="59"/>
        <w:gridCol w:w="724"/>
        <w:gridCol w:w="167"/>
        <w:gridCol w:w="59"/>
        <w:gridCol w:w="59"/>
        <w:gridCol w:w="724"/>
        <w:gridCol w:w="167"/>
      </w:tblGrid>
      <w:tr w:rsidR="00000000" w14:paraId="14E76538" w14:textId="77777777">
        <w:trPr>
          <w:divId w:val="911279972"/>
          <w:tblCellSpacing w:w="0" w:type="dxa"/>
        </w:trPr>
        <w:tc>
          <w:tcPr>
            <w:tcW w:w="0" w:type="auto"/>
            <w:vAlign w:val="bottom"/>
            <w:hideMark/>
          </w:tcPr>
          <w:p w14:paraId="634DB782"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3785ECD7"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27DBBC30" w14:textId="77777777" w:rsidR="00000000" w:rsidRDefault="007E65A2">
            <w:pPr>
              <w:pStyle w:val="a3"/>
              <w:spacing w:before="0" w:beforeAutospacing="0" w:after="0" w:afterAutospacing="0"/>
              <w:jc w:val="center"/>
              <w:rPr>
                <w:sz w:val="20"/>
                <w:szCs w:val="20"/>
              </w:rPr>
            </w:pPr>
            <w:r>
              <w:rPr>
                <w:b/>
                <w:bCs/>
                <w:sz w:val="20"/>
                <w:szCs w:val="20"/>
              </w:rPr>
              <w:t>Year Ended</w:t>
            </w:r>
          </w:p>
        </w:tc>
        <w:tc>
          <w:tcPr>
            <w:tcW w:w="0" w:type="auto"/>
            <w:vAlign w:val="bottom"/>
            <w:hideMark/>
          </w:tcPr>
          <w:p w14:paraId="33CF4D3D"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32D2E1CC"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5F2D1145" w14:textId="77777777" w:rsidR="00000000" w:rsidRDefault="007E65A2">
            <w:pPr>
              <w:pStyle w:val="a3"/>
              <w:spacing w:before="0" w:beforeAutospacing="0" w:after="0" w:afterAutospacing="0"/>
              <w:jc w:val="center"/>
              <w:rPr>
                <w:sz w:val="20"/>
                <w:szCs w:val="20"/>
              </w:rPr>
            </w:pPr>
            <w:r>
              <w:rPr>
                <w:b/>
                <w:bCs/>
                <w:sz w:val="20"/>
                <w:szCs w:val="20"/>
              </w:rPr>
              <w:t>Y</w:t>
            </w:r>
            <w:r>
              <w:rPr>
                <w:b/>
                <w:bCs/>
                <w:sz w:val="20"/>
                <w:szCs w:val="20"/>
              </w:rPr>
              <w:t xml:space="preserve">ear Ended </w:t>
            </w:r>
          </w:p>
        </w:tc>
        <w:tc>
          <w:tcPr>
            <w:tcW w:w="0" w:type="auto"/>
            <w:vAlign w:val="bottom"/>
            <w:hideMark/>
          </w:tcPr>
          <w:p w14:paraId="5EFC6CD1" w14:textId="77777777" w:rsidR="00000000" w:rsidRDefault="007E65A2">
            <w:pPr>
              <w:pStyle w:val="a3"/>
              <w:spacing w:before="0" w:beforeAutospacing="0" w:after="0" w:afterAutospacing="0"/>
              <w:jc w:val="both"/>
              <w:rPr>
                <w:sz w:val="20"/>
                <w:szCs w:val="20"/>
              </w:rPr>
            </w:pPr>
            <w:r>
              <w:rPr>
                <w:b/>
                <w:bCs/>
                <w:sz w:val="20"/>
                <w:szCs w:val="20"/>
              </w:rPr>
              <w:t> </w:t>
            </w:r>
          </w:p>
        </w:tc>
      </w:tr>
      <w:tr w:rsidR="00000000" w14:paraId="65EDE1B6" w14:textId="77777777">
        <w:trPr>
          <w:divId w:val="911279972"/>
          <w:tblCellSpacing w:w="0" w:type="dxa"/>
        </w:trPr>
        <w:tc>
          <w:tcPr>
            <w:tcW w:w="0" w:type="auto"/>
            <w:vAlign w:val="bottom"/>
            <w:hideMark/>
          </w:tcPr>
          <w:p w14:paraId="0C22E047"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3102A97C"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4E2CBB89"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2523472B"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556E12A3"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7ACDE522"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47DC3519" w14:textId="77777777" w:rsidR="00000000" w:rsidRDefault="007E65A2">
            <w:pPr>
              <w:pStyle w:val="a3"/>
              <w:spacing w:before="0" w:beforeAutospacing="0" w:after="0" w:afterAutospacing="0"/>
              <w:jc w:val="both"/>
              <w:rPr>
                <w:sz w:val="20"/>
                <w:szCs w:val="20"/>
              </w:rPr>
            </w:pPr>
            <w:r>
              <w:rPr>
                <w:b/>
                <w:bCs/>
                <w:sz w:val="20"/>
                <w:szCs w:val="20"/>
              </w:rPr>
              <w:t> </w:t>
            </w:r>
          </w:p>
        </w:tc>
      </w:tr>
      <w:tr w:rsidR="00000000" w14:paraId="44506719" w14:textId="77777777">
        <w:trPr>
          <w:divId w:val="911279972"/>
          <w:tblCellSpacing w:w="0" w:type="dxa"/>
        </w:trPr>
        <w:tc>
          <w:tcPr>
            <w:tcW w:w="0" w:type="auto"/>
            <w:vAlign w:val="bottom"/>
            <w:hideMark/>
          </w:tcPr>
          <w:p w14:paraId="71F8F6F4"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7726E7CC"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tcBorders>
              <w:bottom w:val="single" w:sz="6" w:space="0" w:color="auto"/>
            </w:tcBorders>
            <w:vAlign w:val="bottom"/>
            <w:hideMark/>
          </w:tcPr>
          <w:p w14:paraId="2A977260"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0F0B8AB2"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48D47C85"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tcBorders>
              <w:bottom w:val="single" w:sz="6" w:space="0" w:color="auto"/>
            </w:tcBorders>
            <w:vAlign w:val="bottom"/>
            <w:hideMark/>
          </w:tcPr>
          <w:p w14:paraId="1AB9DA74"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66FE4956" w14:textId="77777777" w:rsidR="00000000" w:rsidRDefault="007E65A2">
            <w:pPr>
              <w:pStyle w:val="a3"/>
              <w:spacing w:before="0" w:beforeAutospacing="0" w:after="0" w:afterAutospacing="0"/>
              <w:jc w:val="both"/>
              <w:rPr>
                <w:sz w:val="20"/>
                <w:szCs w:val="20"/>
              </w:rPr>
            </w:pPr>
            <w:r>
              <w:rPr>
                <w:sz w:val="20"/>
                <w:szCs w:val="20"/>
              </w:rPr>
              <w:t> </w:t>
            </w:r>
          </w:p>
        </w:tc>
      </w:tr>
      <w:tr w:rsidR="00000000" w14:paraId="23D68743" w14:textId="77777777">
        <w:trPr>
          <w:divId w:val="911279972"/>
          <w:tblCellSpacing w:w="0" w:type="dxa"/>
        </w:trPr>
        <w:tc>
          <w:tcPr>
            <w:tcW w:w="0" w:type="auto"/>
            <w:shd w:val="clear" w:color="auto" w:fill="CCEEFF"/>
            <w:vAlign w:val="bottom"/>
            <w:hideMark/>
          </w:tcPr>
          <w:p w14:paraId="5B8FF16A" w14:textId="77777777" w:rsidR="00000000" w:rsidRDefault="007E65A2">
            <w:pPr>
              <w:pStyle w:val="a3"/>
              <w:spacing w:before="0" w:beforeAutospacing="0" w:after="0" w:afterAutospacing="0"/>
              <w:jc w:val="both"/>
              <w:rPr>
                <w:sz w:val="20"/>
                <w:szCs w:val="20"/>
              </w:rPr>
            </w:pPr>
            <w:r>
              <w:rPr>
                <w:sz w:val="20"/>
                <w:szCs w:val="20"/>
              </w:rPr>
              <w:t>Expected term</w:t>
            </w:r>
          </w:p>
        </w:tc>
        <w:tc>
          <w:tcPr>
            <w:tcW w:w="0" w:type="auto"/>
            <w:shd w:val="clear" w:color="auto" w:fill="CCEEFF"/>
            <w:vAlign w:val="bottom"/>
            <w:hideMark/>
          </w:tcPr>
          <w:p w14:paraId="3C2D465A"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bottom"/>
            <w:hideMark/>
          </w:tcPr>
          <w:p w14:paraId="2FF0B22E" w14:textId="77777777" w:rsidR="00000000" w:rsidRDefault="007E65A2">
            <w:pPr>
              <w:pStyle w:val="a3"/>
              <w:spacing w:before="0" w:beforeAutospacing="0" w:after="0" w:afterAutospacing="0"/>
              <w:jc w:val="right"/>
              <w:rPr>
                <w:sz w:val="20"/>
                <w:szCs w:val="20"/>
              </w:rPr>
            </w:pPr>
            <w:r>
              <w:rPr>
                <w:sz w:val="20"/>
                <w:szCs w:val="20"/>
              </w:rPr>
              <w:t xml:space="preserve">0.17 - 4.04 years </w:t>
            </w:r>
          </w:p>
        </w:tc>
        <w:tc>
          <w:tcPr>
            <w:tcW w:w="0" w:type="auto"/>
            <w:shd w:val="clear" w:color="auto" w:fill="CCEEFF"/>
            <w:vAlign w:val="bottom"/>
            <w:hideMark/>
          </w:tcPr>
          <w:p w14:paraId="3FF04D2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0CBAA3B"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bottom"/>
            <w:hideMark/>
          </w:tcPr>
          <w:p w14:paraId="204E589A" w14:textId="77777777" w:rsidR="00000000" w:rsidRDefault="007E65A2">
            <w:pPr>
              <w:pStyle w:val="a3"/>
              <w:spacing w:before="0" w:beforeAutospacing="0" w:after="0" w:afterAutospacing="0"/>
              <w:jc w:val="right"/>
              <w:rPr>
                <w:sz w:val="20"/>
                <w:szCs w:val="20"/>
              </w:rPr>
            </w:pPr>
            <w:r>
              <w:rPr>
                <w:sz w:val="20"/>
                <w:szCs w:val="20"/>
              </w:rPr>
              <w:t xml:space="preserve">0.04 - 5.00 years </w:t>
            </w:r>
          </w:p>
        </w:tc>
        <w:tc>
          <w:tcPr>
            <w:tcW w:w="0" w:type="auto"/>
            <w:shd w:val="clear" w:color="auto" w:fill="CCEEFF"/>
            <w:vAlign w:val="bottom"/>
            <w:hideMark/>
          </w:tcPr>
          <w:p w14:paraId="78A9C424" w14:textId="77777777" w:rsidR="00000000" w:rsidRDefault="007E65A2">
            <w:pPr>
              <w:pStyle w:val="a3"/>
              <w:spacing w:before="0" w:beforeAutospacing="0" w:after="0" w:afterAutospacing="0"/>
              <w:jc w:val="both"/>
              <w:rPr>
                <w:sz w:val="20"/>
                <w:szCs w:val="20"/>
              </w:rPr>
            </w:pPr>
            <w:r>
              <w:rPr>
                <w:sz w:val="20"/>
                <w:szCs w:val="20"/>
              </w:rPr>
              <w:t> </w:t>
            </w:r>
          </w:p>
        </w:tc>
      </w:tr>
      <w:tr w:rsidR="00000000" w14:paraId="58AF8BB6" w14:textId="77777777">
        <w:trPr>
          <w:divId w:val="911279972"/>
          <w:tblCellSpacing w:w="0" w:type="dxa"/>
        </w:trPr>
        <w:tc>
          <w:tcPr>
            <w:tcW w:w="0" w:type="auto"/>
            <w:shd w:val="clear" w:color="auto" w:fill="FFFFFF"/>
            <w:vAlign w:val="bottom"/>
            <w:hideMark/>
          </w:tcPr>
          <w:p w14:paraId="780FE00A" w14:textId="77777777" w:rsidR="00000000" w:rsidRDefault="007E65A2">
            <w:pPr>
              <w:pStyle w:val="a3"/>
              <w:spacing w:before="0" w:beforeAutospacing="0" w:after="0" w:afterAutospacing="0"/>
              <w:jc w:val="both"/>
              <w:rPr>
                <w:sz w:val="20"/>
                <w:szCs w:val="20"/>
              </w:rPr>
            </w:pPr>
            <w:r>
              <w:rPr>
                <w:sz w:val="20"/>
                <w:szCs w:val="20"/>
              </w:rPr>
              <w:t>Expected average volatility</w:t>
            </w:r>
          </w:p>
        </w:tc>
        <w:tc>
          <w:tcPr>
            <w:tcW w:w="0" w:type="auto"/>
            <w:shd w:val="clear" w:color="auto" w:fill="FFFFFF"/>
            <w:vAlign w:val="bottom"/>
            <w:hideMark/>
          </w:tcPr>
          <w:p w14:paraId="1412E382"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FFFFFF"/>
            <w:vAlign w:val="bottom"/>
            <w:hideMark/>
          </w:tcPr>
          <w:p w14:paraId="33AEC014" w14:textId="77777777" w:rsidR="00000000" w:rsidRDefault="007E65A2">
            <w:pPr>
              <w:pStyle w:val="a3"/>
              <w:spacing w:before="0" w:beforeAutospacing="0" w:after="0" w:afterAutospacing="0"/>
              <w:jc w:val="right"/>
              <w:rPr>
                <w:sz w:val="20"/>
                <w:szCs w:val="20"/>
              </w:rPr>
            </w:pPr>
            <w:r>
              <w:rPr>
                <w:sz w:val="20"/>
                <w:szCs w:val="20"/>
              </w:rPr>
              <w:t xml:space="preserve">270% - 683 </w:t>
            </w:r>
          </w:p>
        </w:tc>
        <w:tc>
          <w:tcPr>
            <w:tcW w:w="0" w:type="auto"/>
            <w:shd w:val="clear" w:color="auto" w:fill="FFFFFF"/>
            <w:vAlign w:val="bottom"/>
            <w:hideMark/>
          </w:tcPr>
          <w:p w14:paraId="520B8E8A" w14:textId="77777777" w:rsidR="00000000" w:rsidRDefault="007E65A2">
            <w:pPr>
              <w:pStyle w:val="a3"/>
              <w:spacing w:before="0" w:beforeAutospacing="0" w:after="0" w:afterAutospacing="0"/>
              <w:jc w:val="both"/>
              <w:rPr>
                <w:sz w:val="20"/>
                <w:szCs w:val="20"/>
              </w:rPr>
            </w:pPr>
            <w:r>
              <w:rPr>
                <w:sz w:val="20"/>
                <w:szCs w:val="20"/>
              </w:rPr>
              <w:t>%</w:t>
            </w:r>
          </w:p>
        </w:tc>
        <w:tc>
          <w:tcPr>
            <w:tcW w:w="0" w:type="auto"/>
            <w:shd w:val="clear" w:color="auto" w:fill="FFFFFF"/>
            <w:vAlign w:val="bottom"/>
            <w:hideMark/>
          </w:tcPr>
          <w:p w14:paraId="206824B8"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FFFFFF"/>
            <w:vAlign w:val="bottom"/>
            <w:hideMark/>
          </w:tcPr>
          <w:p w14:paraId="56555F7D" w14:textId="77777777" w:rsidR="00000000" w:rsidRDefault="007E65A2">
            <w:pPr>
              <w:pStyle w:val="a3"/>
              <w:spacing w:before="0" w:beforeAutospacing="0" w:after="0" w:afterAutospacing="0"/>
              <w:jc w:val="right"/>
              <w:rPr>
                <w:sz w:val="20"/>
                <w:szCs w:val="20"/>
              </w:rPr>
            </w:pPr>
            <w:r>
              <w:rPr>
                <w:sz w:val="20"/>
                <w:szCs w:val="20"/>
              </w:rPr>
              <w:t xml:space="preserve">147%-488 </w:t>
            </w:r>
          </w:p>
        </w:tc>
        <w:tc>
          <w:tcPr>
            <w:tcW w:w="0" w:type="auto"/>
            <w:shd w:val="clear" w:color="auto" w:fill="FFFFFF"/>
            <w:vAlign w:val="bottom"/>
            <w:hideMark/>
          </w:tcPr>
          <w:p w14:paraId="243D248A" w14:textId="77777777" w:rsidR="00000000" w:rsidRDefault="007E65A2">
            <w:pPr>
              <w:pStyle w:val="a3"/>
              <w:spacing w:before="0" w:beforeAutospacing="0" w:after="0" w:afterAutospacing="0"/>
              <w:jc w:val="both"/>
              <w:rPr>
                <w:sz w:val="20"/>
                <w:szCs w:val="20"/>
              </w:rPr>
            </w:pPr>
            <w:r>
              <w:rPr>
                <w:sz w:val="20"/>
                <w:szCs w:val="20"/>
              </w:rPr>
              <w:t>%</w:t>
            </w:r>
          </w:p>
        </w:tc>
      </w:tr>
      <w:tr w:rsidR="00000000" w14:paraId="4E092CA2" w14:textId="77777777">
        <w:trPr>
          <w:divId w:val="911279972"/>
          <w:tblCellSpacing w:w="0" w:type="dxa"/>
        </w:trPr>
        <w:tc>
          <w:tcPr>
            <w:tcW w:w="0" w:type="auto"/>
            <w:shd w:val="clear" w:color="auto" w:fill="CCEEFF"/>
            <w:hideMark/>
          </w:tcPr>
          <w:p w14:paraId="618FAD31" w14:textId="77777777" w:rsidR="00000000" w:rsidRDefault="007E65A2">
            <w:pPr>
              <w:pStyle w:val="a3"/>
              <w:spacing w:before="0" w:beforeAutospacing="0" w:after="0" w:afterAutospacing="0"/>
              <w:jc w:val="both"/>
              <w:rPr>
                <w:sz w:val="20"/>
                <w:szCs w:val="20"/>
              </w:rPr>
            </w:pPr>
            <w:r>
              <w:rPr>
                <w:sz w:val="20"/>
                <w:szCs w:val="20"/>
              </w:rPr>
              <w:t>Expected dividend yield</w:t>
            </w:r>
          </w:p>
        </w:tc>
        <w:tc>
          <w:tcPr>
            <w:tcW w:w="50" w:type="pct"/>
            <w:shd w:val="clear" w:color="auto" w:fill="CCEEFF"/>
            <w:vAlign w:val="bottom"/>
            <w:hideMark/>
          </w:tcPr>
          <w:p w14:paraId="5FF4161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200D37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4BD44E9"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C097FD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79B20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EB03B8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9E829E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A9C0217" w14:textId="77777777" w:rsidR="00000000" w:rsidRDefault="007E65A2">
            <w:pPr>
              <w:pStyle w:val="a3"/>
              <w:spacing w:before="0" w:beforeAutospacing="0" w:after="0" w:afterAutospacing="0"/>
              <w:jc w:val="both"/>
              <w:rPr>
                <w:sz w:val="20"/>
                <w:szCs w:val="20"/>
              </w:rPr>
            </w:pPr>
            <w:r>
              <w:rPr>
                <w:sz w:val="20"/>
                <w:szCs w:val="20"/>
              </w:rPr>
              <w:t> </w:t>
            </w:r>
          </w:p>
        </w:tc>
      </w:tr>
      <w:tr w:rsidR="00000000" w14:paraId="267C5828" w14:textId="77777777">
        <w:trPr>
          <w:divId w:val="911279972"/>
          <w:tblCellSpacing w:w="0" w:type="dxa"/>
        </w:trPr>
        <w:tc>
          <w:tcPr>
            <w:tcW w:w="0" w:type="auto"/>
            <w:shd w:val="clear" w:color="auto" w:fill="FFFFFF"/>
            <w:hideMark/>
          </w:tcPr>
          <w:p w14:paraId="51021B7E" w14:textId="77777777" w:rsidR="00000000" w:rsidRDefault="007E65A2">
            <w:pPr>
              <w:pStyle w:val="a3"/>
              <w:spacing w:before="0" w:beforeAutospacing="0" w:after="0" w:afterAutospacing="0"/>
              <w:jc w:val="both"/>
              <w:rPr>
                <w:sz w:val="20"/>
                <w:szCs w:val="20"/>
              </w:rPr>
            </w:pPr>
            <w:r>
              <w:rPr>
                <w:sz w:val="20"/>
                <w:szCs w:val="20"/>
              </w:rPr>
              <w:t>Risk-free interest rate</w:t>
            </w:r>
          </w:p>
        </w:tc>
        <w:tc>
          <w:tcPr>
            <w:tcW w:w="50" w:type="pct"/>
            <w:shd w:val="clear" w:color="auto" w:fill="FFFFFF"/>
            <w:vAlign w:val="bottom"/>
            <w:hideMark/>
          </w:tcPr>
          <w:p w14:paraId="58E5860A"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78542298" w14:textId="77777777" w:rsidR="00000000" w:rsidRDefault="007E65A2">
            <w:pPr>
              <w:pStyle w:val="a3"/>
              <w:spacing w:before="0" w:beforeAutospacing="0" w:after="0" w:afterAutospacing="0"/>
              <w:jc w:val="right"/>
              <w:rPr>
                <w:sz w:val="20"/>
                <w:szCs w:val="20"/>
              </w:rPr>
            </w:pPr>
            <w:r>
              <w:rPr>
                <w:sz w:val="20"/>
                <w:szCs w:val="20"/>
              </w:rPr>
              <w:t>1.75% - 2.94</w:t>
            </w:r>
          </w:p>
        </w:tc>
        <w:tc>
          <w:tcPr>
            <w:tcW w:w="50" w:type="pct"/>
            <w:shd w:val="clear" w:color="auto" w:fill="FFFFFF"/>
            <w:vAlign w:val="bottom"/>
            <w:hideMark/>
          </w:tcPr>
          <w:p w14:paraId="4EC00FD0" w14:textId="77777777" w:rsidR="00000000" w:rsidRDefault="007E65A2">
            <w:pPr>
              <w:pStyle w:val="a3"/>
              <w:spacing w:before="0" w:beforeAutospacing="0" w:after="0" w:afterAutospacing="0"/>
              <w:jc w:val="both"/>
              <w:rPr>
                <w:sz w:val="20"/>
                <w:szCs w:val="20"/>
              </w:rPr>
            </w:pPr>
            <w:r>
              <w:rPr>
                <w:sz w:val="20"/>
                <w:szCs w:val="20"/>
              </w:rPr>
              <w:t xml:space="preserve">% </w:t>
            </w:r>
          </w:p>
        </w:tc>
        <w:tc>
          <w:tcPr>
            <w:tcW w:w="50" w:type="pct"/>
            <w:shd w:val="clear" w:color="auto" w:fill="FFFFFF"/>
            <w:vAlign w:val="bottom"/>
            <w:hideMark/>
          </w:tcPr>
          <w:p w14:paraId="392B7C4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544C525D" w14:textId="77777777" w:rsidR="00000000" w:rsidRDefault="007E65A2">
            <w:pPr>
              <w:pStyle w:val="a3"/>
              <w:spacing w:before="0" w:beforeAutospacing="0" w:after="0" w:afterAutospacing="0"/>
              <w:jc w:val="right"/>
              <w:rPr>
                <w:sz w:val="20"/>
                <w:szCs w:val="20"/>
              </w:rPr>
            </w:pPr>
            <w:r>
              <w:rPr>
                <w:sz w:val="20"/>
                <w:szCs w:val="20"/>
              </w:rPr>
              <w:t>0.96%-2.73</w:t>
            </w:r>
          </w:p>
        </w:tc>
        <w:tc>
          <w:tcPr>
            <w:tcW w:w="50" w:type="pct"/>
            <w:shd w:val="clear" w:color="auto" w:fill="FFFFFF"/>
            <w:vAlign w:val="bottom"/>
            <w:hideMark/>
          </w:tcPr>
          <w:p w14:paraId="0F00A310" w14:textId="77777777" w:rsidR="00000000" w:rsidRDefault="007E65A2">
            <w:pPr>
              <w:pStyle w:val="a3"/>
              <w:spacing w:before="0" w:beforeAutospacing="0" w:after="0" w:afterAutospacing="0"/>
              <w:jc w:val="both"/>
              <w:rPr>
                <w:sz w:val="20"/>
                <w:szCs w:val="20"/>
              </w:rPr>
            </w:pPr>
            <w:r>
              <w:rPr>
                <w:sz w:val="20"/>
                <w:szCs w:val="20"/>
              </w:rPr>
              <w:t xml:space="preserve">% </w:t>
            </w:r>
          </w:p>
        </w:tc>
      </w:tr>
    </w:tbl>
    <w:p w14:paraId="0B4ECAFB"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49F8256" w14:textId="77777777">
        <w:trPr>
          <w:divId w:val="911279972"/>
          <w:tblCellSpacing w:w="0" w:type="dxa"/>
        </w:trPr>
        <w:tc>
          <w:tcPr>
            <w:tcW w:w="0" w:type="auto"/>
            <w:vAlign w:val="center"/>
            <w:hideMark/>
          </w:tcPr>
          <w:p w14:paraId="68CDA77E" w14:textId="77777777" w:rsidR="00000000" w:rsidRDefault="007E65A2">
            <w:pPr>
              <w:rPr>
                <w:rFonts w:eastAsia="Times New Roman"/>
                <w:sz w:val="20"/>
                <w:szCs w:val="20"/>
              </w:rPr>
            </w:pPr>
            <w:r>
              <w:rPr>
                <w:rFonts w:eastAsia="Times New Roman"/>
                <w:sz w:val="20"/>
                <w:szCs w:val="20"/>
              </w:rPr>
              <w:t> </w:t>
            </w:r>
          </w:p>
        </w:tc>
      </w:tr>
      <w:tr w:rsidR="00000000" w14:paraId="57A612B0" w14:textId="77777777">
        <w:trPr>
          <w:divId w:val="911279972"/>
          <w:tblCellSpacing w:w="0" w:type="dxa"/>
        </w:trPr>
        <w:tc>
          <w:tcPr>
            <w:tcW w:w="0" w:type="auto"/>
            <w:tcBorders>
              <w:bottom w:val="single" w:sz="6" w:space="0" w:color="000000"/>
            </w:tcBorders>
            <w:vAlign w:val="center"/>
            <w:hideMark/>
          </w:tcPr>
          <w:p w14:paraId="6657F6DB" w14:textId="77777777" w:rsidR="00000000" w:rsidRDefault="007E65A2">
            <w:pPr>
              <w:jc w:val="center"/>
              <w:rPr>
                <w:rFonts w:eastAsia="Times New Roman"/>
                <w:sz w:val="20"/>
                <w:szCs w:val="20"/>
              </w:rPr>
            </w:pPr>
            <w:r>
              <w:rPr>
                <w:rFonts w:eastAsia="Times New Roman"/>
                <w:sz w:val="20"/>
                <w:szCs w:val="20"/>
              </w:rPr>
              <w:t>F-16</w:t>
            </w:r>
          </w:p>
        </w:tc>
      </w:tr>
      <w:tr w:rsidR="00000000" w14:paraId="27578667" w14:textId="77777777">
        <w:trPr>
          <w:divId w:val="911279972"/>
          <w:tblCellSpacing w:w="0" w:type="dxa"/>
        </w:trPr>
        <w:tc>
          <w:tcPr>
            <w:tcW w:w="0" w:type="auto"/>
            <w:vAlign w:val="center"/>
            <w:hideMark/>
          </w:tcPr>
          <w:p w14:paraId="1927CFB1" w14:textId="77777777" w:rsidR="00000000" w:rsidRDefault="007E65A2">
            <w:pPr>
              <w:rPr>
                <w:rFonts w:eastAsia="Times New Roman"/>
                <w:sz w:val="20"/>
                <w:szCs w:val="20"/>
              </w:rPr>
            </w:pPr>
            <w:r>
              <w:rPr>
                <w:rFonts w:eastAsia="Times New Roman"/>
                <w:sz w:val="20"/>
                <w:szCs w:val="20"/>
              </w:rPr>
              <w:t> </w:t>
            </w:r>
          </w:p>
        </w:tc>
      </w:tr>
      <w:tr w:rsidR="00000000" w14:paraId="225256BB" w14:textId="77777777">
        <w:trPr>
          <w:divId w:val="911279972"/>
          <w:tblCellSpacing w:w="0" w:type="dxa"/>
        </w:trPr>
        <w:tc>
          <w:tcPr>
            <w:tcW w:w="0" w:type="auto"/>
            <w:vAlign w:val="center"/>
            <w:hideMark/>
          </w:tcPr>
          <w:p w14:paraId="63CBF3BC"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4BD5F8D5" w14:textId="77777777" w:rsidR="00000000" w:rsidRDefault="007E65A2">
      <w:pPr>
        <w:pStyle w:val="a3"/>
        <w:spacing w:before="0" w:beforeAutospacing="0" w:after="0" w:afterAutospacing="0"/>
        <w:jc w:val="both"/>
        <w:divId w:val="911279972"/>
        <w:rPr>
          <w:sz w:val="20"/>
          <w:szCs w:val="20"/>
        </w:rPr>
      </w:pPr>
      <w:r>
        <w:rPr>
          <w:sz w:val="20"/>
          <w:szCs w:val="20"/>
        </w:rPr>
        <w:t> </w:t>
      </w:r>
    </w:p>
    <w:p w14:paraId="6AB7E65B" w14:textId="77777777" w:rsidR="00000000" w:rsidRDefault="007E65A2">
      <w:pPr>
        <w:pStyle w:val="a3"/>
        <w:spacing w:before="0" w:beforeAutospacing="0" w:after="0" w:afterAutospacing="0"/>
        <w:jc w:val="both"/>
        <w:divId w:val="911279972"/>
        <w:rPr>
          <w:sz w:val="20"/>
          <w:szCs w:val="20"/>
        </w:rPr>
      </w:pPr>
      <w:r>
        <w:rPr>
          <w:sz w:val="20"/>
          <w:szCs w:val="20"/>
        </w:rPr>
        <w:t>The following table summarizes the changes in the derivative liabilities during the year ended June 30, 2019 and 2018:</w:t>
      </w:r>
    </w:p>
    <w:p w14:paraId="2C0D2F3D"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71"/>
        <w:gridCol w:w="67"/>
        <w:gridCol w:w="100"/>
        <w:gridCol w:w="800"/>
        <w:gridCol w:w="68"/>
      </w:tblGrid>
      <w:tr w:rsidR="00000000" w14:paraId="6618146F" w14:textId="77777777">
        <w:trPr>
          <w:divId w:val="911279972"/>
          <w:tblCellSpacing w:w="0" w:type="dxa"/>
        </w:trPr>
        <w:tc>
          <w:tcPr>
            <w:tcW w:w="0" w:type="auto"/>
            <w:gridSpan w:val="4"/>
            <w:tcBorders>
              <w:bottom w:val="single" w:sz="6" w:space="0" w:color="auto"/>
            </w:tcBorders>
            <w:vAlign w:val="bottom"/>
            <w:hideMark/>
          </w:tcPr>
          <w:p w14:paraId="10DA0C82" w14:textId="77777777" w:rsidR="00000000" w:rsidRDefault="007E65A2">
            <w:pPr>
              <w:pStyle w:val="a3"/>
              <w:spacing w:before="0" w:beforeAutospacing="0" w:after="0" w:afterAutospacing="0"/>
              <w:jc w:val="center"/>
              <w:rPr>
                <w:sz w:val="20"/>
                <w:szCs w:val="20"/>
              </w:rPr>
            </w:pPr>
            <w:r>
              <w:rPr>
                <w:sz w:val="20"/>
                <w:szCs w:val="20"/>
              </w:rPr>
              <w:t>Fair Value Measurements Using Significant Observable Inputs (Level 3)</w:t>
            </w:r>
          </w:p>
        </w:tc>
        <w:tc>
          <w:tcPr>
            <w:tcW w:w="50" w:type="pct"/>
            <w:vAlign w:val="bottom"/>
            <w:hideMark/>
          </w:tcPr>
          <w:p w14:paraId="181E866F" w14:textId="77777777" w:rsidR="00000000" w:rsidRDefault="007E65A2">
            <w:pPr>
              <w:pStyle w:val="a3"/>
              <w:spacing w:before="0" w:beforeAutospacing="0" w:after="0" w:afterAutospacing="0"/>
              <w:jc w:val="both"/>
              <w:rPr>
                <w:sz w:val="20"/>
                <w:szCs w:val="20"/>
              </w:rPr>
            </w:pPr>
            <w:r>
              <w:rPr>
                <w:sz w:val="20"/>
                <w:szCs w:val="20"/>
              </w:rPr>
              <w:t> </w:t>
            </w:r>
          </w:p>
        </w:tc>
      </w:tr>
      <w:tr w:rsidR="00000000" w14:paraId="6F660B04" w14:textId="77777777">
        <w:trPr>
          <w:divId w:val="911279972"/>
          <w:tblCellSpacing w:w="0" w:type="dxa"/>
        </w:trPr>
        <w:tc>
          <w:tcPr>
            <w:tcW w:w="0" w:type="auto"/>
            <w:vAlign w:val="center"/>
            <w:hideMark/>
          </w:tcPr>
          <w:p w14:paraId="44D4C46F" w14:textId="77777777" w:rsidR="00000000" w:rsidRDefault="007E65A2">
            <w:pPr>
              <w:pStyle w:val="a3"/>
              <w:spacing w:before="0" w:beforeAutospacing="0" w:after="0" w:afterAutospacing="0"/>
              <w:jc w:val="both"/>
              <w:rPr>
                <w:sz w:val="20"/>
                <w:szCs w:val="20"/>
              </w:rPr>
            </w:pPr>
            <w:r>
              <w:rPr>
                <w:sz w:val="20"/>
                <w:szCs w:val="20"/>
              </w:rPr>
              <w:t> </w:t>
            </w:r>
          </w:p>
        </w:tc>
        <w:tc>
          <w:tcPr>
            <w:tcW w:w="50" w:type="pct"/>
            <w:vAlign w:val="bottom"/>
            <w:hideMark/>
          </w:tcPr>
          <w:p w14:paraId="3180B58F"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31C2039F" w14:textId="77777777" w:rsidR="00000000" w:rsidRDefault="007E65A2">
            <w:pPr>
              <w:pStyle w:val="a3"/>
              <w:spacing w:before="0" w:beforeAutospacing="0" w:after="0" w:afterAutospacing="0"/>
              <w:jc w:val="right"/>
              <w:rPr>
                <w:sz w:val="20"/>
                <w:szCs w:val="20"/>
              </w:rPr>
            </w:pPr>
            <w:r>
              <w:rPr>
                <w:sz w:val="20"/>
                <w:szCs w:val="20"/>
              </w:rPr>
              <w:t> </w:t>
            </w:r>
          </w:p>
        </w:tc>
        <w:tc>
          <w:tcPr>
            <w:tcW w:w="50" w:type="pct"/>
            <w:vAlign w:val="bottom"/>
            <w:hideMark/>
          </w:tcPr>
          <w:p w14:paraId="7B11A7FA" w14:textId="77777777" w:rsidR="00000000" w:rsidRDefault="007E65A2">
            <w:pPr>
              <w:pStyle w:val="a3"/>
              <w:spacing w:before="0" w:beforeAutospacing="0" w:after="0" w:afterAutospacing="0"/>
              <w:jc w:val="both"/>
              <w:rPr>
                <w:sz w:val="20"/>
                <w:szCs w:val="20"/>
              </w:rPr>
            </w:pPr>
            <w:r>
              <w:rPr>
                <w:sz w:val="20"/>
                <w:szCs w:val="20"/>
              </w:rPr>
              <w:t> </w:t>
            </w:r>
          </w:p>
        </w:tc>
      </w:tr>
      <w:tr w:rsidR="00000000" w14:paraId="46DA76B7" w14:textId="77777777">
        <w:trPr>
          <w:divId w:val="911279972"/>
          <w:tblCellSpacing w:w="0" w:type="dxa"/>
        </w:trPr>
        <w:tc>
          <w:tcPr>
            <w:tcW w:w="0" w:type="auto"/>
            <w:shd w:val="clear" w:color="auto" w:fill="CCEEFF"/>
            <w:hideMark/>
          </w:tcPr>
          <w:p w14:paraId="38C1998E" w14:textId="77777777" w:rsidR="00000000" w:rsidRDefault="007E65A2">
            <w:pPr>
              <w:pStyle w:val="a3"/>
              <w:spacing w:before="0" w:beforeAutospacing="0" w:after="0" w:afterAutospacing="0"/>
              <w:jc w:val="both"/>
              <w:rPr>
                <w:sz w:val="20"/>
                <w:szCs w:val="20"/>
              </w:rPr>
            </w:pPr>
            <w:r>
              <w:rPr>
                <w:sz w:val="20"/>
                <w:szCs w:val="20"/>
              </w:rPr>
              <w:t>Balance - June 30, 2017</w:t>
            </w:r>
          </w:p>
        </w:tc>
        <w:tc>
          <w:tcPr>
            <w:tcW w:w="50" w:type="pct"/>
            <w:shd w:val="clear" w:color="auto" w:fill="CCEEFF"/>
            <w:vAlign w:val="bottom"/>
            <w:hideMark/>
          </w:tcPr>
          <w:p w14:paraId="762CB53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C314757"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98AA35A" w14:textId="77777777" w:rsidR="00000000" w:rsidRDefault="007E65A2">
            <w:pPr>
              <w:jc w:val="right"/>
              <w:rPr>
                <w:rFonts w:eastAsia="Times New Roman"/>
                <w:sz w:val="20"/>
                <w:szCs w:val="20"/>
              </w:rPr>
            </w:pPr>
            <w:r>
              <w:rPr>
                <w:rFonts w:eastAsia="Times New Roman"/>
                <w:sz w:val="20"/>
                <w:szCs w:val="20"/>
              </w:rPr>
              <w:t>114,316</w:t>
            </w:r>
          </w:p>
        </w:tc>
        <w:tc>
          <w:tcPr>
            <w:tcW w:w="50" w:type="pct"/>
            <w:shd w:val="clear" w:color="auto" w:fill="CCEEFF"/>
            <w:vAlign w:val="bottom"/>
            <w:hideMark/>
          </w:tcPr>
          <w:p w14:paraId="56A9B03A" w14:textId="77777777" w:rsidR="00000000" w:rsidRDefault="007E65A2">
            <w:pPr>
              <w:pStyle w:val="a3"/>
              <w:spacing w:before="0" w:beforeAutospacing="0" w:after="0" w:afterAutospacing="0"/>
              <w:jc w:val="both"/>
              <w:rPr>
                <w:sz w:val="20"/>
                <w:szCs w:val="20"/>
              </w:rPr>
            </w:pPr>
            <w:r>
              <w:rPr>
                <w:sz w:val="20"/>
                <w:szCs w:val="20"/>
              </w:rPr>
              <w:t> </w:t>
            </w:r>
          </w:p>
        </w:tc>
      </w:tr>
      <w:tr w:rsidR="00000000" w14:paraId="3589505A" w14:textId="77777777">
        <w:trPr>
          <w:divId w:val="911279972"/>
          <w:tblCellSpacing w:w="0" w:type="dxa"/>
        </w:trPr>
        <w:tc>
          <w:tcPr>
            <w:tcW w:w="0" w:type="auto"/>
            <w:shd w:val="clear" w:color="auto" w:fill="FFFFFF"/>
            <w:hideMark/>
          </w:tcPr>
          <w:p w14:paraId="4609158F" w14:textId="77777777" w:rsidR="00000000" w:rsidRDefault="007E65A2">
            <w:pPr>
              <w:pStyle w:val="a3"/>
              <w:spacing w:before="0" w:beforeAutospacing="0" w:after="0" w:afterAutospacing="0"/>
              <w:jc w:val="both"/>
              <w:rPr>
                <w:sz w:val="20"/>
                <w:szCs w:val="20"/>
              </w:rPr>
            </w:pPr>
            <w:r>
              <w:rPr>
                <w:sz w:val="20"/>
                <w:szCs w:val="20"/>
              </w:rPr>
              <w:t>Addition of new derivatives recognized as debt discounts</w:t>
            </w:r>
          </w:p>
        </w:tc>
        <w:tc>
          <w:tcPr>
            <w:tcW w:w="50" w:type="pct"/>
            <w:shd w:val="clear" w:color="auto" w:fill="FFFFFF"/>
            <w:vAlign w:val="bottom"/>
            <w:hideMark/>
          </w:tcPr>
          <w:p w14:paraId="658CE8F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9D11ECB"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6974942" w14:textId="77777777" w:rsidR="00000000" w:rsidRDefault="007E65A2">
            <w:pPr>
              <w:jc w:val="right"/>
              <w:rPr>
                <w:rFonts w:eastAsia="Times New Roman"/>
                <w:sz w:val="20"/>
                <w:szCs w:val="20"/>
              </w:rPr>
            </w:pPr>
            <w:r>
              <w:rPr>
                <w:rFonts w:eastAsia="Times New Roman"/>
                <w:sz w:val="20"/>
                <w:szCs w:val="20"/>
              </w:rPr>
              <w:t>285,500</w:t>
            </w:r>
          </w:p>
        </w:tc>
        <w:tc>
          <w:tcPr>
            <w:tcW w:w="50" w:type="pct"/>
            <w:shd w:val="clear" w:color="auto" w:fill="FFFFFF"/>
            <w:vAlign w:val="bottom"/>
            <w:hideMark/>
          </w:tcPr>
          <w:p w14:paraId="44E237F3" w14:textId="77777777" w:rsidR="00000000" w:rsidRDefault="007E65A2">
            <w:pPr>
              <w:pStyle w:val="a3"/>
              <w:spacing w:before="0" w:beforeAutospacing="0" w:after="0" w:afterAutospacing="0"/>
              <w:jc w:val="both"/>
              <w:rPr>
                <w:sz w:val="20"/>
                <w:szCs w:val="20"/>
              </w:rPr>
            </w:pPr>
            <w:r>
              <w:rPr>
                <w:sz w:val="20"/>
                <w:szCs w:val="20"/>
              </w:rPr>
              <w:t> </w:t>
            </w:r>
          </w:p>
        </w:tc>
      </w:tr>
      <w:tr w:rsidR="00000000" w14:paraId="2252CFAB" w14:textId="77777777">
        <w:trPr>
          <w:divId w:val="911279972"/>
          <w:tblCellSpacing w:w="0" w:type="dxa"/>
        </w:trPr>
        <w:tc>
          <w:tcPr>
            <w:tcW w:w="0" w:type="auto"/>
            <w:shd w:val="clear" w:color="auto" w:fill="CCEEFF"/>
            <w:hideMark/>
          </w:tcPr>
          <w:p w14:paraId="6FDC55D3" w14:textId="77777777" w:rsidR="00000000" w:rsidRDefault="007E65A2">
            <w:pPr>
              <w:pStyle w:val="a3"/>
              <w:spacing w:before="0" w:beforeAutospacing="0" w:after="0" w:afterAutospacing="0"/>
              <w:jc w:val="both"/>
              <w:rPr>
                <w:sz w:val="20"/>
                <w:szCs w:val="20"/>
              </w:rPr>
            </w:pPr>
            <w:r>
              <w:rPr>
                <w:sz w:val="20"/>
                <w:szCs w:val="20"/>
              </w:rPr>
              <w:t>Addition of new derivatives recognized as loss on derivatives</w:t>
            </w:r>
          </w:p>
        </w:tc>
        <w:tc>
          <w:tcPr>
            <w:tcW w:w="50" w:type="pct"/>
            <w:shd w:val="clear" w:color="auto" w:fill="CCEEFF"/>
            <w:vAlign w:val="bottom"/>
            <w:hideMark/>
          </w:tcPr>
          <w:p w14:paraId="72D5644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F74F5E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50A4701" w14:textId="77777777" w:rsidR="00000000" w:rsidRDefault="007E65A2">
            <w:pPr>
              <w:jc w:val="right"/>
              <w:rPr>
                <w:rFonts w:eastAsia="Times New Roman"/>
                <w:sz w:val="20"/>
                <w:szCs w:val="20"/>
              </w:rPr>
            </w:pPr>
            <w:r>
              <w:rPr>
                <w:rFonts w:eastAsia="Times New Roman"/>
                <w:sz w:val="20"/>
                <w:szCs w:val="20"/>
              </w:rPr>
              <w:t>689,272</w:t>
            </w:r>
          </w:p>
        </w:tc>
        <w:tc>
          <w:tcPr>
            <w:tcW w:w="50" w:type="pct"/>
            <w:shd w:val="clear" w:color="auto" w:fill="CCEEFF"/>
            <w:vAlign w:val="bottom"/>
            <w:hideMark/>
          </w:tcPr>
          <w:p w14:paraId="3652D219" w14:textId="77777777" w:rsidR="00000000" w:rsidRDefault="007E65A2">
            <w:pPr>
              <w:pStyle w:val="a3"/>
              <w:spacing w:before="0" w:beforeAutospacing="0" w:after="0" w:afterAutospacing="0"/>
              <w:jc w:val="both"/>
              <w:rPr>
                <w:sz w:val="20"/>
                <w:szCs w:val="20"/>
              </w:rPr>
            </w:pPr>
            <w:r>
              <w:rPr>
                <w:sz w:val="20"/>
                <w:szCs w:val="20"/>
              </w:rPr>
              <w:t> </w:t>
            </w:r>
          </w:p>
        </w:tc>
      </w:tr>
      <w:tr w:rsidR="00000000" w14:paraId="43120999" w14:textId="77777777">
        <w:trPr>
          <w:divId w:val="911279972"/>
          <w:tblCellSpacing w:w="0" w:type="dxa"/>
        </w:trPr>
        <w:tc>
          <w:tcPr>
            <w:tcW w:w="0" w:type="auto"/>
            <w:shd w:val="clear" w:color="auto" w:fill="FFFFFF"/>
            <w:hideMark/>
          </w:tcPr>
          <w:p w14:paraId="5DF58AA4" w14:textId="77777777" w:rsidR="00000000" w:rsidRDefault="007E65A2">
            <w:pPr>
              <w:pStyle w:val="a3"/>
              <w:spacing w:before="0" w:beforeAutospacing="0" w:after="0" w:afterAutospacing="0"/>
              <w:jc w:val="both"/>
              <w:rPr>
                <w:sz w:val="20"/>
                <w:szCs w:val="20"/>
              </w:rPr>
            </w:pPr>
            <w:r>
              <w:rPr>
                <w:sz w:val="20"/>
                <w:szCs w:val="20"/>
              </w:rPr>
              <w:t>Settled on issuance of common stock</w:t>
            </w:r>
          </w:p>
        </w:tc>
        <w:tc>
          <w:tcPr>
            <w:tcW w:w="50" w:type="pct"/>
            <w:shd w:val="clear" w:color="auto" w:fill="FFFFFF"/>
            <w:vAlign w:val="bottom"/>
            <w:hideMark/>
          </w:tcPr>
          <w:p w14:paraId="2FD4A64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BFB861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B544F8A" w14:textId="77777777" w:rsidR="00000000" w:rsidRDefault="007E65A2">
            <w:pPr>
              <w:jc w:val="right"/>
              <w:rPr>
                <w:rFonts w:eastAsia="Times New Roman"/>
                <w:sz w:val="20"/>
                <w:szCs w:val="20"/>
              </w:rPr>
            </w:pPr>
            <w:r>
              <w:rPr>
                <w:rFonts w:eastAsia="Times New Roman"/>
                <w:sz w:val="20"/>
                <w:szCs w:val="20"/>
              </w:rPr>
              <w:t>(295,541</w:t>
            </w:r>
          </w:p>
        </w:tc>
        <w:tc>
          <w:tcPr>
            <w:tcW w:w="50" w:type="pct"/>
            <w:shd w:val="clear" w:color="auto" w:fill="FFFFFF"/>
            <w:vAlign w:val="bottom"/>
            <w:hideMark/>
          </w:tcPr>
          <w:p w14:paraId="7C7C2E88" w14:textId="77777777" w:rsidR="00000000" w:rsidRDefault="007E65A2">
            <w:pPr>
              <w:jc w:val="both"/>
              <w:rPr>
                <w:rFonts w:eastAsia="Times New Roman"/>
                <w:sz w:val="20"/>
                <w:szCs w:val="20"/>
              </w:rPr>
            </w:pPr>
            <w:r>
              <w:rPr>
                <w:rFonts w:eastAsia="Times New Roman"/>
                <w:sz w:val="20"/>
                <w:szCs w:val="20"/>
              </w:rPr>
              <w:t>)</w:t>
            </w:r>
          </w:p>
        </w:tc>
      </w:tr>
      <w:tr w:rsidR="00000000" w14:paraId="05F0237E" w14:textId="77777777">
        <w:trPr>
          <w:divId w:val="911279972"/>
          <w:tblCellSpacing w:w="0" w:type="dxa"/>
        </w:trPr>
        <w:tc>
          <w:tcPr>
            <w:tcW w:w="0" w:type="auto"/>
            <w:shd w:val="clear" w:color="auto" w:fill="CCEEFF"/>
            <w:hideMark/>
          </w:tcPr>
          <w:p w14:paraId="26070588" w14:textId="77777777" w:rsidR="00000000" w:rsidRDefault="007E65A2">
            <w:pPr>
              <w:pStyle w:val="a3"/>
              <w:spacing w:before="0" w:beforeAutospacing="0" w:after="0" w:afterAutospacing="0"/>
              <w:jc w:val="both"/>
              <w:rPr>
                <w:sz w:val="20"/>
                <w:szCs w:val="20"/>
              </w:rPr>
            </w:pPr>
            <w:r>
              <w:rPr>
                <w:sz w:val="20"/>
                <w:szCs w:val="20"/>
              </w:rPr>
              <w:t>Loss on change in fair value of the derivative</w:t>
            </w:r>
          </w:p>
        </w:tc>
        <w:tc>
          <w:tcPr>
            <w:tcW w:w="50" w:type="pct"/>
            <w:shd w:val="clear" w:color="auto" w:fill="CCEEFF"/>
            <w:vAlign w:val="bottom"/>
            <w:hideMark/>
          </w:tcPr>
          <w:p w14:paraId="766BE8CD"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24CEFBBB"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339C0722" w14:textId="77777777" w:rsidR="00000000" w:rsidRDefault="007E65A2">
            <w:pPr>
              <w:jc w:val="right"/>
              <w:rPr>
                <w:rFonts w:eastAsia="Times New Roman"/>
                <w:sz w:val="20"/>
                <w:szCs w:val="20"/>
              </w:rPr>
            </w:pPr>
            <w:r>
              <w:rPr>
                <w:rFonts w:eastAsia="Times New Roman"/>
                <w:sz w:val="20"/>
                <w:szCs w:val="20"/>
              </w:rPr>
              <w:t>223,318</w:t>
            </w:r>
          </w:p>
        </w:tc>
        <w:tc>
          <w:tcPr>
            <w:tcW w:w="50" w:type="pct"/>
            <w:shd w:val="clear" w:color="auto" w:fill="CCEEFF"/>
            <w:tcMar>
              <w:top w:w="0" w:type="dxa"/>
              <w:left w:w="0" w:type="dxa"/>
              <w:bottom w:w="15" w:type="dxa"/>
              <w:right w:w="0" w:type="dxa"/>
            </w:tcMar>
            <w:vAlign w:val="bottom"/>
            <w:hideMark/>
          </w:tcPr>
          <w:p w14:paraId="03CA60CC" w14:textId="77777777" w:rsidR="00000000" w:rsidRDefault="007E65A2">
            <w:pPr>
              <w:pStyle w:val="a3"/>
              <w:spacing w:before="0" w:beforeAutospacing="0" w:after="0" w:afterAutospacing="0"/>
              <w:jc w:val="both"/>
              <w:rPr>
                <w:sz w:val="20"/>
                <w:szCs w:val="20"/>
              </w:rPr>
            </w:pPr>
            <w:r>
              <w:rPr>
                <w:sz w:val="20"/>
                <w:szCs w:val="20"/>
              </w:rPr>
              <w:t> </w:t>
            </w:r>
          </w:p>
        </w:tc>
      </w:tr>
      <w:tr w:rsidR="00000000" w14:paraId="77798FB7" w14:textId="77777777">
        <w:trPr>
          <w:divId w:val="911279972"/>
          <w:tblCellSpacing w:w="0" w:type="dxa"/>
        </w:trPr>
        <w:tc>
          <w:tcPr>
            <w:tcW w:w="0" w:type="auto"/>
            <w:shd w:val="clear" w:color="auto" w:fill="FFFFFF"/>
            <w:hideMark/>
          </w:tcPr>
          <w:p w14:paraId="688E40C8" w14:textId="77777777" w:rsidR="00000000" w:rsidRDefault="007E65A2">
            <w:pPr>
              <w:pStyle w:val="a3"/>
              <w:spacing w:before="0" w:beforeAutospacing="0" w:after="0" w:afterAutospacing="0"/>
              <w:jc w:val="both"/>
              <w:rPr>
                <w:sz w:val="20"/>
                <w:szCs w:val="20"/>
              </w:rPr>
            </w:pPr>
            <w:r>
              <w:rPr>
                <w:sz w:val="20"/>
                <w:szCs w:val="20"/>
              </w:rPr>
              <w:t>Balance - June 30, 2018</w:t>
            </w:r>
          </w:p>
        </w:tc>
        <w:tc>
          <w:tcPr>
            <w:tcW w:w="50" w:type="pct"/>
            <w:shd w:val="clear" w:color="auto" w:fill="FFFFFF"/>
            <w:vAlign w:val="bottom"/>
            <w:hideMark/>
          </w:tcPr>
          <w:p w14:paraId="345838B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78461D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CAAC9D3" w14:textId="77777777" w:rsidR="00000000" w:rsidRDefault="007E65A2">
            <w:pPr>
              <w:jc w:val="right"/>
              <w:rPr>
                <w:rFonts w:eastAsia="Times New Roman"/>
                <w:sz w:val="20"/>
                <w:szCs w:val="20"/>
              </w:rPr>
            </w:pPr>
            <w:r>
              <w:rPr>
                <w:rFonts w:eastAsia="Times New Roman"/>
                <w:sz w:val="20"/>
                <w:szCs w:val="20"/>
              </w:rPr>
              <w:t>1,016,865</w:t>
            </w:r>
          </w:p>
        </w:tc>
        <w:tc>
          <w:tcPr>
            <w:tcW w:w="50" w:type="pct"/>
            <w:shd w:val="clear" w:color="auto" w:fill="FFFFFF"/>
            <w:vAlign w:val="bottom"/>
            <w:hideMark/>
          </w:tcPr>
          <w:p w14:paraId="6F0D977D" w14:textId="77777777" w:rsidR="00000000" w:rsidRDefault="007E65A2">
            <w:pPr>
              <w:pStyle w:val="a3"/>
              <w:spacing w:before="0" w:beforeAutospacing="0" w:after="0" w:afterAutospacing="0"/>
              <w:jc w:val="both"/>
              <w:rPr>
                <w:sz w:val="20"/>
                <w:szCs w:val="20"/>
              </w:rPr>
            </w:pPr>
            <w:r>
              <w:rPr>
                <w:sz w:val="20"/>
                <w:szCs w:val="20"/>
              </w:rPr>
              <w:t> </w:t>
            </w:r>
          </w:p>
        </w:tc>
      </w:tr>
      <w:tr w:rsidR="00000000" w14:paraId="103559A6" w14:textId="77777777">
        <w:trPr>
          <w:divId w:val="911279972"/>
          <w:tblCellSpacing w:w="0" w:type="dxa"/>
        </w:trPr>
        <w:tc>
          <w:tcPr>
            <w:tcW w:w="0" w:type="auto"/>
            <w:shd w:val="clear" w:color="auto" w:fill="CCEEFF"/>
            <w:vAlign w:val="center"/>
            <w:hideMark/>
          </w:tcPr>
          <w:p w14:paraId="0D8B62A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755892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77B4BC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016C406"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46ACC89" w14:textId="77777777" w:rsidR="00000000" w:rsidRDefault="007E65A2">
            <w:pPr>
              <w:pStyle w:val="a3"/>
              <w:spacing w:before="0" w:beforeAutospacing="0" w:after="0" w:afterAutospacing="0"/>
              <w:jc w:val="both"/>
              <w:rPr>
                <w:sz w:val="20"/>
                <w:szCs w:val="20"/>
              </w:rPr>
            </w:pPr>
            <w:r>
              <w:rPr>
                <w:sz w:val="20"/>
                <w:szCs w:val="20"/>
              </w:rPr>
              <w:t> </w:t>
            </w:r>
          </w:p>
        </w:tc>
      </w:tr>
      <w:tr w:rsidR="00000000" w14:paraId="2C38CFFD" w14:textId="77777777">
        <w:trPr>
          <w:divId w:val="911279972"/>
          <w:tblCellSpacing w:w="0" w:type="dxa"/>
        </w:trPr>
        <w:tc>
          <w:tcPr>
            <w:tcW w:w="0" w:type="auto"/>
            <w:shd w:val="clear" w:color="auto" w:fill="FFFFFF"/>
            <w:hideMark/>
          </w:tcPr>
          <w:p w14:paraId="69BCE713" w14:textId="77777777" w:rsidR="00000000" w:rsidRDefault="007E65A2">
            <w:pPr>
              <w:pStyle w:val="a3"/>
              <w:spacing w:before="0" w:beforeAutospacing="0" w:after="0" w:afterAutospacing="0"/>
              <w:jc w:val="both"/>
              <w:rPr>
                <w:sz w:val="20"/>
                <w:szCs w:val="20"/>
              </w:rPr>
            </w:pPr>
            <w:r>
              <w:rPr>
                <w:sz w:val="20"/>
                <w:szCs w:val="20"/>
              </w:rPr>
              <w:t>Addition of new derivatives recognized as debt discounts</w:t>
            </w:r>
          </w:p>
        </w:tc>
        <w:tc>
          <w:tcPr>
            <w:tcW w:w="50" w:type="pct"/>
            <w:shd w:val="clear" w:color="auto" w:fill="FFFFFF"/>
            <w:vAlign w:val="bottom"/>
            <w:hideMark/>
          </w:tcPr>
          <w:p w14:paraId="0EF9AD4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B7910E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E892EEE" w14:textId="77777777" w:rsidR="00000000" w:rsidRDefault="007E65A2">
            <w:pPr>
              <w:jc w:val="right"/>
              <w:rPr>
                <w:rFonts w:eastAsia="Times New Roman"/>
                <w:sz w:val="20"/>
                <w:szCs w:val="20"/>
              </w:rPr>
            </w:pPr>
            <w:r>
              <w:rPr>
                <w:rFonts w:eastAsia="Times New Roman"/>
                <w:sz w:val="20"/>
                <w:szCs w:val="20"/>
              </w:rPr>
              <w:t>85,000</w:t>
            </w:r>
          </w:p>
        </w:tc>
        <w:tc>
          <w:tcPr>
            <w:tcW w:w="50" w:type="pct"/>
            <w:shd w:val="clear" w:color="auto" w:fill="FFFFFF"/>
            <w:vAlign w:val="bottom"/>
            <w:hideMark/>
          </w:tcPr>
          <w:p w14:paraId="3FDA13DD" w14:textId="77777777" w:rsidR="00000000" w:rsidRDefault="007E65A2">
            <w:pPr>
              <w:pStyle w:val="a3"/>
              <w:spacing w:before="0" w:beforeAutospacing="0" w:after="0" w:afterAutospacing="0"/>
              <w:jc w:val="both"/>
              <w:rPr>
                <w:sz w:val="20"/>
                <w:szCs w:val="20"/>
              </w:rPr>
            </w:pPr>
            <w:r>
              <w:rPr>
                <w:sz w:val="20"/>
                <w:szCs w:val="20"/>
              </w:rPr>
              <w:t> </w:t>
            </w:r>
          </w:p>
        </w:tc>
      </w:tr>
      <w:tr w:rsidR="00000000" w14:paraId="7FEE130A" w14:textId="77777777">
        <w:trPr>
          <w:divId w:val="911279972"/>
          <w:tblCellSpacing w:w="0" w:type="dxa"/>
        </w:trPr>
        <w:tc>
          <w:tcPr>
            <w:tcW w:w="0" w:type="auto"/>
            <w:shd w:val="clear" w:color="auto" w:fill="CCEEFF"/>
            <w:hideMark/>
          </w:tcPr>
          <w:p w14:paraId="1A8FFA6C" w14:textId="77777777" w:rsidR="00000000" w:rsidRDefault="007E65A2">
            <w:pPr>
              <w:pStyle w:val="a3"/>
              <w:spacing w:before="0" w:beforeAutospacing="0" w:after="0" w:afterAutospacing="0"/>
              <w:jc w:val="both"/>
              <w:rPr>
                <w:sz w:val="20"/>
                <w:szCs w:val="20"/>
              </w:rPr>
            </w:pPr>
            <w:r>
              <w:rPr>
                <w:sz w:val="20"/>
                <w:szCs w:val="20"/>
              </w:rPr>
              <w:t>Addition of new derivatives recognized as loss on derivatives</w:t>
            </w:r>
          </w:p>
        </w:tc>
        <w:tc>
          <w:tcPr>
            <w:tcW w:w="50" w:type="pct"/>
            <w:shd w:val="clear" w:color="auto" w:fill="CCEEFF"/>
            <w:vAlign w:val="bottom"/>
            <w:hideMark/>
          </w:tcPr>
          <w:p w14:paraId="2086CF1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EC34E4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59E6749" w14:textId="77777777" w:rsidR="00000000" w:rsidRDefault="007E65A2">
            <w:pPr>
              <w:jc w:val="right"/>
              <w:rPr>
                <w:rFonts w:eastAsia="Times New Roman"/>
                <w:sz w:val="20"/>
                <w:szCs w:val="20"/>
              </w:rPr>
            </w:pPr>
            <w:r>
              <w:rPr>
                <w:rFonts w:eastAsia="Times New Roman"/>
                <w:sz w:val="20"/>
                <w:szCs w:val="20"/>
              </w:rPr>
              <w:t>461,198</w:t>
            </w:r>
          </w:p>
        </w:tc>
        <w:tc>
          <w:tcPr>
            <w:tcW w:w="50" w:type="pct"/>
            <w:shd w:val="clear" w:color="auto" w:fill="CCEEFF"/>
            <w:vAlign w:val="bottom"/>
            <w:hideMark/>
          </w:tcPr>
          <w:p w14:paraId="38ED3A9B" w14:textId="77777777" w:rsidR="00000000" w:rsidRDefault="007E65A2">
            <w:pPr>
              <w:pStyle w:val="a3"/>
              <w:spacing w:before="0" w:beforeAutospacing="0" w:after="0" w:afterAutospacing="0"/>
              <w:jc w:val="both"/>
              <w:rPr>
                <w:sz w:val="20"/>
                <w:szCs w:val="20"/>
              </w:rPr>
            </w:pPr>
            <w:r>
              <w:rPr>
                <w:sz w:val="20"/>
                <w:szCs w:val="20"/>
              </w:rPr>
              <w:t> </w:t>
            </w:r>
          </w:p>
        </w:tc>
      </w:tr>
      <w:tr w:rsidR="00000000" w14:paraId="2159CC09" w14:textId="77777777">
        <w:trPr>
          <w:divId w:val="911279972"/>
          <w:tblCellSpacing w:w="0" w:type="dxa"/>
        </w:trPr>
        <w:tc>
          <w:tcPr>
            <w:tcW w:w="0" w:type="auto"/>
            <w:shd w:val="clear" w:color="auto" w:fill="FFFFFF"/>
            <w:hideMark/>
          </w:tcPr>
          <w:p w14:paraId="6B5D5274" w14:textId="77777777" w:rsidR="00000000" w:rsidRDefault="007E65A2">
            <w:pPr>
              <w:pStyle w:val="a3"/>
              <w:spacing w:before="0" w:beforeAutospacing="0" w:after="0" w:afterAutospacing="0"/>
              <w:jc w:val="both"/>
              <w:rPr>
                <w:sz w:val="20"/>
                <w:szCs w:val="20"/>
              </w:rPr>
            </w:pPr>
            <w:r>
              <w:rPr>
                <w:sz w:val="20"/>
                <w:szCs w:val="20"/>
              </w:rPr>
              <w:t>Settled due to conversion of debt</w:t>
            </w:r>
          </w:p>
        </w:tc>
        <w:tc>
          <w:tcPr>
            <w:tcW w:w="50" w:type="pct"/>
            <w:shd w:val="clear" w:color="auto" w:fill="FFFFFF"/>
            <w:vAlign w:val="bottom"/>
            <w:hideMark/>
          </w:tcPr>
          <w:p w14:paraId="763114A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3F2A69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EED8077" w14:textId="77777777" w:rsidR="00000000" w:rsidRDefault="007E65A2">
            <w:pPr>
              <w:jc w:val="right"/>
              <w:rPr>
                <w:rFonts w:eastAsia="Times New Roman"/>
                <w:sz w:val="20"/>
                <w:szCs w:val="20"/>
              </w:rPr>
            </w:pPr>
            <w:r>
              <w:rPr>
                <w:rFonts w:eastAsia="Times New Roman"/>
                <w:sz w:val="20"/>
                <w:szCs w:val="20"/>
              </w:rPr>
              <w:t>(987,744</w:t>
            </w:r>
          </w:p>
        </w:tc>
        <w:tc>
          <w:tcPr>
            <w:tcW w:w="50" w:type="pct"/>
            <w:shd w:val="clear" w:color="auto" w:fill="FFFFFF"/>
            <w:vAlign w:val="bottom"/>
            <w:hideMark/>
          </w:tcPr>
          <w:p w14:paraId="18662302" w14:textId="77777777" w:rsidR="00000000" w:rsidRDefault="007E65A2">
            <w:pPr>
              <w:jc w:val="both"/>
              <w:rPr>
                <w:rFonts w:eastAsia="Times New Roman"/>
                <w:sz w:val="20"/>
                <w:szCs w:val="20"/>
              </w:rPr>
            </w:pPr>
            <w:r>
              <w:rPr>
                <w:rFonts w:eastAsia="Times New Roman"/>
                <w:sz w:val="20"/>
                <w:szCs w:val="20"/>
              </w:rPr>
              <w:t>)</w:t>
            </w:r>
          </w:p>
        </w:tc>
      </w:tr>
      <w:tr w:rsidR="00000000" w14:paraId="18FCD744" w14:textId="77777777">
        <w:trPr>
          <w:divId w:val="911279972"/>
          <w:tblCellSpacing w:w="0" w:type="dxa"/>
        </w:trPr>
        <w:tc>
          <w:tcPr>
            <w:tcW w:w="0" w:type="auto"/>
            <w:shd w:val="clear" w:color="auto" w:fill="CCEEFF"/>
            <w:hideMark/>
          </w:tcPr>
          <w:p w14:paraId="0CF5339D" w14:textId="77777777" w:rsidR="00000000" w:rsidRDefault="007E65A2">
            <w:pPr>
              <w:pStyle w:val="a3"/>
              <w:spacing w:before="0" w:beforeAutospacing="0" w:after="0" w:afterAutospacing="0"/>
              <w:jc w:val="both"/>
              <w:rPr>
                <w:sz w:val="20"/>
                <w:szCs w:val="20"/>
              </w:rPr>
            </w:pPr>
            <w:r>
              <w:rPr>
                <w:sz w:val="20"/>
                <w:szCs w:val="20"/>
              </w:rPr>
              <w:t>Loss on change in fair value of the derivative</w:t>
            </w:r>
          </w:p>
        </w:tc>
        <w:tc>
          <w:tcPr>
            <w:tcW w:w="50" w:type="pct"/>
            <w:shd w:val="clear" w:color="auto" w:fill="CCEEFF"/>
            <w:vAlign w:val="bottom"/>
            <w:hideMark/>
          </w:tcPr>
          <w:p w14:paraId="35C9C64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18C987FD"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0672ACBC" w14:textId="77777777" w:rsidR="00000000" w:rsidRDefault="007E65A2">
            <w:pPr>
              <w:jc w:val="right"/>
              <w:rPr>
                <w:rFonts w:eastAsia="Times New Roman"/>
                <w:sz w:val="20"/>
                <w:szCs w:val="20"/>
              </w:rPr>
            </w:pPr>
            <w:r>
              <w:rPr>
                <w:rFonts w:eastAsia="Times New Roman"/>
                <w:sz w:val="20"/>
                <w:szCs w:val="20"/>
              </w:rPr>
              <w:t>3,493</w:t>
            </w:r>
          </w:p>
        </w:tc>
        <w:tc>
          <w:tcPr>
            <w:tcW w:w="50" w:type="pct"/>
            <w:shd w:val="clear" w:color="auto" w:fill="CCEEFF"/>
            <w:tcMar>
              <w:top w:w="0" w:type="dxa"/>
              <w:left w:w="0" w:type="dxa"/>
              <w:bottom w:w="15" w:type="dxa"/>
              <w:right w:w="0" w:type="dxa"/>
            </w:tcMar>
            <w:vAlign w:val="bottom"/>
            <w:hideMark/>
          </w:tcPr>
          <w:p w14:paraId="78596822" w14:textId="77777777" w:rsidR="00000000" w:rsidRDefault="007E65A2">
            <w:pPr>
              <w:pStyle w:val="a3"/>
              <w:spacing w:before="0" w:beforeAutospacing="0" w:after="0" w:afterAutospacing="0"/>
              <w:jc w:val="both"/>
              <w:rPr>
                <w:sz w:val="20"/>
                <w:szCs w:val="20"/>
              </w:rPr>
            </w:pPr>
            <w:r>
              <w:rPr>
                <w:sz w:val="20"/>
                <w:szCs w:val="20"/>
              </w:rPr>
              <w:t> </w:t>
            </w:r>
          </w:p>
        </w:tc>
      </w:tr>
      <w:tr w:rsidR="00000000" w14:paraId="0F1785DF" w14:textId="77777777">
        <w:trPr>
          <w:divId w:val="911279972"/>
          <w:tblCellSpacing w:w="0" w:type="dxa"/>
        </w:trPr>
        <w:tc>
          <w:tcPr>
            <w:tcW w:w="0" w:type="auto"/>
            <w:shd w:val="clear" w:color="auto" w:fill="FFFFFF"/>
            <w:hideMark/>
          </w:tcPr>
          <w:p w14:paraId="36DB095F" w14:textId="77777777" w:rsidR="00000000" w:rsidRDefault="007E65A2">
            <w:pPr>
              <w:pStyle w:val="a3"/>
              <w:spacing w:before="0" w:beforeAutospacing="0" w:after="0" w:afterAutospacing="0"/>
              <w:jc w:val="both"/>
              <w:rPr>
                <w:sz w:val="20"/>
                <w:szCs w:val="20"/>
              </w:rPr>
            </w:pPr>
            <w:r>
              <w:rPr>
                <w:sz w:val="20"/>
                <w:szCs w:val="20"/>
              </w:rPr>
              <w:t>Balance - June 30, 2019</w:t>
            </w:r>
          </w:p>
        </w:tc>
        <w:tc>
          <w:tcPr>
            <w:tcW w:w="50" w:type="pct"/>
            <w:shd w:val="clear" w:color="auto" w:fill="FFFFFF"/>
            <w:vAlign w:val="bottom"/>
            <w:hideMark/>
          </w:tcPr>
          <w:p w14:paraId="0C0347CC"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74E61F1E"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3B44C313" w14:textId="77777777" w:rsidR="00000000" w:rsidRDefault="007E65A2">
            <w:pPr>
              <w:jc w:val="right"/>
              <w:rPr>
                <w:rFonts w:eastAsia="Times New Roman"/>
                <w:sz w:val="20"/>
                <w:szCs w:val="20"/>
              </w:rPr>
            </w:pPr>
            <w:r>
              <w:rPr>
                <w:rFonts w:eastAsia="Times New Roman"/>
                <w:sz w:val="20"/>
                <w:szCs w:val="20"/>
              </w:rPr>
              <w:t>578,812</w:t>
            </w:r>
          </w:p>
        </w:tc>
        <w:tc>
          <w:tcPr>
            <w:tcW w:w="50" w:type="pct"/>
            <w:shd w:val="clear" w:color="auto" w:fill="FFFFFF"/>
            <w:tcMar>
              <w:top w:w="0" w:type="dxa"/>
              <w:left w:w="0" w:type="dxa"/>
              <w:bottom w:w="45" w:type="dxa"/>
              <w:right w:w="0" w:type="dxa"/>
            </w:tcMar>
            <w:vAlign w:val="bottom"/>
            <w:hideMark/>
          </w:tcPr>
          <w:p w14:paraId="57FC8F6F" w14:textId="77777777" w:rsidR="00000000" w:rsidRDefault="007E65A2">
            <w:pPr>
              <w:pStyle w:val="a3"/>
              <w:spacing w:before="0" w:beforeAutospacing="0" w:after="0" w:afterAutospacing="0"/>
              <w:jc w:val="both"/>
              <w:rPr>
                <w:sz w:val="20"/>
                <w:szCs w:val="20"/>
              </w:rPr>
            </w:pPr>
            <w:r>
              <w:rPr>
                <w:sz w:val="20"/>
                <w:szCs w:val="20"/>
              </w:rPr>
              <w:t> </w:t>
            </w:r>
          </w:p>
        </w:tc>
      </w:tr>
    </w:tbl>
    <w:p w14:paraId="147768BF" w14:textId="77777777" w:rsidR="00000000" w:rsidRDefault="007E65A2">
      <w:pPr>
        <w:pStyle w:val="a3"/>
        <w:spacing w:before="0" w:beforeAutospacing="0" w:after="0" w:afterAutospacing="0"/>
        <w:jc w:val="both"/>
        <w:divId w:val="911279972"/>
        <w:rPr>
          <w:sz w:val="20"/>
          <w:szCs w:val="20"/>
        </w:rPr>
      </w:pPr>
      <w:r>
        <w:rPr>
          <w:sz w:val="20"/>
          <w:szCs w:val="20"/>
        </w:rPr>
        <w:t> </w:t>
      </w:r>
    </w:p>
    <w:p w14:paraId="43FA2BB9" w14:textId="77777777" w:rsidR="00000000" w:rsidRDefault="007E65A2">
      <w:pPr>
        <w:pStyle w:val="a3"/>
        <w:spacing w:before="0" w:beforeAutospacing="0" w:after="0" w:afterAutospacing="0"/>
        <w:jc w:val="both"/>
        <w:divId w:val="911279972"/>
        <w:rPr>
          <w:sz w:val="20"/>
          <w:szCs w:val="20"/>
        </w:rPr>
      </w:pPr>
      <w:r>
        <w:rPr>
          <w:sz w:val="20"/>
          <w:szCs w:val="20"/>
        </w:rPr>
        <w:t>The aggregate loss on derivatives during the year ended June 30, 2019 and 2018 was $464,691 and $912,590, respectively.</w:t>
      </w:r>
    </w:p>
    <w:p w14:paraId="6F6C24DB" w14:textId="77777777" w:rsidR="00000000" w:rsidRDefault="007E65A2">
      <w:pPr>
        <w:pStyle w:val="a3"/>
        <w:spacing w:before="0" w:beforeAutospacing="0" w:after="0" w:afterAutospacing="0"/>
        <w:jc w:val="both"/>
        <w:divId w:val="911279972"/>
        <w:rPr>
          <w:sz w:val="20"/>
          <w:szCs w:val="20"/>
        </w:rPr>
      </w:pPr>
      <w:r>
        <w:rPr>
          <w:sz w:val="20"/>
          <w:szCs w:val="20"/>
        </w:rPr>
        <w:t> </w:t>
      </w:r>
    </w:p>
    <w:p w14:paraId="22CEDECB" w14:textId="77777777" w:rsidR="00000000" w:rsidRDefault="007E65A2">
      <w:pPr>
        <w:pStyle w:val="a3"/>
        <w:spacing w:before="0" w:beforeAutospacing="0" w:after="0" w:afterAutospacing="0"/>
        <w:jc w:val="both"/>
        <w:divId w:val="911279972"/>
        <w:rPr>
          <w:sz w:val="20"/>
          <w:szCs w:val="20"/>
        </w:rPr>
      </w:pPr>
      <w:r>
        <w:rPr>
          <w:b/>
          <w:bCs/>
          <w:sz w:val="20"/>
          <w:szCs w:val="20"/>
        </w:rPr>
        <w:t>9. COMMITMENTS AND CONTINGENCIES</w:t>
      </w:r>
    </w:p>
    <w:p w14:paraId="7545E7B0" w14:textId="77777777" w:rsidR="00000000" w:rsidRDefault="007E65A2">
      <w:pPr>
        <w:pStyle w:val="a3"/>
        <w:spacing w:before="0" w:beforeAutospacing="0" w:after="0" w:afterAutospacing="0"/>
        <w:jc w:val="both"/>
        <w:divId w:val="911279972"/>
        <w:rPr>
          <w:sz w:val="20"/>
          <w:szCs w:val="20"/>
        </w:rPr>
      </w:pPr>
      <w:r>
        <w:rPr>
          <w:sz w:val="20"/>
          <w:szCs w:val="20"/>
        </w:rPr>
        <w:t> </w:t>
      </w:r>
    </w:p>
    <w:p w14:paraId="15D631E4" w14:textId="77777777" w:rsidR="00000000" w:rsidRDefault="007E65A2">
      <w:pPr>
        <w:pStyle w:val="a3"/>
        <w:spacing w:before="0" w:beforeAutospacing="0" w:after="0" w:afterAutospacing="0"/>
        <w:jc w:val="both"/>
        <w:divId w:val="911279972"/>
        <w:rPr>
          <w:sz w:val="20"/>
          <w:szCs w:val="20"/>
        </w:rPr>
      </w:pPr>
      <w:r>
        <w:rPr>
          <w:i/>
          <w:iCs/>
          <w:sz w:val="20"/>
          <w:szCs w:val="20"/>
        </w:rPr>
        <w:t>Leases and Long term Contracts</w:t>
      </w:r>
    </w:p>
    <w:p w14:paraId="5544C17B" w14:textId="77777777" w:rsidR="00000000" w:rsidRDefault="007E65A2">
      <w:pPr>
        <w:pStyle w:val="a3"/>
        <w:spacing w:before="0" w:beforeAutospacing="0" w:after="0" w:afterAutospacing="0"/>
        <w:jc w:val="both"/>
        <w:divId w:val="911279972"/>
        <w:rPr>
          <w:sz w:val="20"/>
          <w:szCs w:val="20"/>
        </w:rPr>
      </w:pPr>
      <w:r>
        <w:rPr>
          <w:sz w:val="20"/>
          <w:szCs w:val="20"/>
        </w:rPr>
        <w:t> </w:t>
      </w:r>
    </w:p>
    <w:p w14:paraId="49BF7ABA" w14:textId="77777777" w:rsidR="00000000" w:rsidRDefault="007E65A2">
      <w:pPr>
        <w:pStyle w:val="a3"/>
        <w:spacing w:before="0" w:beforeAutospacing="0" w:after="0" w:afterAutospacing="0"/>
        <w:jc w:val="both"/>
        <w:divId w:val="911279972"/>
        <w:rPr>
          <w:sz w:val="20"/>
          <w:szCs w:val="20"/>
        </w:rPr>
      </w:pPr>
      <w:r>
        <w:rPr>
          <w:sz w:val="20"/>
          <w:szCs w:val="20"/>
        </w:rPr>
        <w:t>The Company has not entered into any long-term leases, contracts o</w:t>
      </w:r>
      <w:r>
        <w:rPr>
          <w:sz w:val="20"/>
          <w:szCs w:val="20"/>
        </w:rPr>
        <w:t>r commitments.</w:t>
      </w:r>
    </w:p>
    <w:p w14:paraId="51D412C0" w14:textId="77777777" w:rsidR="00000000" w:rsidRDefault="007E65A2">
      <w:pPr>
        <w:pStyle w:val="a3"/>
        <w:spacing w:before="0" w:beforeAutospacing="0" w:after="0" w:afterAutospacing="0"/>
        <w:jc w:val="both"/>
        <w:divId w:val="911279972"/>
        <w:rPr>
          <w:sz w:val="20"/>
          <w:szCs w:val="20"/>
        </w:rPr>
      </w:pPr>
      <w:r>
        <w:rPr>
          <w:sz w:val="20"/>
          <w:szCs w:val="20"/>
        </w:rPr>
        <w:t> </w:t>
      </w:r>
    </w:p>
    <w:p w14:paraId="4FE04024" w14:textId="77777777" w:rsidR="00000000" w:rsidRDefault="007E65A2">
      <w:pPr>
        <w:pStyle w:val="a3"/>
        <w:spacing w:before="0" w:beforeAutospacing="0" w:after="0" w:afterAutospacing="0"/>
        <w:jc w:val="both"/>
        <w:divId w:val="911279972"/>
        <w:rPr>
          <w:sz w:val="20"/>
          <w:szCs w:val="20"/>
        </w:rPr>
      </w:pPr>
      <w:r>
        <w:rPr>
          <w:i/>
          <w:iCs/>
          <w:sz w:val="20"/>
          <w:szCs w:val="20"/>
        </w:rPr>
        <w:t>Legal</w:t>
      </w:r>
    </w:p>
    <w:p w14:paraId="69099099" w14:textId="77777777" w:rsidR="00000000" w:rsidRDefault="007E65A2">
      <w:pPr>
        <w:pStyle w:val="a3"/>
        <w:spacing w:before="0" w:beforeAutospacing="0" w:after="0" w:afterAutospacing="0"/>
        <w:jc w:val="both"/>
        <w:divId w:val="911279972"/>
        <w:rPr>
          <w:sz w:val="20"/>
          <w:szCs w:val="20"/>
        </w:rPr>
      </w:pPr>
      <w:r>
        <w:rPr>
          <w:sz w:val="20"/>
          <w:szCs w:val="20"/>
        </w:rPr>
        <w:t> </w:t>
      </w:r>
    </w:p>
    <w:p w14:paraId="2EFD3086" w14:textId="77777777" w:rsidR="00000000" w:rsidRDefault="007E65A2">
      <w:pPr>
        <w:pStyle w:val="a3"/>
        <w:spacing w:before="0" w:beforeAutospacing="0" w:after="0" w:afterAutospacing="0"/>
        <w:jc w:val="both"/>
        <w:divId w:val="911279972"/>
        <w:rPr>
          <w:sz w:val="20"/>
          <w:szCs w:val="20"/>
        </w:rPr>
      </w:pPr>
      <w:r>
        <w:rPr>
          <w:sz w:val="20"/>
          <w:szCs w:val="20"/>
        </w:rPr>
        <w:t>To the best of the Company’s knowledge and belief, no legal proceedings are currently pending or threatened.</w:t>
      </w:r>
    </w:p>
    <w:p w14:paraId="423B5095" w14:textId="77777777" w:rsidR="00000000" w:rsidRDefault="007E65A2">
      <w:pPr>
        <w:pStyle w:val="a3"/>
        <w:spacing w:before="0" w:beforeAutospacing="0" w:after="0" w:afterAutospacing="0"/>
        <w:jc w:val="both"/>
        <w:divId w:val="911279972"/>
        <w:rPr>
          <w:sz w:val="20"/>
          <w:szCs w:val="20"/>
        </w:rPr>
      </w:pPr>
      <w:r>
        <w:rPr>
          <w:sz w:val="20"/>
          <w:szCs w:val="20"/>
        </w:rPr>
        <w:t> </w:t>
      </w:r>
    </w:p>
    <w:p w14:paraId="788F3E0A" w14:textId="77777777" w:rsidR="00000000" w:rsidRDefault="007E65A2">
      <w:pPr>
        <w:pStyle w:val="a3"/>
        <w:spacing w:before="0" w:beforeAutospacing="0" w:after="0" w:afterAutospacing="0"/>
        <w:jc w:val="both"/>
        <w:divId w:val="911279972"/>
        <w:rPr>
          <w:sz w:val="20"/>
          <w:szCs w:val="20"/>
        </w:rPr>
      </w:pPr>
      <w:r>
        <w:rPr>
          <w:sz w:val="20"/>
          <w:szCs w:val="20"/>
        </w:rPr>
        <w:t>During fiscal year 2017, the Company entered into discussions regarding a proposed merger with Decision Diagnostics Corp</w:t>
      </w:r>
      <w:r>
        <w:rPr>
          <w:sz w:val="20"/>
          <w:szCs w:val="20"/>
        </w:rPr>
        <w:t>oration (“DECN”) and entered into a Preliminary Agreement Leading to a Triangular Merger (“Merger Agreement”). The Company determined that the Merger Agreement was not in the best interest of its Shareholders and terminated the Merger Agreement. In order t</w:t>
      </w:r>
      <w:r>
        <w:rPr>
          <w:sz w:val="20"/>
          <w:szCs w:val="20"/>
        </w:rPr>
        <w:t>o resolve any potential disputes or claims, the Company entered into a Settlement Agreement and Release (“Settlement”).</w:t>
      </w:r>
    </w:p>
    <w:p w14:paraId="2A4C04A3" w14:textId="77777777" w:rsidR="00000000" w:rsidRDefault="007E65A2">
      <w:pPr>
        <w:pStyle w:val="a3"/>
        <w:spacing w:before="0" w:beforeAutospacing="0" w:after="0" w:afterAutospacing="0"/>
        <w:jc w:val="both"/>
        <w:divId w:val="911279972"/>
        <w:rPr>
          <w:sz w:val="20"/>
          <w:szCs w:val="20"/>
        </w:rPr>
      </w:pPr>
      <w:r>
        <w:rPr>
          <w:sz w:val="20"/>
          <w:szCs w:val="20"/>
        </w:rPr>
        <w:t> </w:t>
      </w:r>
    </w:p>
    <w:p w14:paraId="415AB68F" w14:textId="77777777" w:rsidR="00000000" w:rsidRDefault="007E65A2">
      <w:pPr>
        <w:pStyle w:val="a3"/>
        <w:spacing w:before="0" w:beforeAutospacing="0" w:after="0" w:afterAutospacing="0"/>
        <w:jc w:val="both"/>
        <w:divId w:val="911279972"/>
        <w:rPr>
          <w:sz w:val="20"/>
          <w:szCs w:val="20"/>
        </w:rPr>
      </w:pPr>
      <w:r>
        <w:rPr>
          <w:sz w:val="20"/>
          <w:szCs w:val="20"/>
        </w:rPr>
        <w:t>DECN shall forever release and discharge, any and all claims or demands, of any type or description, whether known or unknown, that ha</w:t>
      </w:r>
      <w:r>
        <w:rPr>
          <w:sz w:val="20"/>
          <w:szCs w:val="20"/>
        </w:rPr>
        <w:t>ve been asserted or could have been asserted against the Company and shall further forever release and discharge the Company, from any and all claims, demands, causes of action, and liabilities of any kind whatsoever (upon any legal or equitable theory, wh</w:t>
      </w:r>
      <w:r>
        <w:rPr>
          <w:sz w:val="20"/>
          <w:szCs w:val="20"/>
        </w:rPr>
        <w:t>ether contractual, common-law, statutory, federal, state, local, or otherwise) (collectively the “Claims”), arising by reason of any act, omission, transaction or occurrence which DECN ever had or now has against the Company existing on, after, or prior to</w:t>
      </w:r>
      <w:r>
        <w:rPr>
          <w:sz w:val="20"/>
          <w:szCs w:val="20"/>
        </w:rPr>
        <w:t xml:space="preserve"> the execution date of the Settlement Agreement. DECN further agrees to indemnify the Company to the fullest extent of the law with respect to any violation by DECN of the releases and discharges given hereunder.</w:t>
      </w:r>
    </w:p>
    <w:p w14:paraId="501A6184" w14:textId="77777777" w:rsidR="00000000" w:rsidRDefault="007E65A2">
      <w:pPr>
        <w:pStyle w:val="a3"/>
        <w:spacing w:before="0" w:beforeAutospacing="0" w:after="0" w:afterAutospacing="0"/>
        <w:jc w:val="both"/>
        <w:divId w:val="911279972"/>
        <w:rPr>
          <w:sz w:val="20"/>
          <w:szCs w:val="20"/>
        </w:rPr>
      </w:pPr>
      <w:r>
        <w:rPr>
          <w:sz w:val="20"/>
          <w:szCs w:val="20"/>
        </w:rPr>
        <w:t> </w:t>
      </w:r>
    </w:p>
    <w:p w14:paraId="1F1BEF6E" w14:textId="77777777" w:rsidR="00000000" w:rsidRDefault="007E65A2">
      <w:pPr>
        <w:pStyle w:val="a3"/>
        <w:spacing w:before="0" w:beforeAutospacing="0" w:after="0" w:afterAutospacing="0"/>
        <w:jc w:val="both"/>
        <w:divId w:val="911279972"/>
        <w:rPr>
          <w:sz w:val="20"/>
          <w:szCs w:val="20"/>
        </w:rPr>
      </w:pPr>
      <w:r>
        <w:rPr>
          <w:sz w:val="20"/>
          <w:szCs w:val="20"/>
        </w:rPr>
        <w:t xml:space="preserve">According to the Settlement, the Company </w:t>
      </w:r>
      <w:r>
        <w:rPr>
          <w:sz w:val="20"/>
          <w:szCs w:val="20"/>
        </w:rPr>
        <w:t>issued 75,000,000 shares of common stock in October 2017. During the year ended June 30, 2018, the Company recorded settlement expense of $67,500.</w:t>
      </w:r>
    </w:p>
    <w:p w14:paraId="0DBD06B6"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945BA94" w14:textId="77777777">
        <w:trPr>
          <w:divId w:val="911279972"/>
          <w:tblCellSpacing w:w="0" w:type="dxa"/>
        </w:trPr>
        <w:tc>
          <w:tcPr>
            <w:tcW w:w="0" w:type="auto"/>
            <w:vAlign w:val="center"/>
            <w:hideMark/>
          </w:tcPr>
          <w:p w14:paraId="27B72CFD" w14:textId="77777777" w:rsidR="00000000" w:rsidRDefault="007E65A2">
            <w:pPr>
              <w:rPr>
                <w:rFonts w:eastAsia="Times New Roman"/>
                <w:sz w:val="20"/>
                <w:szCs w:val="20"/>
              </w:rPr>
            </w:pPr>
            <w:r>
              <w:rPr>
                <w:rFonts w:eastAsia="Times New Roman"/>
                <w:sz w:val="20"/>
                <w:szCs w:val="20"/>
              </w:rPr>
              <w:t> </w:t>
            </w:r>
          </w:p>
        </w:tc>
      </w:tr>
      <w:tr w:rsidR="00000000" w14:paraId="636E502B" w14:textId="77777777">
        <w:trPr>
          <w:divId w:val="911279972"/>
          <w:tblCellSpacing w:w="0" w:type="dxa"/>
        </w:trPr>
        <w:tc>
          <w:tcPr>
            <w:tcW w:w="0" w:type="auto"/>
            <w:tcBorders>
              <w:bottom w:val="single" w:sz="6" w:space="0" w:color="000000"/>
            </w:tcBorders>
            <w:vAlign w:val="center"/>
            <w:hideMark/>
          </w:tcPr>
          <w:p w14:paraId="4313A358" w14:textId="77777777" w:rsidR="00000000" w:rsidRDefault="007E65A2">
            <w:pPr>
              <w:jc w:val="center"/>
              <w:rPr>
                <w:rFonts w:eastAsia="Times New Roman"/>
                <w:sz w:val="20"/>
                <w:szCs w:val="20"/>
              </w:rPr>
            </w:pPr>
            <w:r>
              <w:rPr>
                <w:rFonts w:eastAsia="Times New Roman"/>
                <w:sz w:val="20"/>
                <w:szCs w:val="20"/>
              </w:rPr>
              <w:t>F-17</w:t>
            </w:r>
          </w:p>
        </w:tc>
      </w:tr>
      <w:tr w:rsidR="00000000" w14:paraId="01120DFE" w14:textId="77777777">
        <w:trPr>
          <w:divId w:val="911279972"/>
          <w:tblCellSpacing w:w="0" w:type="dxa"/>
        </w:trPr>
        <w:tc>
          <w:tcPr>
            <w:tcW w:w="0" w:type="auto"/>
            <w:vAlign w:val="center"/>
            <w:hideMark/>
          </w:tcPr>
          <w:p w14:paraId="1A065C5D" w14:textId="77777777" w:rsidR="00000000" w:rsidRDefault="007E65A2">
            <w:pPr>
              <w:rPr>
                <w:rFonts w:eastAsia="Times New Roman"/>
                <w:sz w:val="20"/>
                <w:szCs w:val="20"/>
              </w:rPr>
            </w:pPr>
            <w:r>
              <w:rPr>
                <w:rFonts w:eastAsia="Times New Roman"/>
                <w:sz w:val="20"/>
                <w:szCs w:val="20"/>
              </w:rPr>
              <w:t> </w:t>
            </w:r>
          </w:p>
        </w:tc>
      </w:tr>
      <w:tr w:rsidR="00000000" w14:paraId="6196F756" w14:textId="77777777">
        <w:trPr>
          <w:divId w:val="911279972"/>
          <w:tblCellSpacing w:w="0" w:type="dxa"/>
        </w:trPr>
        <w:tc>
          <w:tcPr>
            <w:tcW w:w="0" w:type="auto"/>
            <w:vAlign w:val="center"/>
            <w:hideMark/>
          </w:tcPr>
          <w:p w14:paraId="2CAF7136"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779B97F6" w14:textId="77777777" w:rsidR="00000000" w:rsidRDefault="007E65A2">
      <w:pPr>
        <w:pStyle w:val="a3"/>
        <w:spacing w:before="0" w:beforeAutospacing="0" w:after="0" w:afterAutospacing="0"/>
        <w:jc w:val="both"/>
        <w:divId w:val="911279972"/>
        <w:rPr>
          <w:sz w:val="20"/>
          <w:szCs w:val="20"/>
        </w:rPr>
      </w:pPr>
      <w:r>
        <w:rPr>
          <w:sz w:val="20"/>
          <w:szCs w:val="20"/>
        </w:rPr>
        <w:t> </w:t>
      </w:r>
    </w:p>
    <w:p w14:paraId="2721A850" w14:textId="77777777" w:rsidR="00000000" w:rsidRDefault="007E65A2">
      <w:pPr>
        <w:pStyle w:val="a3"/>
        <w:spacing w:before="0" w:beforeAutospacing="0" w:after="0" w:afterAutospacing="0"/>
        <w:jc w:val="both"/>
        <w:divId w:val="911279972"/>
        <w:rPr>
          <w:sz w:val="20"/>
          <w:szCs w:val="20"/>
        </w:rPr>
      </w:pPr>
      <w:r>
        <w:rPr>
          <w:i/>
          <w:iCs/>
          <w:sz w:val="20"/>
          <w:szCs w:val="20"/>
        </w:rPr>
        <w:t>Agreements</w:t>
      </w:r>
    </w:p>
    <w:p w14:paraId="5142C6EC" w14:textId="77777777" w:rsidR="00000000" w:rsidRDefault="007E65A2">
      <w:pPr>
        <w:pStyle w:val="a3"/>
        <w:spacing w:before="0" w:beforeAutospacing="0" w:after="0" w:afterAutospacing="0"/>
        <w:jc w:val="both"/>
        <w:divId w:val="911279972"/>
        <w:rPr>
          <w:sz w:val="20"/>
          <w:szCs w:val="20"/>
        </w:rPr>
      </w:pPr>
      <w:r>
        <w:rPr>
          <w:sz w:val="20"/>
          <w:szCs w:val="20"/>
        </w:rPr>
        <w:t> </w:t>
      </w:r>
    </w:p>
    <w:p w14:paraId="09D63EFA" w14:textId="77777777" w:rsidR="00000000" w:rsidRDefault="007E65A2">
      <w:pPr>
        <w:pStyle w:val="a3"/>
        <w:spacing w:before="0" w:beforeAutospacing="0" w:after="0" w:afterAutospacing="0"/>
        <w:jc w:val="both"/>
        <w:divId w:val="911279972"/>
        <w:rPr>
          <w:sz w:val="20"/>
          <w:szCs w:val="20"/>
        </w:rPr>
      </w:pPr>
      <w:r>
        <w:rPr>
          <w:sz w:val="20"/>
          <w:szCs w:val="20"/>
        </w:rPr>
        <w:t>In December 2016, the Company entered into contract agreements with Big Dreams ventures, LLC and M Endeavors, LLC, for marketing the services to Doctors office, clinic and hospitals for the term of 5 years. The Agreements shall automatically renew for succ</w:t>
      </w:r>
      <w:r>
        <w:rPr>
          <w:sz w:val="20"/>
          <w:szCs w:val="20"/>
        </w:rPr>
        <w:t>essive 12-month periods unless otherwise terminated in accordance with the terms of the Agreements. The Company was required to pay monthly fees of $10,000 and $8,000, respectively, and expenses related to these contracts. On September 6, 2017, the Company</w:t>
      </w:r>
      <w:r>
        <w:rPr>
          <w:sz w:val="20"/>
          <w:szCs w:val="20"/>
        </w:rPr>
        <w:t xml:space="preserve"> entered into an amended agreement with M Endeavors, LLC and Big Dream together and agreed to pay a total of $12,000 monthly for a term of one year. The Company mutually agreed to terminate this agreement and an outstanding obligation was fully forgiven. D</w:t>
      </w:r>
      <w:r>
        <w:rPr>
          <w:sz w:val="20"/>
          <w:szCs w:val="20"/>
        </w:rPr>
        <w:t>uring the year ended June30, 2019, the Company recognized gain on settlement of debt of $180,250. As of June 30, 2019 and 2018, the Company recorded accrued expenses of $0 and $180,250, respectively.</w:t>
      </w:r>
    </w:p>
    <w:p w14:paraId="7B3ABE3B" w14:textId="77777777" w:rsidR="00000000" w:rsidRDefault="007E65A2">
      <w:pPr>
        <w:pStyle w:val="a3"/>
        <w:spacing w:before="0" w:beforeAutospacing="0" w:after="0" w:afterAutospacing="0"/>
        <w:jc w:val="both"/>
        <w:divId w:val="911279972"/>
        <w:rPr>
          <w:sz w:val="20"/>
          <w:szCs w:val="20"/>
        </w:rPr>
      </w:pPr>
      <w:r>
        <w:rPr>
          <w:sz w:val="20"/>
          <w:szCs w:val="20"/>
        </w:rPr>
        <w:t> </w:t>
      </w:r>
    </w:p>
    <w:p w14:paraId="17A0CD3B" w14:textId="77777777" w:rsidR="00000000" w:rsidRDefault="007E65A2">
      <w:pPr>
        <w:pStyle w:val="a3"/>
        <w:spacing w:before="0" w:beforeAutospacing="0" w:after="0" w:afterAutospacing="0"/>
        <w:jc w:val="both"/>
        <w:divId w:val="911279972"/>
        <w:rPr>
          <w:sz w:val="20"/>
          <w:szCs w:val="20"/>
        </w:rPr>
      </w:pPr>
      <w:r>
        <w:rPr>
          <w:sz w:val="20"/>
          <w:szCs w:val="20"/>
        </w:rPr>
        <w:t>On October 2, 2017, the Company entered into an agreem</w:t>
      </w:r>
      <w:r>
        <w:rPr>
          <w:sz w:val="20"/>
          <w:szCs w:val="20"/>
        </w:rPr>
        <w:t xml:space="preserve">ent with Pacific Pain &amp; Regenerative Medicine. The Company was required to pay $3,000 per month for a collector in exchange for a minimum of 5 PGX tests per week or 20 per month. During the year ended June 30, 2018, the Company terminated the services and </w:t>
      </w:r>
      <w:r>
        <w:rPr>
          <w:sz w:val="20"/>
          <w:szCs w:val="20"/>
        </w:rPr>
        <w:t>stopped making the monthly payments. As of June 30, 2019 and 2018, the Company recorded accrued expense of $21,000 and $21,000, respectively.</w:t>
      </w:r>
    </w:p>
    <w:p w14:paraId="0EEE0436" w14:textId="77777777" w:rsidR="00000000" w:rsidRDefault="007E65A2">
      <w:pPr>
        <w:pStyle w:val="a3"/>
        <w:spacing w:before="0" w:beforeAutospacing="0" w:after="0" w:afterAutospacing="0"/>
        <w:jc w:val="both"/>
        <w:divId w:val="911279972"/>
        <w:rPr>
          <w:sz w:val="20"/>
          <w:szCs w:val="20"/>
        </w:rPr>
      </w:pPr>
      <w:r>
        <w:rPr>
          <w:sz w:val="20"/>
          <w:szCs w:val="20"/>
        </w:rPr>
        <w:t> </w:t>
      </w:r>
    </w:p>
    <w:p w14:paraId="5C2452CC" w14:textId="77777777" w:rsidR="00000000" w:rsidRDefault="007E65A2">
      <w:pPr>
        <w:pStyle w:val="a3"/>
        <w:spacing w:before="0" w:beforeAutospacing="0" w:after="0" w:afterAutospacing="0"/>
        <w:jc w:val="both"/>
        <w:divId w:val="911279972"/>
        <w:rPr>
          <w:sz w:val="20"/>
          <w:szCs w:val="20"/>
        </w:rPr>
      </w:pPr>
      <w:r>
        <w:rPr>
          <w:sz w:val="20"/>
          <w:szCs w:val="20"/>
        </w:rPr>
        <w:t>On October 17, 2017, the Company entered into an agreement of the acquisition financing of up to $30,000,000 (“t</w:t>
      </w:r>
      <w:r>
        <w:rPr>
          <w:sz w:val="20"/>
          <w:szCs w:val="20"/>
        </w:rPr>
        <w:t xml:space="preserve">he “Placement’) with Wellington Shields $ Co. The Company shall pay (i) a success fee equal to 8% of the gross proceeds of the Placement, (ii) 3% of the total Company’s shares outstanding at the time of closing the placement, and (iii) was required to pay </w:t>
      </w:r>
      <w:r>
        <w:rPr>
          <w:sz w:val="20"/>
          <w:szCs w:val="20"/>
        </w:rPr>
        <w:t>$15,000 at the time of signing and $10,000 per month. This engagement agreement terminated at the close of business April 30, 2018. During the year ended June 30, 2019, the Company recognized gain on settlement of debt of $50,000. As of June 30, 2019 and 2</w:t>
      </w:r>
      <w:r>
        <w:rPr>
          <w:sz w:val="20"/>
          <w:szCs w:val="20"/>
        </w:rPr>
        <w:t>018, the Company recorded accrued expense of $10,000 and $60,000, respectively.</w:t>
      </w:r>
    </w:p>
    <w:p w14:paraId="78894B60" w14:textId="77777777" w:rsidR="00000000" w:rsidRDefault="007E65A2">
      <w:pPr>
        <w:pStyle w:val="a3"/>
        <w:spacing w:before="0" w:beforeAutospacing="0" w:after="0" w:afterAutospacing="0"/>
        <w:jc w:val="both"/>
        <w:divId w:val="911279972"/>
        <w:rPr>
          <w:sz w:val="20"/>
          <w:szCs w:val="20"/>
        </w:rPr>
      </w:pPr>
      <w:r>
        <w:rPr>
          <w:sz w:val="20"/>
          <w:szCs w:val="20"/>
        </w:rPr>
        <w:t> </w:t>
      </w:r>
    </w:p>
    <w:p w14:paraId="461D97F6" w14:textId="77777777" w:rsidR="00000000" w:rsidRDefault="007E65A2">
      <w:pPr>
        <w:pStyle w:val="a3"/>
        <w:spacing w:before="0" w:beforeAutospacing="0" w:after="0" w:afterAutospacing="0"/>
        <w:jc w:val="both"/>
        <w:divId w:val="911279972"/>
        <w:rPr>
          <w:sz w:val="20"/>
          <w:szCs w:val="20"/>
        </w:rPr>
      </w:pPr>
      <w:r>
        <w:rPr>
          <w:i/>
          <w:iCs/>
          <w:sz w:val="20"/>
          <w:szCs w:val="20"/>
        </w:rPr>
        <w:t>Rent</w:t>
      </w:r>
    </w:p>
    <w:p w14:paraId="785B9C65" w14:textId="77777777" w:rsidR="00000000" w:rsidRDefault="007E65A2">
      <w:pPr>
        <w:pStyle w:val="a3"/>
        <w:spacing w:before="0" w:beforeAutospacing="0" w:after="0" w:afterAutospacing="0"/>
        <w:jc w:val="both"/>
        <w:divId w:val="911279972"/>
        <w:rPr>
          <w:sz w:val="20"/>
          <w:szCs w:val="20"/>
        </w:rPr>
      </w:pPr>
      <w:r>
        <w:rPr>
          <w:sz w:val="20"/>
          <w:szCs w:val="20"/>
        </w:rPr>
        <w:t> </w:t>
      </w:r>
    </w:p>
    <w:p w14:paraId="6D8BBB56" w14:textId="77777777" w:rsidR="00000000" w:rsidRDefault="007E65A2">
      <w:pPr>
        <w:pStyle w:val="a3"/>
        <w:spacing w:before="0" w:beforeAutospacing="0" w:after="0" w:afterAutospacing="0"/>
        <w:jc w:val="both"/>
        <w:divId w:val="911279972"/>
        <w:rPr>
          <w:sz w:val="20"/>
          <w:szCs w:val="20"/>
        </w:rPr>
      </w:pPr>
      <w:r>
        <w:rPr>
          <w:sz w:val="20"/>
          <w:szCs w:val="20"/>
        </w:rPr>
        <w:t>As of January 30, 2013, the Company leases office space at $200 per month with three-month terms, which shall be automatically extended for successive three-month peri</w:t>
      </w:r>
      <w:r>
        <w:rPr>
          <w:sz w:val="20"/>
          <w:szCs w:val="20"/>
        </w:rPr>
        <w:t>ods unless there is the notice to cancel. The lease can be cancelled at any time by either party with 30 days’ notice prior to expiration of an applicable term. For the years ended June 30, 2019 and 2018, the Company incurred $2,496 and $2,484, respectivel</w:t>
      </w:r>
      <w:r>
        <w:rPr>
          <w:sz w:val="20"/>
          <w:szCs w:val="20"/>
        </w:rPr>
        <w:t>y.</w:t>
      </w:r>
    </w:p>
    <w:p w14:paraId="249EBAC5" w14:textId="77777777" w:rsidR="00000000" w:rsidRDefault="007E65A2">
      <w:pPr>
        <w:pStyle w:val="a3"/>
        <w:spacing w:before="0" w:beforeAutospacing="0" w:after="0" w:afterAutospacing="0"/>
        <w:jc w:val="both"/>
        <w:divId w:val="911279972"/>
        <w:rPr>
          <w:sz w:val="20"/>
          <w:szCs w:val="20"/>
        </w:rPr>
      </w:pPr>
      <w:r>
        <w:rPr>
          <w:sz w:val="20"/>
          <w:szCs w:val="20"/>
        </w:rPr>
        <w:t> </w:t>
      </w:r>
    </w:p>
    <w:p w14:paraId="786FDA06" w14:textId="77777777" w:rsidR="00000000" w:rsidRDefault="007E65A2">
      <w:pPr>
        <w:pStyle w:val="a3"/>
        <w:spacing w:before="0" w:beforeAutospacing="0" w:after="0" w:afterAutospacing="0"/>
        <w:jc w:val="both"/>
        <w:divId w:val="911279972"/>
        <w:rPr>
          <w:sz w:val="20"/>
          <w:szCs w:val="20"/>
        </w:rPr>
      </w:pPr>
      <w:r>
        <w:rPr>
          <w:b/>
          <w:bCs/>
          <w:sz w:val="20"/>
          <w:szCs w:val="20"/>
        </w:rPr>
        <w:t>10. SHAREHOLDERS’ EQUITY</w:t>
      </w:r>
    </w:p>
    <w:p w14:paraId="760C1CCD" w14:textId="77777777" w:rsidR="00000000" w:rsidRDefault="007E65A2">
      <w:pPr>
        <w:pStyle w:val="a3"/>
        <w:spacing w:before="0" w:beforeAutospacing="0" w:after="0" w:afterAutospacing="0"/>
        <w:jc w:val="both"/>
        <w:divId w:val="911279972"/>
        <w:rPr>
          <w:sz w:val="20"/>
          <w:szCs w:val="20"/>
        </w:rPr>
      </w:pPr>
      <w:r>
        <w:rPr>
          <w:sz w:val="20"/>
          <w:szCs w:val="20"/>
        </w:rPr>
        <w:t> </w:t>
      </w:r>
    </w:p>
    <w:p w14:paraId="49B9D1CB" w14:textId="77777777" w:rsidR="00000000" w:rsidRDefault="007E65A2">
      <w:pPr>
        <w:pStyle w:val="a3"/>
        <w:spacing w:before="0" w:beforeAutospacing="0" w:after="0" w:afterAutospacing="0"/>
        <w:jc w:val="both"/>
        <w:divId w:val="911279972"/>
        <w:rPr>
          <w:sz w:val="20"/>
          <w:szCs w:val="20"/>
        </w:rPr>
      </w:pPr>
      <w:r>
        <w:rPr>
          <w:i/>
          <w:iCs/>
          <w:sz w:val="20"/>
          <w:szCs w:val="20"/>
        </w:rPr>
        <w:t>Amendment to Articles of Incorporation or Bylaws</w:t>
      </w:r>
    </w:p>
    <w:p w14:paraId="78B2332E" w14:textId="77777777" w:rsidR="00000000" w:rsidRDefault="007E65A2">
      <w:pPr>
        <w:pStyle w:val="a3"/>
        <w:spacing w:before="0" w:beforeAutospacing="0" w:after="0" w:afterAutospacing="0"/>
        <w:jc w:val="both"/>
        <w:divId w:val="911279972"/>
        <w:rPr>
          <w:sz w:val="20"/>
          <w:szCs w:val="20"/>
        </w:rPr>
      </w:pPr>
      <w:r>
        <w:rPr>
          <w:sz w:val="20"/>
          <w:szCs w:val="20"/>
        </w:rPr>
        <w:t> </w:t>
      </w:r>
    </w:p>
    <w:p w14:paraId="67627521" w14:textId="77777777" w:rsidR="00000000" w:rsidRDefault="007E65A2">
      <w:pPr>
        <w:pStyle w:val="a3"/>
        <w:spacing w:before="0" w:beforeAutospacing="0" w:after="0" w:afterAutospacing="0"/>
        <w:jc w:val="both"/>
        <w:divId w:val="911279972"/>
        <w:rPr>
          <w:sz w:val="20"/>
          <w:szCs w:val="20"/>
        </w:rPr>
      </w:pPr>
      <w:r>
        <w:rPr>
          <w:sz w:val="20"/>
          <w:szCs w:val="20"/>
        </w:rPr>
        <w:t>On February 15, 2018, the Company filed a Certificate of Amendment with the state of South Dakota, to the Company’s Articles of Incorporation, to increase in the number of authorized shares of its common stock from 1,500,000,000 to 6,000,000,000, par value</w:t>
      </w:r>
      <w:r>
        <w:rPr>
          <w:sz w:val="20"/>
          <w:szCs w:val="20"/>
        </w:rPr>
        <w:t xml:space="preserve"> $0.0001 and to increase the number of authorized Series A Preferred Stock from 5,000,000 to 60,000,000, par value $0.0001.</w:t>
      </w:r>
    </w:p>
    <w:p w14:paraId="473451EC" w14:textId="77777777" w:rsidR="00000000" w:rsidRDefault="007E65A2">
      <w:pPr>
        <w:pStyle w:val="a3"/>
        <w:spacing w:before="0" w:beforeAutospacing="0" w:after="0" w:afterAutospacing="0"/>
        <w:jc w:val="both"/>
        <w:divId w:val="911279972"/>
        <w:rPr>
          <w:sz w:val="20"/>
          <w:szCs w:val="20"/>
        </w:rPr>
      </w:pPr>
      <w:r>
        <w:rPr>
          <w:sz w:val="20"/>
          <w:szCs w:val="20"/>
        </w:rPr>
        <w:t> </w:t>
      </w:r>
    </w:p>
    <w:p w14:paraId="3D37A9E5" w14:textId="77777777" w:rsidR="00000000" w:rsidRDefault="007E65A2">
      <w:pPr>
        <w:pStyle w:val="a3"/>
        <w:spacing w:before="0" w:beforeAutospacing="0" w:after="0" w:afterAutospacing="0"/>
        <w:jc w:val="both"/>
        <w:divId w:val="911279972"/>
        <w:rPr>
          <w:sz w:val="20"/>
          <w:szCs w:val="20"/>
        </w:rPr>
      </w:pPr>
      <w:r>
        <w:rPr>
          <w:i/>
          <w:iCs/>
          <w:sz w:val="20"/>
          <w:szCs w:val="20"/>
        </w:rPr>
        <w:t>Convertible Preferred Stock</w:t>
      </w:r>
    </w:p>
    <w:p w14:paraId="1B7D83E5" w14:textId="77777777" w:rsidR="00000000" w:rsidRDefault="007E65A2">
      <w:pPr>
        <w:pStyle w:val="a3"/>
        <w:spacing w:before="0" w:beforeAutospacing="0" w:after="0" w:afterAutospacing="0"/>
        <w:jc w:val="both"/>
        <w:divId w:val="911279972"/>
        <w:rPr>
          <w:sz w:val="20"/>
          <w:szCs w:val="20"/>
        </w:rPr>
      </w:pPr>
      <w:r>
        <w:rPr>
          <w:sz w:val="20"/>
          <w:szCs w:val="20"/>
        </w:rPr>
        <w:t> </w:t>
      </w:r>
    </w:p>
    <w:p w14:paraId="3939A988" w14:textId="77777777" w:rsidR="00000000" w:rsidRDefault="007E65A2">
      <w:pPr>
        <w:pStyle w:val="a3"/>
        <w:spacing w:before="0" w:beforeAutospacing="0" w:after="0" w:afterAutospacing="0"/>
        <w:jc w:val="both"/>
        <w:divId w:val="911279972"/>
        <w:rPr>
          <w:sz w:val="20"/>
          <w:szCs w:val="20"/>
        </w:rPr>
      </w:pPr>
      <w:r>
        <w:rPr>
          <w:sz w:val="20"/>
          <w:szCs w:val="20"/>
        </w:rPr>
        <w:t>The Company is authorized to issue 60,000,000 shares of convertible preferred stock at a par value o</w:t>
      </w:r>
      <w:r>
        <w:rPr>
          <w:sz w:val="20"/>
          <w:szCs w:val="20"/>
        </w:rPr>
        <w:t>f $0.0001.</w:t>
      </w:r>
    </w:p>
    <w:p w14:paraId="742988DD" w14:textId="77777777" w:rsidR="00000000" w:rsidRDefault="007E65A2">
      <w:pPr>
        <w:pStyle w:val="a3"/>
        <w:spacing w:before="0" w:beforeAutospacing="0" w:after="0" w:afterAutospacing="0"/>
        <w:jc w:val="both"/>
        <w:divId w:val="911279972"/>
        <w:rPr>
          <w:sz w:val="20"/>
          <w:szCs w:val="20"/>
        </w:rPr>
      </w:pPr>
      <w:r>
        <w:rPr>
          <w:sz w:val="20"/>
          <w:szCs w:val="20"/>
        </w:rPr>
        <w:t> </w:t>
      </w:r>
    </w:p>
    <w:p w14:paraId="78748AE8" w14:textId="77777777" w:rsidR="00000000" w:rsidRDefault="007E65A2">
      <w:pPr>
        <w:pStyle w:val="a3"/>
        <w:spacing w:before="0" w:beforeAutospacing="0" w:after="0" w:afterAutospacing="0"/>
        <w:jc w:val="both"/>
        <w:divId w:val="911279972"/>
        <w:rPr>
          <w:sz w:val="20"/>
          <w:szCs w:val="20"/>
        </w:rPr>
      </w:pPr>
      <w:r>
        <w:rPr>
          <w:sz w:val="20"/>
          <w:szCs w:val="20"/>
        </w:rPr>
        <w:t>Each convertible preferred share is convertible into 1,500 shares of common stock and has the voting rights of 1,000 shares of common stock.</w:t>
      </w:r>
    </w:p>
    <w:p w14:paraId="2A01D39A" w14:textId="77777777" w:rsidR="00000000" w:rsidRDefault="007E65A2">
      <w:pPr>
        <w:pStyle w:val="a3"/>
        <w:spacing w:before="0" w:beforeAutospacing="0" w:after="0" w:afterAutospacing="0"/>
        <w:jc w:val="both"/>
        <w:divId w:val="911279972"/>
        <w:rPr>
          <w:sz w:val="20"/>
          <w:szCs w:val="20"/>
        </w:rPr>
      </w:pPr>
      <w:r>
        <w:rPr>
          <w:sz w:val="20"/>
          <w:szCs w:val="20"/>
        </w:rPr>
        <w:t> </w:t>
      </w:r>
    </w:p>
    <w:p w14:paraId="231F9563" w14:textId="77777777" w:rsidR="00000000" w:rsidRDefault="007E65A2">
      <w:pPr>
        <w:pStyle w:val="a3"/>
        <w:spacing w:before="0" w:beforeAutospacing="0" w:after="0" w:afterAutospacing="0"/>
        <w:jc w:val="both"/>
        <w:divId w:val="911279972"/>
        <w:rPr>
          <w:sz w:val="20"/>
          <w:szCs w:val="20"/>
        </w:rPr>
      </w:pPr>
      <w:r>
        <w:rPr>
          <w:sz w:val="20"/>
          <w:szCs w:val="20"/>
        </w:rPr>
        <w:t>On May 23, 2019, the Company issued 4,750,000 of its restricted convertible preferred stock to its C</w:t>
      </w:r>
      <w:r>
        <w:rPr>
          <w:sz w:val="20"/>
          <w:szCs w:val="20"/>
        </w:rPr>
        <w:t>EO in exchange for $285,000 of accrued compensation (See Note 11).</w:t>
      </w:r>
    </w:p>
    <w:p w14:paraId="0DB2B3A9"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A15AD26" w14:textId="77777777">
        <w:trPr>
          <w:divId w:val="911279972"/>
          <w:tblCellSpacing w:w="0" w:type="dxa"/>
        </w:trPr>
        <w:tc>
          <w:tcPr>
            <w:tcW w:w="0" w:type="auto"/>
            <w:vAlign w:val="center"/>
            <w:hideMark/>
          </w:tcPr>
          <w:p w14:paraId="1BA312D1" w14:textId="77777777" w:rsidR="00000000" w:rsidRDefault="007E65A2">
            <w:pPr>
              <w:rPr>
                <w:rFonts w:eastAsia="Times New Roman"/>
                <w:sz w:val="20"/>
                <w:szCs w:val="20"/>
              </w:rPr>
            </w:pPr>
            <w:r>
              <w:rPr>
                <w:rFonts w:eastAsia="Times New Roman"/>
                <w:sz w:val="20"/>
                <w:szCs w:val="20"/>
              </w:rPr>
              <w:t> </w:t>
            </w:r>
          </w:p>
        </w:tc>
      </w:tr>
      <w:tr w:rsidR="00000000" w14:paraId="7FAC6656" w14:textId="77777777">
        <w:trPr>
          <w:divId w:val="911279972"/>
          <w:tblCellSpacing w:w="0" w:type="dxa"/>
        </w:trPr>
        <w:tc>
          <w:tcPr>
            <w:tcW w:w="0" w:type="auto"/>
            <w:tcBorders>
              <w:bottom w:val="single" w:sz="6" w:space="0" w:color="000000"/>
            </w:tcBorders>
            <w:vAlign w:val="center"/>
            <w:hideMark/>
          </w:tcPr>
          <w:p w14:paraId="0CA060C0" w14:textId="77777777" w:rsidR="00000000" w:rsidRDefault="007E65A2">
            <w:pPr>
              <w:jc w:val="center"/>
              <w:rPr>
                <w:rFonts w:eastAsia="Times New Roman"/>
                <w:sz w:val="20"/>
                <w:szCs w:val="20"/>
              </w:rPr>
            </w:pPr>
            <w:r>
              <w:rPr>
                <w:rFonts w:eastAsia="Times New Roman"/>
                <w:sz w:val="20"/>
                <w:szCs w:val="20"/>
              </w:rPr>
              <w:t>F-18</w:t>
            </w:r>
          </w:p>
        </w:tc>
      </w:tr>
      <w:tr w:rsidR="00000000" w14:paraId="686ED05A" w14:textId="77777777">
        <w:trPr>
          <w:divId w:val="911279972"/>
          <w:tblCellSpacing w:w="0" w:type="dxa"/>
        </w:trPr>
        <w:tc>
          <w:tcPr>
            <w:tcW w:w="0" w:type="auto"/>
            <w:vAlign w:val="center"/>
            <w:hideMark/>
          </w:tcPr>
          <w:p w14:paraId="13DEE11D" w14:textId="77777777" w:rsidR="00000000" w:rsidRDefault="007E65A2">
            <w:pPr>
              <w:rPr>
                <w:rFonts w:eastAsia="Times New Roman"/>
                <w:sz w:val="20"/>
                <w:szCs w:val="20"/>
              </w:rPr>
            </w:pPr>
            <w:r>
              <w:rPr>
                <w:rFonts w:eastAsia="Times New Roman"/>
                <w:sz w:val="20"/>
                <w:szCs w:val="20"/>
              </w:rPr>
              <w:t> </w:t>
            </w:r>
          </w:p>
        </w:tc>
      </w:tr>
      <w:tr w:rsidR="00000000" w14:paraId="5E692083" w14:textId="77777777">
        <w:trPr>
          <w:divId w:val="911279972"/>
          <w:tblCellSpacing w:w="0" w:type="dxa"/>
        </w:trPr>
        <w:tc>
          <w:tcPr>
            <w:tcW w:w="0" w:type="auto"/>
            <w:vAlign w:val="center"/>
            <w:hideMark/>
          </w:tcPr>
          <w:p w14:paraId="7E3BFD16"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0211349C" w14:textId="77777777" w:rsidR="00000000" w:rsidRDefault="007E65A2">
      <w:pPr>
        <w:pStyle w:val="a3"/>
        <w:spacing w:before="0" w:beforeAutospacing="0" w:after="0" w:afterAutospacing="0"/>
        <w:jc w:val="both"/>
        <w:divId w:val="911279972"/>
        <w:rPr>
          <w:sz w:val="20"/>
          <w:szCs w:val="20"/>
        </w:rPr>
      </w:pPr>
      <w:r>
        <w:rPr>
          <w:sz w:val="20"/>
          <w:szCs w:val="20"/>
        </w:rPr>
        <w:t> </w:t>
      </w:r>
    </w:p>
    <w:p w14:paraId="691BF12D" w14:textId="77777777" w:rsidR="00000000" w:rsidRDefault="007E65A2">
      <w:pPr>
        <w:pStyle w:val="a3"/>
        <w:spacing w:before="0" w:beforeAutospacing="0" w:after="0" w:afterAutospacing="0"/>
        <w:jc w:val="both"/>
        <w:divId w:val="911279972"/>
        <w:rPr>
          <w:sz w:val="20"/>
          <w:szCs w:val="20"/>
        </w:rPr>
      </w:pPr>
      <w:r>
        <w:rPr>
          <w:sz w:val="20"/>
          <w:szCs w:val="20"/>
        </w:rPr>
        <w:t>As of June 30, 2019 and 2018, 9,750,000 and 5,000,000 shares of the Company's convertible preferred stock were issued and outstanding, respectively.</w:t>
      </w:r>
    </w:p>
    <w:p w14:paraId="70004781" w14:textId="77777777" w:rsidR="00000000" w:rsidRDefault="007E65A2">
      <w:pPr>
        <w:pStyle w:val="a3"/>
        <w:spacing w:before="0" w:beforeAutospacing="0" w:after="0" w:afterAutospacing="0"/>
        <w:jc w:val="both"/>
        <w:divId w:val="911279972"/>
        <w:rPr>
          <w:sz w:val="20"/>
          <w:szCs w:val="20"/>
        </w:rPr>
      </w:pPr>
      <w:r>
        <w:rPr>
          <w:sz w:val="20"/>
          <w:szCs w:val="20"/>
        </w:rPr>
        <w:t> </w:t>
      </w:r>
    </w:p>
    <w:p w14:paraId="55C40FE1" w14:textId="77777777" w:rsidR="00000000" w:rsidRDefault="007E65A2">
      <w:pPr>
        <w:pStyle w:val="a3"/>
        <w:spacing w:before="0" w:beforeAutospacing="0" w:after="0" w:afterAutospacing="0"/>
        <w:jc w:val="both"/>
        <w:divId w:val="911279972"/>
        <w:rPr>
          <w:sz w:val="20"/>
          <w:szCs w:val="20"/>
        </w:rPr>
      </w:pPr>
      <w:r>
        <w:rPr>
          <w:i/>
          <w:iCs/>
          <w:sz w:val="20"/>
          <w:szCs w:val="20"/>
        </w:rPr>
        <w:t>Common Stock</w:t>
      </w:r>
    </w:p>
    <w:p w14:paraId="5DA219DB" w14:textId="77777777" w:rsidR="00000000" w:rsidRDefault="007E65A2">
      <w:pPr>
        <w:pStyle w:val="a3"/>
        <w:spacing w:before="0" w:beforeAutospacing="0" w:after="0" w:afterAutospacing="0"/>
        <w:jc w:val="both"/>
        <w:divId w:val="911279972"/>
        <w:rPr>
          <w:sz w:val="20"/>
          <w:szCs w:val="20"/>
        </w:rPr>
      </w:pPr>
      <w:r>
        <w:rPr>
          <w:sz w:val="20"/>
          <w:szCs w:val="20"/>
        </w:rPr>
        <w:t> </w:t>
      </w:r>
    </w:p>
    <w:p w14:paraId="2EC6CEB6" w14:textId="77777777" w:rsidR="00000000" w:rsidRDefault="007E65A2">
      <w:pPr>
        <w:pStyle w:val="a3"/>
        <w:spacing w:before="0" w:beforeAutospacing="0" w:after="0" w:afterAutospacing="0"/>
        <w:jc w:val="both"/>
        <w:divId w:val="911279972"/>
        <w:rPr>
          <w:sz w:val="20"/>
          <w:szCs w:val="20"/>
        </w:rPr>
      </w:pPr>
      <w:r>
        <w:rPr>
          <w:sz w:val="20"/>
          <w:szCs w:val="20"/>
        </w:rPr>
        <w:t xml:space="preserve">The Company is authorized to issue 6,000,000,000 shares of common stock at a par value of </w:t>
      </w:r>
      <w:r>
        <w:rPr>
          <w:sz w:val="20"/>
          <w:szCs w:val="20"/>
        </w:rPr>
        <w:t>$0.0001.</w:t>
      </w:r>
    </w:p>
    <w:p w14:paraId="1BF4E207" w14:textId="77777777" w:rsidR="00000000" w:rsidRDefault="007E65A2">
      <w:pPr>
        <w:pStyle w:val="a3"/>
        <w:spacing w:before="0" w:beforeAutospacing="0" w:after="0" w:afterAutospacing="0"/>
        <w:jc w:val="both"/>
        <w:divId w:val="911279972"/>
        <w:rPr>
          <w:sz w:val="20"/>
          <w:szCs w:val="20"/>
        </w:rPr>
      </w:pPr>
      <w:r>
        <w:rPr>
          <w:sz w:val="20"/>
          <w:szCs w:val="20"/>
        </w:rPr>
        <w:t> </w:t>
      </w:r>
    </w:p>
    <w:p w14:paraId="1C8FEC14"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the Company issued 3,855,458,464 shares of common stock as follows;</w:t>
      </w:r>
    </w:p>
    <w:p w14:paraId="58608452"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jc w:val="center"/>
        <w:tblCellSpacing w:w="0" w:type="dxa"/>
        <w:tblCellMar>
          <w:left w:w="0" w:type="dxa"/>
          <w:right w:w="0" w:type="dxa"/>
        </w:tblCellMar>
        <w:tblLook w:val="04A0" w:firstRow="1" w:lastRow="0" w:firstColumn="1" w:lastColumn="0" w:noHBand="0" w:noVBand="1"/>
      </w:tblPr>
      <w:tblGrid>
        <w:gridCol w:w="332"/>
        <w:gridCol w:w="332"/>
        <w:gridCol w:w="7642"/>
      </w:tblGrid>
      <w:tr w:rsidR="00000000" w14:paraId="0F4F7417" w14:textId="77777777">
        <w:trPr>
          <w:divId w:val="911279972"/>
          <w:tblCellSpacing w:w="0" w:type="dxa"/>
          <w:jc w:val="center"/>
        </w:trPr>
        <w:tc>
          <w:tcPr>
            <w:tcW w:w="200" w:type="pct"/>
            <w:vAlign w:val="center"/>
            <w:hideMark/>
          </w:tcPr>
          <w:p w14:paraId="09C11B74" w14:textId="77777777" w:rsidR="00000000" w:rsidRDefault="007E65A2">
            <w:pPr>
              <w:pStyle w:val="a3"/>
              <w:spacing w:before="0" w:beforeAutospacing="0" w:after="0" w:afterAutospacing="0"/>
              <w:jc w:val="both"/>
              <w:rPr>
                <w:sz w:val="20"/>
                <w:szCs w:val="20"/>
              </w:rPr>
            </w:pPr>
            <w:r>
              <w:rPr>
                <w:sz w:val="20"/>
                <w:szCs w:val="20"/>
              </w:rPr>
              <w:t> </w:t>
            </w:r>
          </w:p>
        </w:tc>
        <w:tc>
          <w:tcPr>
            <w:tcW w:w="200" w:type="pct"/>
            <w:vAlign w:val="center"/>
            <w:hideMark/>
          </w:tcPr>
          <w:p w14:paraId="5046E690"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vAlign w:val="center"/>
            <w:hideMark/>
          </w:tcPr>
          <w:p w14:paraId="4B080FB5" w14:textId="77777777" w:rsidR="00000000" w:rsidRDefault="007E65A2">
            <w:pPr>
              <w:pStyle w:val="a3"/>
              <w:spacing w:before="0" w:beforeAutospacing="0" w:after="0" w:afterAutospacing="0"/>
              <w:jc w:val="both"/>
              <w:rPr>
                <w:sz w:val="20"/>
                <w:szCs w:val="20"/>
              </w:rPr>
            </w:pPr>
            <w:r>
              <w:rPr>
                <w:sz w:val="20"/>
                <w:szCs w:val="20"/>
              </w:rPr>
              <w:t>3,775,458,464 shares for conversion of debt and accrued interest of $223,523</w:t>
            </w:r>
          </w:p>
        </w:tc>
      </w:tr>
      <w:tr w:rsidR="00000000" w14:paraId="4AB41F90" w14:textId="77777777">
        <w:trPr>
          <w:divId w:val="911279972"/>
          <w:tblCellSpacing w:w="0" w:type="dxa"/>
          <w:jc w:val="center"/>
        </w:trPr>
        <w:tc>
          <w:tcPr>
            <w:tcW w:w="0" w:type="auto"/>
            <w:vAlign w:val="center"/>
            <w:hideMark/>
          </w:tcPr>
          <w:p w14:paraId="762547F4"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0F46654A"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vAlign w:val="center"/>
            <w:hideMark/>
          </w:tcPr>
          <w:p w14:paraId="1AA86EEC" w14:textId="77777777" w:rsidR="00000000" w:rsidRDefault="007E65A2">
            <w:pPr>
              <w:pStyle w:val="a3"/>
              <w:spacing w:before="0" w:beforeAutospacing="0" w:after="0" w:afterAutospacing="0"/>
              <w:jc w:val="both"/>
              <w:rPr>
                <w:sz w:val="20"/>
                <w:szCs w:val="20"/>
              </w:rPr>
            </w:pPr>
            <w:r>
              <w:rPr>
                <w:sz w:val="20"/>
                <w:szCs w:val="20"/>
              </w:rPr>
              <w:t>50,000,000 shares in conjunction with convertible note for $15,000</w:t>
            </w:r>
          </w:p>
        </w:tc>
      </w:tr>
      <w:tr w:rsidR="00000000" w14:paraId="082C1674" w14:textId="77777777">
        <w:trPr>
          <w:divId w:val="911279972"/>
          <w:tblCellSpacing w:w="0" w:type="dxa"/>
          <w:jc w:val="center"/>
        </w:trPr>
        <w:tc>
          <w:tcPr>
            <w:tcW w:w="0" w:type="auto"/>
            <w:vAlign w:val="center"/>
            <w:hideMark/>
          </w:tcPr>
          <w:p w14:paraId="7B2BAA41"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552F82BD"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vAlign w:val="center"/>
            <w:hideMark/>
          </w:tcPr>
          <w:p w14:paraId="1AB761B5" w14:textId="77777777" w:rsidR="00000000" w:rsidRDefault="007E65A2">
            <w:pPr>
              <w:pStyle w:val="a3"/>
              <w:spacing w:before="0" w:beforeAutospacing="0" w:after="0" w:afterAutospacing="0"/>
              <w:jc w:val="both"/>
              <w:rPr>
                <w:sz w:val="20"/>
                <w:szCs w:val="20"/>
              </w:rPr>
            </w:pPr>
            <w:r>
              <w:rPr>
                <w:sz w:val="20"/>
                <w:szCs w:val="20"/>
              </w:rPr>
              <w:t>30,000,000 shares exchange for common stock payable</w:t>
            </w:r>
          </w:p>
        </w:tc>
      </w:tr>
      <w:tr w:rsidR="00000000" w14:paraId="4C422F1F" w14:textId="77777777">
        <w:trPr>
          <w:divId w:val="911279972"/>
          <w:tblCellSpacing w:w="0" w:type="dxa"/>
          <w:jc w:val="center"/>
        </w:trPr>
        <w:tc>
          <w:tcPr>
            <w:tcW w:w="0" w:type="auto"/>
            <w:gridSpan w:val="3"/>
            <w:vAlign w:val="center"/>
            <w:hideMark/>
          </w:tcPr>
          <w:p w14:paraId="1E660E60" w14:textId="77777777" w:rsidR="00000000" w:rsidRDefault="007E65A2">
            <w:pPr>
              <w:pStyle w:val="a3"/>
              <w:spacing w:before="0" w:beforeAutospacing="0" w:after="0" w:afterAutospacing="0"/>
              <w:jc w:val="both"/>
              <w:rPr>
                <w:sz w:val="20"/>
                <w:szCs w:val="20"/>
              </w:rPr>
            </w:pPr>
            <w:r>
              <w:rPr>
                <w:sz w:val="20"/>
                <w:szCs w:val="20"/>
              </w:rPr>
              <w:t> </w:t>
            </w:r>
          </w:p>
        </w:tc>
      </w:tr>
      <w:tr w:rsidR="00000000" w14:paraId="59DB1F7E" w14:textId="77777777">
        <w:trPr>
          <w:divId w:val="911279972"/>
          <w:trHeight w:val="180"/>
          <w:tblCellSpacing w:w="0" w:type="dxa"/>
          <w:jc w:val="center"/>
        </w:trPr>
        <w:tc>
          <w:tcPr>
            <w:tcW w:w="0" w:type="auto"/>
            <w:gridSpan w:val="3"/>
            <w:vAlign w:val="center"/>
            <w:hideMark/>
          </w:tcPr>
          <w:p w14:paraId="2216A596" w14:textId="77777777" w:rsidR="00000000" w:rsidRDefault="007E65A2">
            <w:pPr>
              <w:pStyle w:val="a3"/>
              <w:spacing w:before="0" w:beforeAutospacing="0" w:after="0" w:afterAutospacing="0"/>
              <w:jc w:val="both"/>
              <w:rPr>
                <w:sz w:val="20"/>
                <w:szCs w:val="20"/>
              </w:rPr>
            </w:pPr>
            <w:r>
              <w:rPr>
                <w:sz w:val="20"/>
                <w:szCs w:val="20"/>
              </w:rPr>
              <w:t>During the year ended June 30, 2018, the Company issued common shares as follows;</w:t>
            </w:r>
          </w:p>
        </w:tc>
      </w:tr>
      <w:tr w:rsidR="00000000" w14:paraId="1FB1DAD4" w14:textId="77777777">
        <w:trPr>
          <w:divId w:val="911279972"/>
          <w:trHeight w:val="180"/>
          <w:tblCellSpacing w:w="0" w:type="dxa"/>
          <w:jc w:val="center"/>
        </w:trPr>
        <w:tc>
          <w:tcPr>
            <w:tcW w:w="0" w:type="auto"/>
            <w:gridSpan w:val="3"/>
            <w:vAlign w:val="center"/>
            <w:hideMark/>
          </w:tcPr>
          <w:p w14:paraId="465400DC" w14:textId="77777777" w:rsidR="00000000" w:rsidRDefault="007E65A2">
            <w:pPr>
              <w:pStyle w:val="a3"/>
              <w:spacing w:before="0" w:beforeAutospacing="0" w:after="0" w:afterAutospacing="0"/>
              <w:jc w:val="both"/>
              <w:rPr>
                <w:sz w:val="20"/>
                <w:szCs w:val="20"/>
              </w:rPr>
            </w:pPr>
            <w:r>
              <w:rPr>
                <w:sz w:val="20"/>
                <w:szCs w:val="20"/>
              </w:rPr>
              <w:t> </w:t>
            </w:r>
          </w:p>
        </w:tc>
      </w:tr>
      <w:tr w:rsidR="00000000" w14:paraId="0FCBCFA0" w14:textId="77777777">
        <w:trPr>
          <w:divId w:val="911279972"/>
          <w:trHeight w:val="180"/>
          <w:tblCellSpacing w:w="0" w:type="dxa"/>
          <w:jc w:val="center"/>
        </w:trPr>
        <w:tc>
          <w:tcPr>
            <w:tcW w:w="0" w:type="auto"/>
            <w:vAlign w:val="center"/>
            <w:hideMark/>
          </w:tcPr>
          <w:p w14:paraId="0524C7DE"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6F1442BF"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vAlign w:val="center"/>
            <w:hideMark/>
          </w:tcPr>
          <w:p w14:paraId="775194F1" w14:textId="77777777" w:rsidR="00000000" w:rsidRDefault="007E65A2">
            <w:pPr>
              <w:pStyle w:val="a3"/>
              <w:spacing w:before="0" w:beforeAutospacing="0" w:after="0" w:afterAutospacing="0"/>
              <w:jc w:val="both"/>
              <w:rPr>
                <w:sz w:val="20"/>
                <w:szCs w:val="20"/>
              </w:rPr>
            </w:pPr>
            <w:r>
              <w:rPr>
                <w:sz w:val="20"/>
                <w:szCs w:val="20"/>
              </w:rPr>
              <w:t>an aggregate of 585,503,747 comm</w:t>
            </w:r>
            <w:r>
              <w:rPr>
                <w:sz w:val="20"/>
                <w:szCs w:val="20"/>
              </w:rPr>
              <w:t>on shares were issued for the conversion of debt and accrued interest of $164,657, and released derivative liabilities of $295,541 to paid-in capital</w:t>
            </w:r>
          </w:p>
        </w:tc>
      </w:tr>
      <w:tr w:rsidR="00000000" w14:paraId="7D7CFD2B" w14:textId="77777777">
        <w:trPr>
          <w:divId w:val="911279972"/>
          <w:trHeight w:val="180"/>
          <w:tblCellSpacing w:w="0" w:type="dxa"/>
          <w:jc w:val="center"/>
        </w:trPr>
        <w:tc>
          <w:tcPr>
            <w:tcW w:w="0" w:type="auto"/>
            <w:vAlign w:val="center"/>
            <w:hideMark/>
          </w:tcPr>
          <w:p w14:paraId="18E8DA29"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380610BD"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vAlign w:val="center"/>
            <w:hideMark/>
          </w:tcPr>
          <w:p w14:paraId="5BBD0531" w14:textId="77777777" w:rsidR="00000000" w:rsidRDefault="007E65A2">
            <w:pPr>
              <w:pStyle w:val="a3"/>
              <w:spacing w:before="0" w:beforeAutospacing="0" w:after="0" w:afterAutospacing="0"/>
              <w:jc w:val="both"/>
              <w:rPr>
                <w:sz w:val="20"/>
                <w:szCs w:val="20"/>
              </w:rPr>
            </w:pPr>
            <w:r>
              <w:rPr>
                <w:sz w:val="20"/>
                <w:szCs w:val="20"/>
              </w:rPr>
              <w:t>30,000,000 common shares were issued for cash of $200 and reduction in common stock payable of $57,273</w:t>
            </w:r>
          </w:p>
        </w:tc>
      </w:tr>
      <w:tr w:rsidR="00000000" w14:paraId="705C728A" w14:textId="77777777">
        <w:trPr>
          <w:divId w:val="911279972"/>
          <w:trHeight w:val="180"/>
          <w:tblCellSpacing w:w="0" w:type="dxa"/>
          <w:jc w:val="center"/>
        </w:trPr>
        <w:tc>
          <w:tcPr>
            <w:tcW w:w="0" w:type="auto"/>
            <w:vAlign w:val="center"/>
            <w:hideMark/>
          </w:tcPr>
          <w:p w14:paraId="3F0948B1"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623681B2"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vAlign w:val="center"/>
            <w:hideMark/>
          </w:tcPr>
          <w:p w14:paraId="601A69DF" w14:textId="77777777" w:rsidR="00000000" w:rsidRDefault="007E65A2">
            <w:pPr>
              <w:pStyle w:val="a3"/>
              <w:spacing w:before="0" w:beforeAutospacing="0" w:after="0" w:afterAutospacing="0"/>
              <w:jc w:val="both"/>
              <w:rPr>
                <w:sz w:val="20"/>
                <w:szCs w:val="20"/>
              </w:rPr>
            </w:pPr>
            <w:r>
              <w:rPr>
                <w:sz w:val="20"/>
                <w:szCs w:val="20"/>
              </w:rPr>
              <w:t>75,000,000 common shares were issued with a fair value of $67,500 according to the settlement (Note9).</w:t>
            </w:r>
          </w:p>
        </w:tc>
      </w:tr>
      <w:tr w:rsidR="00000000" w14:paraId="000BDA6A" w14:textId="77777777">
        <w:trPr>
          <w:divId w:val="911279972"/>
          <w:trHeight w:val="180"/>
          <w:tblCellSpacing w:w="0" w:type="dxa"/>
          <w:jc w:val="center"/>
        </w:trPr>
        <w:tc>
          <w:tcPr>
            <w:tcW w:w="0" w:type="auto"/>
            <w:vAlign w:val="center"/>
            <w:hideMark/>
          </w:tcPr>
          <w:p w14:paraId="25A312DE"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7C179680"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vAlign w:val="center"/>
            <w:hideMark/>
          </w:tcPr>
          <w:p w14:paraId="2FF5B41F" w14:textId="77777777" w:rsidR="00000000" w:rsidRDefault="007E65A2">
            <w:pPr>
              <w:pStyle w:val="a3"/>
              <w:spacing w:before="0" w:beforeAutospacing="0" w:after="0" w:afterAutospacing="0"/>
              <w:jc w:val="both"/>
              <w:rPr>
                <w:sz w:val="20"/>
                <w:szCs w:val="20"/>
              </w:rPr>
            </w:pPr>
            <w:r>
              <w:rPr>
                <w:sz w:val="20"/>
                <w:szCs w:val="20"/>
              </w:rPr>
              <w:t>30,000,000 common shares were issued wit</w:t>
            </w:r>
            <w:r>
              <w:rPr>
                <w:sz w:val="20"/>
                <w:szCs w:val="20"/>
              </w:rPr>
              <w:t xml:space="preserve">h a fair value of $17,000 for consulting services </w:t>
            </w:r>
          </w:p>
        </w:tc>
      </w:tr>
    </w:tbl>
    <w:p w14:paraId="61C6BD1E" w14:textId="77777777" w:rsidR="00000000" w:rsidRDefault="007E65A2">
      <w:pPr>
        <w:pStyle w:val="a3"/>
        <w:spacing w:before="0" w:beforeAutospacing="0" w:after="0" w:afterAutospacing="0"/>
        <w:jc w:val="both"/>
        <w:divId w:val="911279972"/>
        <w:rPr>
          <w:sz w:val="20"/>
          <w:szCs w:val="20"/>
        </w:rPr>
      </w:pPr>
      <w:r>
        <w:rPr>
          <w:sz w:val="20"/>
          <w:szCs w:val="20"/>
        </w:rPr>
        <w:t> </w:t>
      </w:r>
    </w:p>
    <w:p w14:paraId="205212FA" w14:textId="77777777" w:rsidR="00000000" w:rsidRDefault="007E65A2">
      <w:pPr>
        <w:pStyle w:val="a3"/>
        <w:spacing w:before="0" w:beforeAutospacing="0" w:after="0" w:afterAutospacing="0"/>
        <w:jc w:val="both"/>
        <w:divId w:val="911279972"/>
        <w:rPr>
          <w:sz w:val="20"/>
          <w:szCs w:val="20"/>
        </w:rPr>
      </w:pPr>
      <w:r>
        <w:rPr>
          <w:sz w:val="20"/>
          <w:szCs w:val="20"/>
        </w:rPr>
        <w:t>As of June 30, 2019 and 2018, 5,095,935,524and 1,240,477,060 shares of the Company’s common stock were issued and outstanding, respectively.</w:t>
      </w:r>
    </w:p>
    <w:p w14:paraId="07AEB13A" w14:textId="77777777" w:rsidR="00000000" w:rsidRDefault="007E65A2">
      <w:pPr>
        <w:pStyle w:val="a3"/>
        <w:spacing w:before="0" w:beforeAutospacing="0" w:after="0" w:afterAutospacing="0"/>
        <w:jc w:val="both"/>
        <w:divId w:val="911279972"/>
        <w:rPr>
          <w:sz w:val="20"/>
          <w:szCs w:val="20"/>
        </w:rPr>
      </w:pPr>
      <w:r>
        <w:rPr>
          <w:sz w:val="20"/>
          <w:szCs w:val="20"/>
        </w:rPr>
        <w:t> </w:t>
      </w:r>
    </w:p>
    <w:p w14:paraId="53D1BE95" w14:textId="77777777" w:rsidR="00000000" w:rsidRDefault="007E65A2">
      <w:pPr>
        <w:pStyle w:val="a3"/>
        <w:spacing w:before="0" w:beforeAutospacing="0" w:after="0" w:afterAutospacing="0"/>
        <w:jc w:val="both"/>
        <w:divId w:val="911279972"/>
        <w:rPr>
          <w:sz w:val="20"/>
          <w:szCs w:val="20"/>
        </w:rPr>
      </w:pPr>
      <w:r>
        <w:rPr>
          <w:i/>
          <w:iCs/>
          <w:sz w:val="20"/>
          <w:szCs w:val="20"/>
        </w:rPr>
        <w:t>Stock payable</w:t>
      </w:r>
    </w:p>
    <w:p w14:paraId="30894308" w14:textId="77777777" w:rsidR="00000000" w:rsidRDefault="007E65A2">
      <w:pPr>
        <w:pStyle w:val="a3"/>
        <w:spacing w:before="0" w:beforeAutospacing="0" w:after="0" w:afterAutospacing="0"/>
        <w:jc w:val="both"/>
        <w:divId w:val="911279972"/>
        <w:rPr>
          <w:sz w:val="20"/>
          <w:szCs w:val="20"/>
        </w:rPr>
      </w:pPr>
      <w:r>
        <w:rPr>
          <w:sz w:val="20"/>
          <w:szCs w:val="20"/>
        </w:rPr>
        <w:t> </w:t>
      </w:r>
    </w:p>
    <w:p w14:paraId="1CDD48C6" w14:textId="77777777" w:rsidR="00000000" w:rsidRDefault="007E65A2">
      <w:pPr>
        <w:pStyle w:val="a3"/>
        <w:spacing w:before="0" w:beforeAutospacing="0" w:after="0" w:afterAutospacing="0"/>
        <w:jc w:val="both"/>
        <w:divId w:val="911279972"/>
        <w:rPr>
          <w:sz w:val="20"/>
          <w:szCs w:val="20"/>
        </w:rPr>
      </w:pPr>
      <w:r>
        <w:rPr>
          <w:sz w:val="20"/>
          <w:szCs w:val="20"/>
        </w:rPr>
        <w:t xml:space="preserve">The Company had insufficient authorized shares as of June 30, 2017 and as a result, the Company had $105,000 in stock payable for which it is obligated to issue 55,000,000 shares of common stock for consulting services. During the year ended June 30, 2018 </w:t>
      </w:r>
      <w:r>
        <w:rPr>
          <w:sz w:val="20"/>
          <w:szCs w:val="20"/>
        </w:rPr>
        <w:t>the company issued 30,000,000 common shares for cash of $200 and reduced common stock payable by $57,273.</w:t>
      </w:r>
    </w:p>
    <w:p w14:paraId="703D969D" w14:textId="77777777" w:rsidR="00000000" w:rsidRDefault="007E65A2">
      <w:pPr>
        <w:pStyle w:val="a3"/>
        <w:spacing w:before="0" w:beforeAutospacing="0" w:after="0" w:afterAutospacing="0"/>
        <w:jc w:val="both"/>
        <w:divId w:val="911279972"/>
        <w:rPr>
          <w:sz w:val="20"/>
          <w:szCs w:val="20"/>
        </w:rPr>
      </w:pPr>
      <w:r>
        <w:rPr>
          <w:sz w:val="20"/>
          <w:szCs w:val="20"/>
        </w:rPr>
        <w:t> </w:t>
      </w:r>
    </w:p>
    <w:p w14:paraId="05C7F834" w14:textId="77777777" w:rsidR="00000000" w:rsidRDefault="007E65A2">
      <w:pPr>
        <w:pStyle w:val="a3"/>
        <w:spacing w:before="0" w:beforeAutospacing="0" w:after="0" w:afterAutospacing="0"/>
        <w:jc w:val="both"/>
        <w:divId w:val="911279972"/>
        <w:rPr>
          <w:sz w:val="20"/>
          <w:szCs w:val="20"/>
        </w:rPr>
      </w:pPr>
      <w:r>
        <w:rPr>
          <w:sz w:val="20"/>
          <w:szCs w:val="20"/>
        </w:rPr>
        <w:t>As of June 30, 2019, the Company had $47,727 in stock payable for which it is obligated to issue 25,000,000 shares of common stock for consulting se</w:t>
      </w:r>
      <w:r>
        <w:rPr>
          <w:sz w:val="20"/>
          <w:szCs w:val="20"/>
        </w:rPr>
        <w:t>rvices.</w:t>
      </w:r>
    </w:p>
    <w:p w14:paraId="63899D68" w14:textId="77777777" w:rsidR="00000000" w:rsidRDefault="007E65A2">
      <w:pPr>
        <w:pStyle w:val="a3"/>
        <w:spacing w:before="0" w:beforeAutospacing="0" w:after="0" w:afterAutospacing="0"/>
        <w:jc w:val="both"/>
        <w:divId w:val="911279972"/>
        <w:rPr>
          <w:sz w:val="20"/>
          <w:szCs w:val="20"/>
        </w:rPr>
      </w:pPr>
      <w:r>
        <w:rPr>
          <w:sz w:val="20"/>
          <w:szCs w:val="20"/>
        </w:rPr>
        <w:t> </w:t>
      </w:r>
    </w:p>
    <w:p w14:paraId="316899AA" w14:textId="77777777" w:rsidR="00000000" w:rsidRDefault="007E65A2">
      <w:pPr>
        <w:pStyle w:val="a3"/>
        <w:spacing w:before="0" w:beforeAutospacing="0" w:after="0" w:afterAutospacing="0"/>
        <w:jc w:val="both"/>
        <w:divId w:val="911279972"/>
        <w:rPr>
          <w:sz w:val="20"/>
          <w:szCs w:val="20"/>
        </w:rPr>
      </w:pPr>
      <w:r>
        <w:rPr>
          <w:sz w:val="20"/>
          <w:szCs w:val="20"/>
        </w:rPr>
        <w:t>On November 13, 2017, the Company entered into a consulting agreement with a third party for the term of 5 years with a consideration of an issuance of 40,000,000 shares of common stock valued at $20,000. The share shall be issued in two tranches</w:t>
      </w:r>
      <w:r>
        <w:rPr>
          <w:sz w:val="20"/>
          <w:szCs w:val="20"/>
        </w:rPr>
        <w:t xml:space="preserve"> with first tranche of 10,000,000 shares being due at signing of this agreement and an additional 30,000,000 shares are due on the 3 months anniversary of this agreement. During the year ended June 30, 2018, the Company issued 10,000,000 shares with a fair</w:t>
      </w:r>
      <w:r>
        <w:rPr>
          <w:sz w:val="20"/>
          <w:szCs w:val="20"/>
        </w:rPr>
        <w:t xml:space="preserve"> value of $5,000. On February 16, 2019, the Company issued 30,000,000 shares. </w:t>
      </w:r>
    </w:p>
    <w:p w14:paraId="14DBE467" w14:textId="77777777" w:rsidR="00000000" w:rsidRDefault="007E65A2">
      <w:pPr>
        <w:pStyle w:val="a3"/>
        <w:spacing w:before="0" w:beforeAutospacing="0" w:after="0" w:afterAutospacing="0"/>
        <w:jc w:val="both"/>
        <w:divId w:val="911279972"/>
        <w:rPr>
          <w:sz w:val="20"/>
          <w:szCs w:val="20"/>
        </w:rPr>
      </w:pPr>
      <w:r>
        <w:rPr>
          <w:sz w:val="20"/>
          <w:szCs w:val="20"/>
        </w:rPr>
        <w:t> </w:t>
      </w:r>
    </w:p>
    <w:p w14:paraId="52D60E7F" w14:textId="77777777" w:rsidR="00000000" w:rsidRDefault="007E65A2">
      <w:pPr>
        <w:pStyle w:val="a3"/>
        <w:spacing w:before="0" w:beforeAutospacing="0" w:after="0" w:afterAutospacing="0"/>
        <w:jc w:val="both"/>
        <w:divId w:val="911279972"/>
        <w:rPr>
          <w:sz w:val="20"/>
          <w:szCs w:val="20"/>
        </w:rPr>
      </w:pPr>
      <w:r>
        <w:rPr>
          <w:b/>
          <w:bCs/>
          <w:sz w:val="20"/>
          <w:szCs w:val="20"/>
        </w:rPr>
        <w:t>11. RELATED PARTY TRANSACTIONS</w:t>
      </w:r>
    </w:p>
    <w:p w14:paraId="78F6F81F" w14:textId="77777777" w:rsidR="00000000" w:rsidRDefault="007E65A2">
      <w:pPr>
        <w:pStyle w:val="a3"/>
        <w:spacing w:before="0" w:beforeAutospacing="0" w:after="0" w:afterAutospacing="0"/>
        <w:jc w:val="both"/>
        <w:divId w:val="911279972"/>
        <w:rPr>
          <w:sz w:val="20"/>
          <w:szCs w:val="20"/>
        </w:rPr>
      </w:pPr>
      <w:r>
        <w:rPr>
          <w:sz w:val="20"/>
          <w:szCs w:val="20"/>
        </w:rPr>
        <w:t> </w:t>
      </w:r>
    </w:p>
    <w:p w14:paraId="3599C33C" w14:textId="77777777" w:rsidR="00000000" w:rsidRDefault="007E65A2">
      <w:pPr>
        <w:pStyle w:val="a3"/>
        <w:spacing w:before="0" w:beforeAutospacing="0" w:after="0" w:afterAutospacing="0"/>
        <w:jc w:val="both"/>
        <w:divId w:val="911279972"/>
        <w:rPr>
          <w:sz w:val="20"/>
          <w:szCs w:val="20"/>
        </w:rPr>
      </w:pPr>
      <w:r>
        <w:rPr>
          <w:sz w:val="20"/>
          <w:szCs w:val="20"/>
        </w:rPr>
        <w:t>In March 2016, the Company appointed current CEO and approved a base compensation package of $8,000 per month for CEO. The President of the Co</w:t>
      </w:r>
      <w:r>
        <w:rPr>
          <w:sz w:val="20"/>
          <w:szCs w:val="20"/>
        </w:rPr>
        <w:t>mpany provided management and office premises to the Company for no compensation in 2015. During the year ended June 30, 2019, the Company issued 4,750,000 shares of convertible preferred stock for a settlement of accrued salary of $285,000. As a result, t</w:t>
      </w:r>
      <w:r>
        <w:rPr>
          <w:sz w:val="20"/>
          <w:szCs w:val="20"/>
        </w:rPr>
        <w:t>he Company recognized a loss on settlement of debt of $427,500. As of June 30, 2019 and 2018, the Company recorded accrued salary of $3,506 and $224,000, respectively.</w:t>
      </w:r>
    </w:p>
    <w:p w14:paraId="66E3A5F1" w14:textId="77777777" w:rsidR="00000000" w:rsidRDefault="007E65A2">
      <w:pPr>
        <w:pStyle w:val="a3"/>
        <w:spacing w:before="0" w:beforeAutospacing="0" w:after="0" w:afterAutospacing="0"/>
        <w:jc w:val="both"/>
        <w:divId w:val="911279972"/>
        <w:rPr>
          <w:sz w:val="20"/>
          <w:szCs w:val="20"/>
        </w:rPr>
      </w:pPr>
      <w:r>
        <w:rPr>
          <w:sz w:val="20"/>
          <w:szCs w:val="20"/>
        </w:rPr>
        <w:t> </w:t>
      </w:r>
    </w:p>
    <w:p w14:paraId="466203E3" w14:textId="77777777" w:rsidR="00000000" w:rsidRDefault="007E65A2">
      <w:pPr>
        <w:pStyle w:val="a3"/>
        <w:spacing w:before="0" w:beforeAutospacing="0" w:after="0" w:afterAutospacing="0"/>
        <w:jc w:val="both"/>
        <w:divId w:val="911279972"/>
        <w:rPr>
          <w:sz w:val="20"/>
          <w:szCs w:val="20"/>
        </w:rPr>
      </w:pPr>
      <w:r>
        <w:rPr>
          <w:sz w:val="20"/>
          <w:szCs w:val="20"/>
        </w:rPr>
        <w:t>During the year ended June 30, 2019 and 2018, the Company borrowed a total amount of $</w:t>
      </w:r>
      <w:r>
        <w:rPr>
          <w:sz w:val="20"/>
          <w:szCs w:val="20"/>
        </w:rPr>
        <w:t>437 and $21,098 from Evergreen Venture Partners LLC (“EVP”), which the CEO is the majority owner, and repaid $300 and $6,618, respectively. This loan is a non-interest bearing and due on demand. As of June 30, 2019 and 2018, the Company owed EVP, a related</w:t>
      </w:r>
      <w:r>
        <w:rPr>
          <w:sz w:val="20"/>
          <w:szCs w:val="20"/>
        </w:rPr>
        <w:t xml:space="preserve"> party $88,224 and $88,087, respectively.</w:t>
      </w:r>
    </w:p>
    <w:p w14:paraId="393C068A"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877DFF8" w14:textId="77777777">
        <w:trPr>
          <w:divId w:val="911279972"/>
          <w:tblCellSpacing w:w="0" w:type="dxa"/>
        </w:trPr>
        <w:tc>
          <w:tcPr>
            <w:tcW w:w="0" w:type="auto"/>
            <w:vAlign w:val="center"/>
            <w:hideMark/>
          </w:tcPr>
          <w:p w14:paraId="4ED3A543" w14:textId="77777777" w:rsidR="00000000" w:rsidRDefault="007E65A2">
            <w:pPr>
              <w:rPr>
                <w:rFonts w:eastAsia="Times New Roman"/>
                <w:sz w:val="20"/>
                <w:szCs w:val="20"/>
              </w:rPr>
            </w:pPr>
            <w:r>
              <w:rPr>
                <w:rFonts w:eastAsia="Times New Roman"/>
                <w:sz w:val="20"/>
                <w:szCs w:val="20"/>
              </w:rPr>
              <w:t> </w:t>
            </w:r>
          </w:p>
        </w:tc>
      </w:tr>
      <w:tr w:rsidR="00000000" w14:paraId="0F3B7440" w14:textId="77777777">
        <w:trPr>
          <w:divId w:val="911279972"/>
          <w:tblCellSpacing w:w="0" w:type="dxa"/>
        </w:trPr>
        <w:tc>
          <w:tcPr>
            <w:tcW w:w="0" w:type="auto"/>
            <w:tcBorders>
              <w:bottom w:val="single" w:sz="6" w:space="0" w:color="000000"/>
            </w:tcBorders>
            <w:vAlign w:val="center"/>
            <w:hideMark/>
          </w:tcPr>
          <w:p w14:paraId="19D804C3" w14:textId="77777777" w:rsidR="00000000" w:rsidRDefault="007E65A2">
            <w:pPr>
              <w:jc w:val="center"/>
              <w:rPr>
                <w:rFonts w:eastAsia="Times New Roman"/>
                <w:sz w:val="20"/>
                <w:szCs w:val="20"/>
              </w:rPr>
            </w:pPr>
            <w:r>
              <w:rPr>
                <w:rFonts w:eastAsia="Times New Roman"/>
                <w:sz w:val="20"/>
                <w:szCs w:val="20"/>
              </w:rPr>
              <w:t>F-19</w:t>
            </w:r>
          </w:p>
        </w:tc>
      </w:tr>
      <w:tr w:rsidR="00000000" w14:paraId="28280064" w14:textId="77777777">
        <w:trPr>
          <w:divId w:val="911279972"/>
          <w:tblCellSpacing w:w="0" w:type="dxa"/>
        </w:trPr>
        <w:tc>
          <w:tcPr>
            <w:tcW w:w="0" w:type="auto"/>
            <w:vAlign w:val="center"/>
            <w:hideMark/>
          </w:tcPr>
          <w:p w14:paraId="76E772B2" w14:textId="77777777" w:rsidR="00000000" w:rsidRDefault="007E65A2">
            <w:pPr>
              <w:rPr>
                <w:rFonts w:eastAsia="Times New Roman"/>
                <w:sz w:val="20"/>
                <w:szCs w:val="20"/>
              </w:rPr>
            </w:pPr>
            <w:r>
              <w:rPr>
                <w:rFonts w:eastAsia="Times New Roman"/>
                <w:sz w:val="20"/>
                <w:szCs w:val="20"/>
              </w:rPr>
              <w:t> </w:t>
            </w:r>
          </w:p>
        </w:tc>
      </w:tr>
      <w:tr w:rsidR="00000000" w14:paraId="21512FDA" w14:textId="77777777">
        <w:trPr>
          <w:divId w:val="911279972"/>
          <w:tblCellSpacing w:w="0" w:type="dxa"/>
        </w:trPr>
        <w:tc>
          <w:tcPr>
            <w:tcW w:w="0" w:type="auto"/>
            <w:vAlign w:val="center"/>
            <w:hideMark/>
          </w:tcPr>
          <w:p w14:paraId="21A3BB32" w14:textId="77777777" w:rsidR="00000000" w:rsidRDefault="007E65A2">
            <w:pPr>
              <w:rPr>
                <w:rFonts w:eastAsia="Times New Roman"/>
                <w:sz w:val="20"/>
                <w:szCs w:val="20"/>
              </w:rPr>
            </w:pPr>
            <w:hyperlink w:anchor="TOC2" w:history="1">
              <w:r>
                <w:rPr>
                  <w:rStyle w:val="a4"/>
                  <w:rFonts w:eastAsia="Times New Roman"/>
                  <w:i/>
                  <w:iCs/>
                  <w:sz w:val="20"/>
                  <w:szCs w:val="20"/>
                </w:rPr>
                <w:t>Table of Contents</w:t>
              </w:r>
            </w:hyperlink>
          </w:p>
        </w:tc>
      </w:tr>
    </w:tbl>
    <w:p w14:paraId="42A58AFF" w14:textId="77777777" w:rsidR="00000000" w:rsidRDefault="007E65A2">
      <w:pPr>
        <w:pStyle w:val="a3"/>
        <w:spacing w:before="0" w:beforeAutospacing="0" w:after="0" w:afterAutospacing="0"/>
        <w:jc w:val="both"/>
        <w:divId w:val="911279972"/>
        <w:rPr>
          <w:sz w:val="20"/>
          <w:szCs w:val="20"/>
        </w:rPr>
      </w:pPr>
      <w:r>
        <w:rPr>
          <w:sz w:val="20"/>
          <w:szCs w:val="20"/>
        </w:rPr>
        <w:t> </w:t>
      </w:r>
    </w:p>
    <w:p w14:paraId="63D23971" w14:textId="77777777" w:rsidR="00000000" w:rsidRDefault="007E65A2">
      <w:pPr>
        <w:pStyle w:val="a3"/>
        <w:spacing w:before="0" w:beforeAutospacing="0" w:after="0" w:afterAutospacing="0"/>
        <w:jc w:val="both"/>
        <w:divId w:val="911279972"/>
        <w:rPr>
          <w:sz w:val="20"/>
          <w:szCs w:val="20"/>
        </w:rPr>
      </w:pPr>
      <w:r>
        <w:rPr>
          <w:sz w:val="20"/>
          <w:szCs w:val="20"/>
        </w:rPr>
        <w:t>On November 15, 2017, the Company entered into a distribution agreement with Cedar Creek Labs Series Two LLC (“LLC”) for the term of 1 year. The agreement shall be automatically extended for successive 1 year unless there is the notice to terminate. The Co</w:t>
      </w:r>
      <w:r>
        <w:rPr>
          <w:sz w:val="20"/>
          <w:szCs w:val="20"/>
        </w:rPr>
        <w:t>mpany shall use best efforts to market the Products for the LLC and will receive compensation ranging from 15% to 40% of profit. The Company owns membership interests of 5% in LLC and the transactions between the Company and LLC which is an equity method i</w:t>
      </w:r>
      <w:r>
        <w:rPr>
          <w:sz w:val="20"/>
          <w:szCs w:val="20"/>
        </w:rPr>
        <w:t>nvestee are deemed to be between related parties. During the year ended June 30, 2019 and 2018, the Company recorded revenue – related party of $0 and $2,900 and collected accounts receivable – related party of $0 and $2,900, respectively.</w:t>
      </w:r>
    </w:p>
    <w:p w14:paraId="12F297F8" w14:textId="77777777" w:rsidR="00000000" w:rsidRDefault="007E65A2">
      <w:pPr>
        <w:pStyle w:val="a3"/>
        <w:spacing w:before="0" w:beforeAutospacing="0" w:after="0" w:afterAutospacing="0"/>
        <w:jc w:val="both"/>
        <w:divId w:val="911279972"/>
        <w:rPr>
          <w:sz w:val="20"/>
          <w:szCs w:val="20"/>
        </w:rPr>
      </w:pPr>
      <w:r>
        <w:rPr>
          <w:sz w:val="20"/>
          <w:szCs w:val="20"/>
        </w:rPr>
        <w:t xml:space="preserve">  </w:t>
      </w:r>
    </w:p>
    <w:p w14:paraId="7FBCB87E" w14:textId="77777777" w:rsidR="00000000" w:rsidRDefault="007E65A2">
      <w:pPr>
        <w:pStyle w:val="a3"/>
        <w:spacing w:before="0" w:beforeAutospacing="0" w:after="0" w:afterAutospacing="0"/>
        <w:jc w:val="both"/>
        <w:divId w:val="911279972"/>
        <w:rPr>
          <w:sz w:val="20"/>
          <w:szCs w:val="20"/>
        </w:rPr>
      </w:pPr>
      <w:r>
        <w:rPr>
          <w:b/>
          <w:bCs/>
          <w:sz w:val="20"/>
          <w:szCs w:val="20"/>
        </w:rPr>
        <w:t>12. INCOME TA</w:t>
      </w:r>
      <w:r>
        <w:rPr>
          <w:b/>
          <w:bCs/>
          <w:sz w:val="20"/>
          <w:szCs w:val="20"/>
        </w:rPr>
        <w:t>XES</w:t>
      </w:r>
    </w:p>
    <w:p w14:paraId="05FEAAD8" w14:textId="77777777" w:rsidR="00000000" w:rsidRDefault="007E65A2">
      <w:pPr>
        <w:pStyle w:val="a3"/>
        <w:spacing w:before="0" w:beforeAutospacing="0" w:after="0" w:afterAutospacing="0"/>
        <w:jc w:val="both"/>
        <w:divId w:val="911279972"/>
        <w:rPr>
          <w:sz w:val="20"/>
          <w:szCs w:val="20"/>
        </w:rPr>
      </w:pPr>
      <w:r>
        <w:rPr>
          <w:sz w:val="20"/>
          <w:szCs w:val="20"/>
        </w:rPr>
        <w:t> </w:t>
      </w:r>
    </w:p>
    <w:p w14:paraId="15ECD7B2" w14:textId="77777777" w:rsidR="00000000" w:rsidRDefault="007E65A2">
      <w:pPr>
        <w:pStyle w:val="a3"/>
        <w:spacing w:before="0" w:beforeAutospacing="0" w:after="0" w:afterAutospacing="0"/>
        <w:jc w:val="both"/>
        <w:divId w:val="911279972"/>
        <w:rPr>
          <w:sz w:val="20"/>
          <w:szCs w:val="20"/>
        </w:rPr>
      </w:pPr>
      <w:r>
        <w:rPr>
          <w:sz w:val="20"/>
          <w:szCs w:val="20"/>
        </w:rPr>
        <w:t>The Company follows ASC 740. Deferred income taxes reflect the net effect of (a) temporary difference between carrying amounts of assets and liabilities for financial purposes and the amounts used for income tax reporting purposes, and (b) net operat</w:t>
      </w:r>
      <w:r>
        <w:rPr>
          <w:sz w:val="20"/>
          <w:szCs w:val="20"/>
        </w:rPr>
        <w:t>ing loss carry-forwards. No net provision for refundable Federal income tax has been made in the accompanying statement of loss because no recoverable taxes were paid previously. Similarly, no deferred tax asset attributable to the net operating loss carry</w:t>
      </w:r>
      <w:r>
        <w:rPr>
          <w:sz w:val="20"/>
          <w:szCs w:val="20"/>
        </w:rPr>
        <w:t>-forward has been recognized, as it is not deemed likely to be realized.</w:t>
      </w:r>
    </w:p>
    <w:p w14:paraId="3A1B761F" w14:textId="77777777" w:rsidR="00000000" w:rsidRDefault="007E65A2">
      <w:pPr>
        <w:pStyle w:val="a3"/>
        <w:spacing w:before="0" w:beforeAutospacing="0" w:after="0" w:afterAutospacing="0"/>
        <w:jc w:val="both"/>
        <w:divId w:val="911279972"/>
        <w:rPr>
          <w:sz w:val="20"/>
          <w:szCs w:val="20"/>
        </w:rPr>
      </w:pPr>
      <w:r>
        <w:rPr>
          <w:sz w:val="20"/>
          <w:szCs w:val="20"/>
        </w:rPr>
        <w:t> </w:t>
      </w:r>
    </w:p>
    <w:p w14:paraId="4A8F4E6A" w14:textId="77777777" w:rsidR="00000000" w:rsidRDefault="007E65A2">
      <w:pPr>
        <w:pStyle w:val="a3"/>
        <w:spacing w:before="0" w:beforeAutospacing="0" w:after="0" w:afterAutospacing="0"/>
        <w:jc w:val="both"/>
        <w:divId w:val="911279972"/>
        <w:rPr>
          <w:sz w:val="20"/>
          <w:szCs w:val="20"/>
        </w:rPr>
      </w:pPr>
      <w:r>
        <w:rPr>
          <w:sz w:val="20"/>
          <w:szCs w:val="20"/>
        </w:rPr>
        <w:t>The provision for refundable federal income tax at 21% consists of the following for the periods ending:</w:t>
      </w:r>
    </w:p>
    <w:p w14:paraId="76C01976"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7"/>
        <w:gridCol w:w="78"/>
        <w:gridCol w:w="101"/>
        <w:gridCol w:w="743"/>
        <w:gridCol w:w="78"/>
        <w:gridCol w:w="78"/>
        <w:gridCol w:w="100"/>
        <w:gridCol w:w="743"/>
        <w:gridCol w:w="78"/>
      </w:tblGrid>
      <w:tr w:rsidR="00000000" w14:paraId="59D06D58" w14:textId="77777777">
        <w:trPr>
          <w:divId w:val="911279972"/>
          <w:tblCellSpacing w:w="0" w:type="dxa"/>
        </w:trPr>
        <w:tc>
          <w:tcPr>
            <w:tcW w:w="0" w:type="auto"/>
            <w:vAlign w:val="bottom"/>
            <w:hideMark/>
          </w:tcPr>
          <w:p w14:paraId="429DC5B8"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39B6F571"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3AF2C279"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0E1B6E4E"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4D6371B7"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7B0E48FA"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6E12944E" w14:textId="77777777" w:rsidR="00000000" w:rsidRDefault="007E65A2">
            <w:pPr>
              <w:pStyle w:val="a3"/>
              <w:spacing w:before="0" w:beforeAutospacing="0" w:after="0" w:afterAutospacing="0"/>
              <w:jc w:val="both"/>
              <w:rPr>
                <w:sz w:val="20"/>
                <w:szCs w:val="20"/>
              </w:rPr>
            </w:pPr>
            <w:r>
              <w:rPr>
                <w:b/>
                <w:bCs/>
                <w:sz w:val="20"/>
                <w:szCs w:val="20"/>
              </w:rPr>
              <w:t> </w:t>
            </w:r>
          </w:p>
        </w:tc>
      </w:tr>
      <w:tr w:rsidR="00000000" w14:paraId="2EABFF9F" w14:textId="77777777">
        <w:trPr>
          <w:divId w:val="911279972"/>
          <w:tblCellSpacing w:w="0" w:type="dxa"/>
        </w:trPr>
        <w:tc>
          <w:tcPr>
            <w:tcW w:w="0" w:type="auto"/>
            <w:vAlign w:val="bottom"/>
            <w:hideMark/>
          </w:tcPr>
          <w:p w14:paraId="2BFFB04C"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0B1B1999"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29B1A8B9"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FA28625"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3900F11D"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742EBDCC"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0343A43" w14:textId="77777777" w:rsidR="00000000" w:rsidRDefault="007E65A2">
            <w:pPr>
              <w:pStyle w:val="a3"/>
              <w:spacing w:before="0" w:beforeAutospacing="0" w:after="0" w:afterAutospacing="0"/>
              <w:jc w:val="both"/>
              <w:rPr>
                <w:sz w:val="20"/>
                <w:szCs w:val="20"/>
              </w:rPr>
            </w:pPr>
            <w:r>
              <w:rPr>
                <w:sz w:val="20"/>
                <w:szCs w:val="20"/>
              </w:rPr>
              <w:t> </w:t>
            </w:r>
          </w:p>
        </w:tc>
      </w:tr>
      <w:tr w:rsidR="00000000" w14:paraId="05A161C1" w14:textId="77777777">
        <w:trPr>
          <w:divId w:val="911279972"/>
          <w:tblCellSpacing w:w="0" w:type="dxa"/>
        </w:trPr>
        <w:tc>
          <w:tcPr>
            <w:tcW w:w="0" w:type="auto"/>
            <w:shd w:val="clear" w:color="auto" w:fill="CCEEFF"/>
            <w:hideMark/>
          </w:tcPr>
          <w:p w14:paraId="177A4417" w14:textId="77777777" w:rsidR="00000000" w:rsidRDefault="007E65A2">
            <w:pPr>
              <w:pStyle w:val="a3"/>
              <w:spacing w:before="0" w:beforeAutospacing="0" w:after="0" w:afterAutospacing="0"/>
              <w:jc w:val="both"/>
              <w:rPr>
                <w:sz w:val="20"/>
                <w:szCs w:val="20"/>
              </w:rPr>
            </w:pPr>
            <w:r>
              <w:rPr>
                <w:sz w:val="20"/>
                <w:szCs w:val="20"/>
              </w:rPr>
              <w:t>Federal income tax (expense) benefit attributed to:</w:t>
            </w:r>
          </w:p>
        </w:tc>
        <w:tc>
          <w:tcPr>
            <w:tcW w:w="50" w:type="pct"/>
            <w:shd w:val="clear" w:color="auto" w:fill="CCEEFF"/>
            <w:vAlign w:val="bottom"/>
            <w:hideMark/>
          </w:tcPr>
          <w:p w14:paraId="4892EB37"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4756740C"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5AAECCB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EF193CC"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14C00634"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5BAAD91" w14:textId="77777777" w:rsidR="00000000" w:rsidRDefault="007E65A2">
            <w:pPr>
              <w:pStyle w:val="a3"/>
              <w:spacing w:before="0" w:beforeAutospacing="0" w:after="0" w:afterAutospacing="0"/>
              <w:jc w:val="both"/>
              <w:rPr>
                <w:sz w:val="20"/>
                <w:szCs w:val="20"/>
              </w:rPr>
            </w:pPr>
            <w:r>
              <w:rPr>
                <w:sz w:val="20"/>
                <w:szCs w:val="20"/>
              </w:rPr>
              <w:t> </w:t>
            </w:r>
          </w:p>
        </w:tc>
      </w:tr>
      <w:tr w:rsidR="00000000" w14:paraId="32AA1CFA" w14:textId="77777777">
        <w:trPr>
          <w:divId w:val="911279972"/>
          <w:tblCellSpacing w:w="0" w:type="dxa"/>
        </w:trPr>
        <w:tc>
          <w:tcPr>
            <w:tcW w:w="0" w:type="auto"/>
            <w:shd w:val="clear" w:color="auto" w:fill="FFFFFF"/>
            <w:hideMark/>
          </w:tcPr>
          <w:p w14:paraId="1B2FE6EF" w14:textId="77777777" w:rsidR="00000000" w:rsidRDefault="007E65A2">
            <w:pPr>
              <w:pStyle w:val="a3"/>
              <w:spacing w:before="0" w:beforeAutospacing="0" w:after="0" w:afterAutospacing="0"/>
              <w:jc w:val="both"/>
              <w:rPr>
                <w:sz w:val="20"/>
                <w:szCs w:val="20"/>
              </w:rPr>
            </w:pPr>
            <w:r>
              <w:rPr>
                <w:sz w:val="20"/>
                <w:szCs w:val="20"/>
              </w:rPr>
              <w:t>Net operating loss</w:t>
            </w:r>
          </w:p>
        </w:tc>
        <w:tc>
          <w:tcPr>
            <w:tcW w:w="50" w:type="pct"/>
            <w:shd w:val="clear" w:color="auto" w:fill="FFFFFF"/>
            <w:vAlign w:val="bottom"/>
            <w:hideMark/>
          </w:tcPr>
          <w:p w14:paraId="17BB0CA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E24F57"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6E0ABE87" w14:textId="77777777" w:rsidR="00000000" w:rsidRDefault="007E65A2">
            <w:pPr>
              <w:jc w:val="right"/>
              <w:rPr>
                <w:rFonts w:eastAsia="Times New Roman"/>
                <w:sz w:val="20"/>
                <w:szCs w:val="20"/>
              </w:rPr>
            </w:pPr>
            <w:r>
              <w:rPr>
                <w:rFonts w:eastAsia="Times New Roman"/>
                <w:sz w:val="20"/>
                <w:szCs w:val="20"/>
              </w:rPr>
              <w:t>55</w:t>
            </w:r>
          </w:p>
        </w:tc>
        <w:tc>
          <w:tcPr>
            <w:tcW w:w="50" w:type="pct"/>
            <w:shd w:val="clear" w:color="auto" w:fill="FFFFFF"/>
            <w:vAlign w:val="bottom"/>
            <w:hideMark/>
          </w:tcPr>
          <w:p w14:paraId="2D3C400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B71E1B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AEC8BF5"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3FC220A1" w14:textId="77777777" w:rsidR="00000000" w:rsidRDefault="007E65A2">
            <w:pPr>
              <w:jc w:val="right"/>
              <w:rPr>
                <w:rFonts w:eastAsia="Times New Roman"/>
                <w:sz w:val="20"/>
                <w:szCs w:val="20"/>
              </w:rPr>
            </w:pPr>
            <w:r>
              <w:rPr>
                <w:rFonts w:eastAsia="Times New Roman"/>
                <w:sz w:val="20"/>
                <w:szCs w:val="20"/>
              </w:rPr>
              <w:t>219,755</w:t>
            </w:r>
          </w:p>
        </w:tc>
        <w:tc>
          <w:tcPr>
            <w:tcW w:w="50" w:type="pct"/>
            <w:shd w:val="clear" w:color="auto" w:fill="FFFFFF"/>
            <w:vAlign w:val="bottom"/>
            <w:hideMark/>
          </w:tcPr>
          <w:p w14:paraId="156A862D" w14:textId="77777777" w:rsidR="00000000" w:rsidRDefault="007E65A2">
            <w:pPr>
              <w:pStyle w:val="a3"/>
              <w:spacing w:before="0" w:beforeAutospacing="0" w:after="0" w:afterAutospacing="0"/>
              <w:jc w:val="both"/>
              <w:rPr>
                <w:sz w:val="20"/>
                <w:szCs w:val="20"/>
              </w:rPr>
            </w:pPr>
            <w:r>
              <w:rPr>
                <w:sz w:val="20"/>
                <w:szCs w:val="20"/>
              </w:rPr>
              <w:t> </w:t>
            </w:r>
          </w:p>
        </w:tc>
      </w:tr>
      <w:tr w:rsidR="00000000" w14:paraId="09486B26" w14:textId="77777777">
        <w:trPr>
          <w:divId w:val="911279972"/>
          <w:tblCellSpacing w:w="0" w:type="dxa"/>
        </w:trPr>
        <w:tc>
          <w:tcPr>
            <w:tcW w:w="0" w:type="auto"/>
            <w:shd w:val="clear" w:color="auto" w:fill="CCEEFF"/>
            <w:hideMark/>
          </w:tcPr>
          <w:p w14:paraId="4326783D" w14:textId="77777777" w:rsidR="00000000" w:rsidRDefault="007E65A2">
            <w:pPr>
              <w:pStyle w:val="a3"/>
              <w:spacing w:before="0" w:beforeAutospacing="0" w:after="0" w:afterAutospacing="0"/>
              <w:jc w:val="both"/>
              <w:rPr>
                <w:sz w:val="20"/>
                <w:szCs w:val="20"/>
              </w:rPr>
            </w:pPr>
            <w:r>
              <w:rPr>
                <w:sz w:val="20"/>
                <w:szCs w:val="20"/>
              </w:rPr>
              <w:t>Valuation</w:t>
            </w:r>
          </w:p>
        </w:tc>
        <w:tc>
          <w:tcPr>
            <w:tcW w:w="50" w:type="pct"/>
            <w:shd w:val="clear" w:color="auto" w:fill="CCEEFF"/>
            <w:vAlign w:val="bottom"/>
            <w:hideMark/>
          </w:tcPr>
          <w:p w14:paraId="35DF98B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DF1CB0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00636F1" w14:textId="77777777" w:rsidR="00000000" w:rsidRDefault="007E65A2">
            <w:pPr>
              <w:jc w:val="right"/>
              <w:rPr>
                <w:rFonts w:eastAsia="Times New Roman"/>
                <w:sz w:val="20"/>
                <w:szCs w:val="20"/>
              </w:rPr>
            </w:pPr>
            <w:r>
              <w:rPr>
                <w:rFonts w:eastAsia="Times New Roman"/>
                <w:sz w:val="20"/>
                <w:szCs w:val="20"/>
              </w:rPr>
              <w:t>(55</w:t>
            </w:r>
          </w:p>
        </w:tc>
        <w:tc>
          <w:tcPr>
            <w:tcW w:w="50" w:type="pct"/>
            <w:shd w:val="clear" w:color="auto" w:fill="CCEEFF"/>
            <w:vAlign w:val="bottom"/>
            <w:hideMark/>
          </w:tcPr>
          <w:p w14:paraId="297670E7"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3FD60DF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E33BA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573B3CE" w14:textId="77777777" w:rsidR="00000000" w:rsidRDefault="007E65A2">
            <w:pPr>
              <w:jc w:val="right"/>
              <w:rPr>
                <w:rFonts w:eastAsia="Times New Roman"/>
                <w:sz w:val="20"/>
                <w:szCs w:val="20"/>
              </w:rPr>
            </w:pPr>
            <w:r>
              <w:rPr>
                <w:rFonts w:eastAsia="Times New Roman"/>
                <w:sz w:val="20"/>
                <w:szCs w:val="20"/>
              </w:rPr>
              <w:t>(219,755</w:t>
            </w:r>
          </w:p>
        </w:tc>
        <w:tc>
          <w:tcPr>
            <w:tcW w:w="50" w:type="pct"/>
            <w:shd w:val="clear" w:color="auto" w:fill="CCEEFF"/>
            <w:vAlign w:val="bottom"/>
            <w:hideMark/>
          </w:tcPr>
          <w:p w14:paraId="52C5CCA3" w14:textId="77777777" w:rsidR="00000000" w:rsidRDefault="007E65A2">
            <w:pPr>
              <w:jc w:val="both"/>
              <w:rPr>
                <w:rFonts w:eastAsia="Times New Roman"/>
                <w:sz w:val="20"/>
                <w:szCs w:val="20"/>
              </w:rPr>
            </w:pPr>
            <w:r>
              <w:rPr>
                <w:rFonts w:eastAsia="Times New Roman"/>
                <w:sz w:val="20"/>
                <w:szCs w:val="20"/>
              </w:rPr>
              <w:t>)</w:t>
            </w:r>
          </w:p>
        </w:tc>
      </w:tr>
      <w:tr w:rsidR="00000000" w14:paraId="3D53C23E" w14:textId="77777777">
        <w:trPr>
          <w:divId w:val="911279972"/>
          <w:tblCellSpacing w:w="0" w:type="dxa"/>
        </w:trPr>
        <w:tc>
          <w:tcPr>
            <w:tcW w:w="0" w:type="auto"/>
            <w:shd w:val="clear" w:color="auto" w:fill="FFFFFF"/>
            <w:hideMark/>
          </w:tcPr>
          <w:p w14:paraId="3A4353CB" w14:textId="77777777" w:rsidR="00000000" w:rsidRDefault="007E65A2">
            <w:pPr>
              <w:pStyle w:val="a3"/>
              <w:spacing w:before="0" w:beforeAutospacing="0" w:after="0" w:afterAutospacing="0"/>
              <w:jc w:val="both"/>
              <w:rPr>
                <w:sz w:val="20"/>
                <w:szCs w:val="20"/>
              </w:rPr>
            </w:pPr>
            <w:r>
              <w:rPr>
                <w:sz w:val="20"/>
                <w:szCs w:val="20"/>
              </w:rPr>
              <w:t>Net benefit</w:t>
            </w:r>
          </w:p>
        </w:tc>
        <w:tc>
          <w:tcPr>
            <w:tcW w:w="50" w:type="pct"/>
            <w:shd w:val="clear" w:color="auto" w:fill="FFFFFF"/>
            <w:vAlign w:val="bottom"/>
            <w:hideMark/>
          </w:tcPr>
          <w:p w14:paraId="43F2550F"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top w:val="single" w:sz="6" w:space="0" w:color="auto"/>
              <w:bottom w:val="double" w:sz="6" w:space="0" w:color="auto"/>
            </w:tcBorders>
            <w:shd w:val="clear" w:color="auto" w:fill="FFFFFF"/>
            <w:vAlign w:val="bottom"/>
            <w:hideMark/>
          </w:tcPr>
          <w:p w14:paraId="42B5F0C6" w14:textId="77777777" w:rsidR="00000000" w:rsidRDefault="007E65A2">
            <w:pPr>
              <w:jc w:val="both"/>
              <w:rPr>
                <w:rFonts w:eastAsia="Times New Roman"/>
                <w:sz w:val="20"/>
                <w:szCs w:val="20"/>
              </w:rPr>
            </w:pPr>
            <w:r>
              <w:rPr>
                <w:rFonts w:eastAsia="Times New Roman"/>
                <w:sz w:val="20"/>
                <w:szCs w:val="20"/>
              </w:rPr>
              <w:t>$</w:t>
            </w:r>
          </w:p>
        </w:tc>
        <w:tc>
          <w:tcPr>
            <w:tcW w:w="450" w:type="pct"/>
            <w:tcBorders>
              <w:top w:val="single" w:sz="6" w:space="0" w:color="auto"/>
              <w:bottom w:val="double" w:sz="6" w:space="0" w:color="auto"/>
            </w:tcBorders>
            <w:shd w:val="clear" w:color="auto" w:fill="FFFFFF"/>
            <w:vAlign w:val="bottom"/>
            <w:hideMark/>
          </w:tcPr>
          <w:p w14:paraId="58E2AAFA"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AC62AD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F67254B"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top w:val="single" w:sz="6" w:space="0" w:color="auto"/>
              <w:bottom w:val="double" w:sz="6" w:space="0" w:color="auto"/>
            </w:tcBorders>
            <w:shd w:val="clear" w:color="auto" w:fill="FFFFFF"/>
            <w:vAlign w:val="bottom"/>
            <w:hideMark/>
          </w:tcPr>
          <w:p w14:paraId="630E933F" w14:textId="77777777" w:rsidR="00000000" w:rsidRDefault="007E65A2">
            <w:pPr>
              <w:jc w:val="both"/>
              <w:rPr>
                <w:rFonts w:eastAsia="Times New Roman"/>
                <w:sz w:val="20"/>
                <w:szCs w:val="20"/>
              </w:rPr>
            </w:pPr>
            <w:r>
              <w:rPr>
                <w:rFonts w:eastAsia="Times New Roman"/>
                <w:sz w:val="20"/>
                <w:szCs w:val="20"/>
              </w:rPr>
              <w:t>$</w:t>
            </w:r>
          </w:p>
        </w:tc>
        <w:tc>
          <w:tcPr>
            <w:tcW w:w="450" w:type="pct"/>
            <w:tcBorders>
              <w:top w:val="single" w:sz="6" w:space="0" w:color="auto"/>
              <w:bottom w:val="double" w:sz="6" w:space="0" w:color="auto"/>
            </w:tcBorders>
            <w:shd w:val="clear" w:color="auto" w:fill="FFFFFF"/>
            <w:vAlign w:val="bottom"/>
            <w:hideMark/>
          </w:tcPr>
          <w:p w14:paraId="4133D26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7C1B45DA" w14:textId="77777777" w:rsidR="00000000" w:rsidRDefault="007E65A2">
            <w:pPr>
              <w:pStyle w:val="a3"/>
              <w:spacing w:before="0" w:beforeAutospacing="0" w:after="0" w:afterAutospacing="0"/>
              <w:jc w:val="both"/>
              <w:rPr>
                <w:sz w:val="20"/>
                <w:szCs w:val="20"/>
              </w:rPr>
            </w:pPr>
            <w:r>
              <w:rPr>
                <w:sz w:val="20"/>
                <w:szCs w:val="20"/>
              </w:rPr>
              <w:t> </w:t>
            </w:r>
          </w:p>
        </w:tc>
      </w:tr>
    </w:tbl>
    <w:p w14:paraId="514F9CB7" w14:textId="77777777" w:rsidR="00000000" w:rsidRDefault="007E65A2">
      <w:pPr>
        <w:pStyle w:val="a3"/>
        <w:spacing w:before="0" w:beforeAutospacing="0" w:after="0" w:afterAutospacing="0"/>
        <w:jc w:val="both"/>
        <w:divId w:val="911279972"/>
        <w:rPr>
          <w:sz w:val="20"/>
          <w:szCs w:val="20"/>
        </w:rPr>
      </w:pPr>
      <w:r>
        <w:rPr>
          <w:sz w:val="20"/>
          <w:szCs w:val="20"/>
        </w:rPr>
        <w:t> </w:t>
      </w:r>
    </w:p>
    <w:p w14:paraId="763BEA4D" w14:textId="77777777" w:rsidR="00000000" w:rsidRDefault="007E65A2">
      <w:pPr>
        <w:pStyle w:val="a3"/>
        <w:spacing w:before="0" w:beforeAutospacing="0" w:after="0" w:afterAutospacing="0"/>
        <w:jc w:val="both"/>
        <w:divId w:val="911279972"/>
        <w:rPr>
          <w:sz w:val="20"/>
          <w:szCs w:val="20"/>
        </w:rPr>
      </w:pPr>
      <w:r>
        <w:rPr>
          <w:sz w:val="20"/>
          <w:szCs w:val="20"/>
        </w:rPr>
        <w:t>The cumulative tax effect at the expected rate of 21% of significant items comprising our net deferred tax amount is as follows:</w:t>
      </w:r>
    </w:p>
    <w:p w14:paraId="7398734C"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14:paraId="33904CED" w14:textId="77777777">
        <w:trPr>
          <w:divId w:val="911279972"/>
          <w:tblCellSpacing w:w="0" w:type="dxa"/>
        </w:trPr>
        <w:tc>
          <w:tcPr>
            <w:tcW w:w="0" w:type="auto"/>
            <w:vAlign w:val="bottom"/>
            <w:hideMark/>
          </w:tcPr>
          <w:p w14:paraId="3A8C1708"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bottom"/>
            <w:hideMark/>
          </w:tcPr>
          <w:p w14:paraId="2B5C6174"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121366ED"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0D604607"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416B294C"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471C2FA3" w14:textId="77777777" w:rsidR="00000000" w:rsidRDefault="007E65A2">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1F5C50B1" w14:textId="77777777" w:rsidR="00000000" w:rsidRDefault="007E65A2">
            <w:pPr>
              <w:pStyle w:val="a3"/>
              <w:spacing w:before="0" w:beforeAutospacing="0" w:after="0" w:afterAutospacing="0"/>
              <w:jc w:val="both"/>
              <w:rPr>
                <w:sz w:val="20"/>
                <w:szCs w:val="20"/>
              </w:rPr>
            </w:pPr>
            <w:r>
              <w:rPr>
                <w:b/>
                <w:bCs/>
                <w:sz w:val="20"/>
                <w:szCs w:val="20"/>
              </w:rPr>
              <w:t> </w:t>
            </w:r>
          </w:p>
        </w:tc>
      </w:tr>
      <w:tr w:rsidR="00000000" w14:paraId="5875C616" w14:textId="77777777">
        <w:trPr>
          <w:divId w:val="911279972"/>
          <w:tblCellSpacing w:w="0" w:type="dxa"/>
        </w:trPr>
        <w:tc>
          <w:tcPr>
            <w:tcW w:w="0" w:type="auto"/>
            <w:vAlign w:val="bottom"/>
            <w:hideMark/>
          </w:tcPr>
          <w:p w14:paraId="41E3E389"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5E9CC487"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3F2C4D01" w14:textId="77777777" w:rsidR="00000000" w:rsidRDefault="007E65A2">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2192F0AA" w14:textId="77777777" w:rsidR="00000000" w:rsidRDefault="007E65A2">
            <w:pPr>
              <w:pStyle w:val="a3"/>
              <w:spacing w:before="0" w:beforeAutospacing="0" w:after="0" w:afterAutospacing="0"/>
              <w:jc w:val="both"/>
              <w:rPr>
                <w:sz w:val="20"/>
                <w:szCs w:val="20"/>
              </w:rPr>
            </w:pPr>
            <w:r>
              <w:rPr>
                <w:b/>
                <w:bCs/>
                <w:sz w:val="20"/>
                <w:szCs w:val="20"/>
              </w:rPr>
              <w:t> </w:t>
            </w:r>
          </w:p>
        </w:tc>
        <w:tc>
          <w:tcPr>
            <w:tcW w:w="0" w:type="auto"/>
            <w:vAlign w:val="bottom"/>
            <w:hideMark/>
          </w:tcPr>
          <w:p w14:paraId="1D27604F" w14:textId="77777777" w:rsidR="00000000" w:rsidRDefault="007E65A2">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0AA6732C" w14:textId="77777777" w:rsidR="00000000" w:rsidRDefault="007E65A2">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2E9D0280" w14:textId="77777777" w:rsidR="00000000" w:rsidRDefault="007E65A2">
            <w:pPr>
              <w:pStyle w:val="a3"/>
              <w:spacing w:before="0" w:beforeAutospacing="0" w:after="0" w:afterAutospacing="0"/>
              <w:jc w:val="both"/>
              <w:rPr>
                <w:sz w:val="20"/>
                <w:szCs w:val="20"/>
              </w:rPr>
            </w:pPr>
            <w:r>
              <w:rPr>
                <w:sz w:val="20"/>
                <w:szCs w:val="20"/>
              </w:rPr>
              <w:t> </w:t>
            </w:r>
          </w:p>
        </w:tc>
      </w:tr>
      <w:tr w:rsidR="00000000" w14:paraId="580545F8" w14:textId="77777777">
        <w:trPr>
          <w:divId w:val="911279972"/>
          <w:tblCellSpacing w:w="0" w:type="dxa"/>
        </w:trPr>
        <w:tc>
          <w:tcPr>
            <w:tcW w:w="0" w:type="auto"/>
            <w:shd w:val="clear" w:color="auto" w:fill="CCEEFF"/>
            <w:hideMark/>
          </w:tcPr>
          <w:p w14:paraId="393D0ED0" w14:textId="77777777" w:rsidR="00000000" w:rsidRDefault="007E65A2">
            <w:pPr>
              <w:pStyle w:val="a3"/>
              <w:spacing w:before="0" w:beforeAutospacing="0" w:after="0" w:afterAutospacing="0"/>
              <w:jc w:val="both"/>
              <w:rPr>
                <w:sz w:val="20"/>
                <w:szCs w:val="20"/>
              </w:rPr>
            </w:pPr>
            <w:r>
              <w:rPr>
                <w:sz w:val="20"/>
                <w:szCs w:val="20"/>
              </w:rPr>
              <w:t>Deferred tax attributed:</w:t>
            </w:r>
          </w:p>
        </w:tc>
        <w:tc>
          <w:tcPr>
            <w:tcW w:w="50" w:type="pct"/>
            <w:shd w:val="clear" w:color="auto" w:fill="CCEEFF"/>
            <w:vAlign w:val="bottom"/>
            <w:hideMark/>
          </w:tcPr>
          <w:p w14:paraId="766E0CB6"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76EAA96F"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373095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F3994B0"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CCEEFF"/>
            <w:vAlign w:val="bottom"/>
            <w:hideMark/>
          </w:tcPr>
          <w:p w14:paraId="2F09EE1E"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B00C7FF" w14:textId="77777777" w:rsidR="00000000" w:rsidRDefault="007E65A2">
            <w:pPr>
              <w:pStyle w:val="a3"/>
              <w:spacing w:before="0" w:beforeAutospacing="0" w:after="0" w:afterAutospacing="0"/>
              <w:jc w:val="both"/>
              <w:rPr>
                <w:sz w:val="20"/>
                <w:szCs w:val="20"/>
              </w:rPr>
            </w:pPr>
            <w:r>
              <w:rPr>
                <w:sz w:val="20"/>
                <w:szCs w:val="20"/>
              </w:rPr>
              <w:t> </w:t>
            </w:r>
          </w:p>
        </w:tc>
      </w:tr>
      <w:tr w:rsidR="00000000" w14:paraId="2089D51D" w14:textId="77777777">
        <w:trPr>
          <w:divId w:val="911279972"/>
          <w:tblCellSpacing w:w="0" w:type="dxa"/>
        </w:trPr>
        <w:tc>
          <w:tcPr>
            <w:tcW w:w="0" w:type="auto"/>
            <w:shd w:val="clear" w:color="auto" w:fill="FFFFFF"/>
            <w:hideMark/>
          </w:tcPr>
          <w:p w14:paraId="5D5A2E1B" w14:textId="77777777" w:rsidR="00000000" w:rsidRDefault="007E65A2">
            <w:pPr>
              <w:pStyle w:val="a3"/>
              <w:spacing w:before="0" w:beforeAutospacing="0" w:after="0" w:afterAutospacing="0"/>
              <w:jc w:val="both"/>
              <w:rPr>
                <w:sz w:val="20"/>
                <w:szCs w:val="20"/>
              </w:rPr>
            </w:pPr>
            <w:r>
              <w:rPr>
                <w:sz w:val="20"/>
                <w:szCs w:val="20"/>
              </w:rPr>
              <w:t>Net operating loss carryover</w:t>
            </w:r>
          </w:p>
        </w:tc>
        <w:tc>
          <w:tcPr>
            <w:tcW w:w="50" w:type="pct"/>
            <w:shd w:val="clear" w:color="auto" w:fill="FFFFFF"/>
            <w:vAlign w:val="bottom"/>
            <w:hideMark/>
          </w:tcPr>
          <w:p w14:paraId="67A7BB0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8BF6ACA"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5270A066" w14:textId="77777777" w:rsidR="00000000" w:rsidRDefault="007E65A2">
            <w:pPr>
              <w:jc w:val="right"/>
              <w:rPr>
                <w:rFonts w:eastAsia="Times New Roman"/>
                <w:sz w:val="20"/>
                <w:szCs w:val="20"/>
              </w:rPr>
            </w:pPr>
            <w:r>
              <w:rPr>
                <w:rFonts w:eastAsia="Times New Roman"/>
                <w:sz w:val="20"/>
                <w:szCs w:val="20"/>
              </w:rPr>
              <w:t>334,068</w:t>
            </w:r>
          </w:p>
        </w:tc>
        <w:tc>
          <w:tcPr>
            <w:tcW w:w="50" w:type="pct"/>
            <w:shd w:val="clear" w:color="auto" w:fill="FFFFFF"/>
            <w:vAlign w:val="bottom"/>
            <w:hideMark/>
          </w:tcPr>
          <w:p w14:paraId="45C63AC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0CAAAD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A08777B"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11DC9C2D" w14:textId="77777777" w:rsidR="00000000" w:rsidRDefault="007E65A2">
            <w:pPr>
              <w:jc w:val="right"/>
              <w:rPr>
                <w:rFonts w:eastAsia="Times New Roman"/>
                <w:sz w:val="20"/>
                <w:szCs w:val="20"/>
              </w:rPr>
            </w:pPr>
            <w:r>
              <w:rPr>
                <w:rFonts w:eastAsia="Times New Roman"/>
                <w:sz w:val="20"/>
                <w:szCs w:val="20"/>
              </w:rPr>
              <w:t>556,689</w:t>
            </w:r>
          </w:p>
        </w:tc>
        <w:tc>
          <w:tcPr>
            <w:tcW w:w="50" w:type="pct"/>
            <w:shd w:val="clear" w:color="auto" w:fill="FFFFFF"/>
            <w:vAlign w:val="bottom"/>
            <w:hideMark/>
          </w:tcPr>
          <w:p w14:paraId="576032CD" w14:textId="77777777" w:rsidR="00000000" w:rsidRDefault="007E65A2">
            <w:pPr>
              <w:pStyle w:val="a3"/>
              <w:spacing w:before="0" w:beforeAutospacing="0" w:after="0" w:afterAutospacing="0"/>
              <w:jc w:val="both"/>
              <w:rPr>
                <w:sz w:val="20"/>
                <w:szCs w:val="20"/>
              </w:rPr>
            </w:pPr>
            <w:r>
              <w:rPr>
                <w:sz w:val="20"/>
                <w:szCs w:val="20"/>
              </w:rPr>
              <w:t> </w:t>
            </w:r>
          </w:p>
        </w:tc>
      </w:tr>
      <w:tr w:rsidR="00000000" w14:paraId="100BF693" w14:textId="77777777">
        <w:trPr>
          <w:divId w:val="911279972"/>
          <w:tblCellSpacing w:w="0" w:type="dxa"/>
        </w:trPr>
        <w:tc>
          <w:tcPr>
            <w:tcW w:w="0" w:type="auto"/>
            <w:shd w:val="clear" w:color="auto" w:fill="CCEEFF"/>
            <w:hideMark/>
          </w:tcPr>
          <w:p w14:paraId="62C18FED" w14:textId="77777777" w:rsidR="00000000" w:rsidRDefault="007E65A2">
            <w:pPr>
              <w:pStyle w:val="a3"/>
              <w:spacing w:before="0" w:beforeAutospacing="0" w:after="0" w:afterAutospacing="0"/>
              <w:jc w:val="both"/>
              <w:rPr>
                <w:sz w:val="20"/>
                <w:szCs w:val="20"/>
              </w:rPr>
            </w:pPr>
            <w:r>
              <w:rPr>
                <w:sz w:val="20"/>
                <w:szCs w:val="20"/>
              </w:rPr>
              <w:t>Effect of change in the statutory rate</w:t>
            </w:r>
          </w:p>
        </w:tc>
        <w:tc>
          <w:tcPr>
            <w:tcW w:w="50" w:type="pct"/>
            <w:shd w:val="clear" w:color="auto" w:fill="CCEEFF"/>
            <w:vAlign w:val="bottom"/>
            <w:hideMark/>
          </w:tcPr>
          <w:p w14:paraId="36BB617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D981C47"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F81B32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DC28D1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BABDF2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B9DE58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37AD1E5" w14:textId="77777777" w:rsidR="00000000" w:rsidRDefault="007E65A2">
            <w:pPr>
              <w:jc w:val="right"/>
              <w:rPr>
                <w:rFonts w:eastAsia="Times New Roman"/>
                <w:sz w:val="20"/>
                <w:szCs w:val="20"/>
              </w:rPr>
            </w:pPr>
            <w:r>
              <w:rPr>
                <w:rFonts w:eastAsia="Times New Roman"/>
                <w:sz w:val="20"/>
                <w:szCs w:val="20"/>
              </w:rPr>
              <w:t>(222,676</w:t>
            </w:r>
          </w:p>
        </w:tc>
        <w:tc>
          <w:tcPr>
            <w:tcW w:w="50" w:type="pct"/>
            <w:shd w:val="clear" w:color="auto" w:fill="CCEEFF"/>
            <w:vAlign w:val="bottom"/>
            <w:hideMark/>
          </w:tcPr>
          <w:p w14:paraId="59D308F8" w14:textId="77777777" w:rsidR="00000000" w:rsidRDefault="007E65A2">
            <w:pPr>
              <w:jc w:val="both"/>
              <w:rPr>
                <w:rFonts w:eastAsia="Times New Roman"/>
                <w:sz w:val="20"/>
                <w:szCs w:val="20"/>
              </w:rPr>
            </w:pPr>
            <w:r>
              <w:rPr>
                <w:rFonts w:eastAsia="Times New Roman"/>
                <w:sz w:val="20"/>
                <w:szCs w:val="20"/>
              </w:rPr>
              <w:t>)</w:t>
            </w:r>
          </w:p>
        </w:tc>
      </w:tr>
      <w:tr w:rsidR="00000000" w14:paraId="38448EA5" w14:textId="77777777">
        <w:trPr>
          <w:divId w:val="911279972"/>
          <w:tblCellSpacing w:w="0" w:type="dxa"/>
        </w:trPr>
        <w:tc>
          <w:tcPr>
            <w:tcW w:w="0" w:type="auto"/>
            <w:shd w:val="clear" w:color="auto" w:fill="FFFFFF"/>
            <w:hideMark/>
          </w:tcPr>
          <w:p w14:paraId="35FF2F22" w14:textId="77777777" w:rsidR="00000000" w:rsidRDefault="007E65A2">
            <w:pPr>
              <w:pStyle w:val="a3"/>
              <w:spacing w:before="0" w:beforeAutospacing="0" w:after="0" w:afterAutospacing="0"/>
              <w:jc w:val="both"/>
              <w:rPr>
                <w:sz w:val="20"/>
                <w:szCs w:val="20"/>
              </w:rPr>
            </w:pPr>
            <w:r>
              <w:rPr>
                <w:sz w:val="20"/>
                <w:szCs w:val="20"/>
              </w:rPr>
              <w:t>Less: change in valuation allowance</w:t>
            </w:r>
          </w:p>
        </w:tc>
        <w:tc>
          <w:tcPr>
            <w:tcW w:w="50" w:type="pct"/>
            <w:shd w:val="clear" w:color="auto" w:fill="FFFFFF"/>
            <w:vAlign w:val="bottom"/>
            <w:hideMark/>
          </w:tcPr>
          <w:p w14:paraId="19BFFB0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50D0C0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0948C38" w14:textId="77777777" w:rsidR="00000000" w:rsidRDefault="007E65A2">
            <w:pPr>
              <w:jc w:val="right"/>
              <w:rPr>
                <w:rFonts w:eastAsia="Times New Roman"/>
                <w:sz w:val="20"/>
                <w:szCs w:val="20"/>
              </w:rPr>
            </w:pPr>
            <w:r>
              <w:rPr>
                <w:rFonts w:eastAsia="Times New Roman"/>
                <w:sz w:val="20"/>
                <w:szCs w:val="20"/>
              </w:rPr>
              <w:t>(334,068</w:t>
            </w:r>
          </w:p>
        </w:tc>
        <w:tc>
          <w:tcPr>
            <w:tcW w:w="50" w:type="pct"/>
            <w:shd w:val="clear" w:color="auto" w:fill="FFFFFF"/>
            <w:vAlign w:val="bottom"/>
            <w:hideMark/>
          </w:tcPr>
          <w:p w14:paraId="2DD4020F"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395FB86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8319DF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286953B" w14:textId="77777777" w:rsidR="00000000" w:rsidRDefault="007E65A2">
            <w:pPr>
              <w:jc w:val="right"/>
              <w:rPr>
                <w:rFonts w:eastAsia="Times New Roman"/>
                <w:sz w:val="20"/>
                <w:szCs w:val="20"/>
              </w:rPr>
            </w:pPr>
            <w:r>
              <w:rPr>
                <w:rFonts w:eastAsia="Times New Roman"/>
                <w:sz w:val="20"/>
                <w:szCs w:val="20"/>
              </w:rPr>
              <w:t>(334,013</w:t>
            </w:r>
          </w:p>
        </w:tc>
        <w:tc>
          <w:tcPr>
            <w:tcW w:w="50" w:type="pct"/>
            <w:shd w:val="clear" w:color="auto" w:fill="FFFFFF"/>
            <w:vAlign w:val="bottom"/>
            <w:hideMark/>
          </w:tcPr>
          <w:p w14:paraId="5017B340" w14:textId="77777777" w:rsidR="00000000" w:rsidRDefault="007E65A2">
            <w:pPr>
              <w:jc w:val="both"/>
              <w:rPr>
                <w:rFonts w:eastAsia="Times New Roman"/>
                <w:sz w:val="20"/>
                <w:szCs w:val="20"/>
              </w:rPr>
            </w:pPr>
            <w:r>
              <w:rPr>
                <w:rFonts w:eastAsia="Times New Roman"/>
                <w:sz w:val="20"/>
                <w:szCs w:val="20"/>
              </w:rPr>
              <w:t>)</w:t>
            </w:r>
          </w:p>
        </w:tc>
      </w:tr>
      <w:tr w:rsidR="00000000" w14:paraId="44BE081E" w14:textId="77777777">
        <w:trPr>
          <w:divId w:val="911279972"/>
          <w:tblCellSpacing w:w="0" w:type="dxa"/>
        </w:trPr>
        <w:tc>
          <w:tcPr>
            <w:tcW w:w="0" w:type="auto"/>
            <w:shd w:val="clear" w:color="auto" w:fill="CCEEFF"/>
            <w:hideMark/>
          </w:tcPr>
          <w:p w14:paraId="3921151A" w14:textId="77777777" w:rsidR="00000000" w:rsidRDefault="007E65A2">
            <w:pPr>
              <w:pStyle w:val="a3"/>
              <w:spacing w:before="0" w:beforeAutospacing="0" w:after="0" w:afterAutospacing="0"/>
              <w:jc w:val="both"/>
              <w:rPr>
                <w:sz w:val="20"/>
                <w:szCs w:val="20"/>
              </w:rPr>
            </w:pPr>
            <w:r>
              <w:rPr>
                <w:sz w:val="20"/>
                <w:szCs w:val="20"/>
              </w:rPr>
              <w:t>Net deferred tax asset</w:t>
            </w:r>
          </w:p>
        </w:tc>
        <w:tc>
          <w:tcPr>
            <w:tcW w:w="50" w:type="pct"/>
            <w:shd w:val="clear" w:color="auto" w:fill="CCEEFF"/>
            <w:vAlign w:val="bottom"/>
            <w:hideMark/>
          </w:tcPr>
          <w:p w14:paraId="45335306"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top w:val="single" w:sz="6" w:space="0" w:color="auto"/>
              <w:bottom w:val="double" w:sz="6" w:space="0" w:color="auto"/>
            </w:tcBorders>
            <w:shd w:val="clear" w:color="auto" w:fill="CCEEFF"/>
            <w:vAlign w:val="bottom"/>
            <w:hideMark/>
          </w:tcPr>
          <w:p w14:paraId="5D04D915" w14:textId="77777777" w:rsidR="00000000" w:rsidRDefault="007E65A2">
            <w:pPr>
              <w:jc w:val="both"/>
              <w:rPr>
                <w:rFonts w:eastAsia="Times New Roman"/>
                <w:sz w:val="20"/>
                <w:szCs w:val="20"/>
              </w:rPr>
            </w:pPr>
            <w:r>
              <w:rPr>
                <w:rFonts w:eastAsia="Times New Roman"/>
                <w:sz w:val="20"/>
                <w:szCs w:val="20"/>
              </w:rPr>
              <w:t>$</w:t>
            </w:r>
          </w:p>
        </w:tc>
        <w:tc>
          <w:tcPr>
            <w:tcW w:w="450" w:type="pct"/>
            <w:tcBorders>
              <w:top w:val="single" w:sz="6" w:space="0" w:color="auto"/>
              <w:bottom w:val="double" w:sz="6" w:space="0" w:color="auto"/>
            </w:tcBorders>
            <w:shd w:val="clear" w:color="auto" w:fill="CCEEFF"/>
            <w:vAlign w:val="bottom"/>
            <w:hideMark/>
          </w:tcPr>
          <w:p w14:paraId="1E08D48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53CEB12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B6E60FC"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top w:val="single" w:sz="6" w:space="0" w:color="auto"/>
              <w:bottom w:val="double" w:sz="6" w:space="0" w:color="auto"/>
            </w:tcBorders>
            <w:shd w:val="clear" w:color="auto" w:fill="CCEEFF"/>
            <w:vAlign w:val="bottom"/>
            <w:hideMark/>
          </w:tcPr>
          <w:p w14:paraId="148B7226" w14:textId="77777777" w:rsidR="00000000" w:rsidRDefault="007E65A2">
            <w:pPr>
              <w:jc w:val="both"/>
              <w:rPr>
                <w:rFonts w:eastAsia="Times New Roman"/>
                <w:sz w:val="20"/>
                <w:szCs w:val="20"/>
              </w:rPr>
            </w:pPr>
            <w:r>
              <w:rPr>
                <w:rFonts w:eastAsia="Times New Roman"/>
                <w:sz w:val="20"/>
                <w:szCs w:val="20"/>
              </w:rPr>
              <w:t>$</w:t>
            </w:r>
          </w:p>
        </w:tc>
        <w:tc>
          <w:tcPr>
            <w:tcW w:w="450" w:type="pct"/>
            <w:tcBorders>
              <w:top w:val="single" w:sz="6" w:space="0" w:color="auto"/>
              <w:bottom w:val="double" w:sz="6" w:space="0" w:color="auto"/>
            </w:tcBorders>
            <w:shd w:val="clear" w:color="auto" w:fill="CCEEFF"/>
            <w:vAlign w:val="bottom"/>
            <w:hideMark/>
          </w:tcPr>
          <w:p w14:paraId="44A6E409"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51870B01" w14:textId="77777777" w:rsidR="00000000" w:rsidRDefault="007E65A2">
            <w:pPr>
              <w:pStyle w:val="a3"/>
              <w:spacing w:before="0" w:beforeAutospacing="0" w:after="0" w:afterAutospacing="0"/>
              <w:jc w:val="both"/>
              <w:rPr>
                <w:sz w:val="20"/>
                <w:szCs w:val="20"/>
              </w:rPr>
            </w:pPr>
            <w:r>
              <w:rPr>
                <w:sz w:val="20"/>
                <w:szCs w:val="20"/>
              </w:rPr>
              <w:t> </w:t>
            </w:r>
          </w:p>
        </w:tc>
      </w:tr>
    </w:tbl>
    <w:p w14:paraId="494A502C" w14:textId="77777777" w:rsidR="00000000" w:rsidRDefault="007E65A2">
      <w:pPr>
        <w:pStyle w:val="a3"/>
        <w:spacing w:before="0" w:beforeAutospacing="0" w:after="0" w:afterAutospacing="0"/>
        <w:jc w:val="both"/>
        <w:divId w:val="911279972"/>
        <w:rPr>
          <w:sz w:val="20"/>
          <w:szCs w:val="20"/>
        </w:rPr>
      </w:pPr>
      <w:r>
        <w:rPr>
          <w:sz w:val="20"/>
          <w:szCs w:val="20"/>
        </w:rPr>
        <w:t> </w:t>
      </w:r>
    </w:p>
    <w:p w14:paraId="42F289B1" w14:textId="77777777" w:rsidR="00000000" w:rsidRDefault="007E65A2">
      <w:pPr>
        <w:pStyle w:val="a3"/>
        <w:spacing w:before="0" w:beforeAutospacing="0" w:after="0" w:afterAutospacing="0"/>
        <w:jc w:val="both"/>
        <w:divId w:val="911279972"/>
        <w:rPr>
          <w:sz w:val="20"/>
          <w:szCs w:val="20"/>
        </w:rPr>
      </w:pPr>
      <w:r>
        <w:rPr>
          <w:sz w:val="20"/>
          <w:szCs w:val="20"/>
        </w:rPr>
        <w:t>As at June 30, 2019, the Company had an unused net operating loss (“NOL”) carry-forward of approximating $1,590,803 that is available to offset future taxable income; the loss carry-forward will start to expire in 2033. The utilization of these NOLs may be</w:t>
      </w:r>
      <w:r>
        <w:rPr>
          <w:sz w:val="20"/>
          <w:szCs w:val="20"/>
        </w:rPr>
        <w:t>come subject to limitations based on past and future changes in ownership of the Company pursuant to Internal Revenue Code Section 382.</w:t>
      </w:r>
    </w:p>
    <w:p w14:paraId="6D991FBE" w14:textId="77777777" w:rsidR="00000000" w:rsidRDefault="007E65A2">
      <w:pPr>
        <w:pStyle w:val="a3"/>
        <w:spacing w:before="0" w:beforeAutospacing="0" w:after="0" w:afterAutospacing="0"/>
        <w:jc w:val="both"/>
        <w:divId w:val="911279972"/>
        <w:rPr>
          <w:sz w:val="20"/>
          <w:szCs w:val="20"/>
        </w:rPr>
      </w:pPr>
      <w:r>
        <w:rPr>
          <w:sz w:val="20"/>
          <w:szCs w:val="20"/>
        </w:rPr>
        <w:t> </w:t>
      </w:r>
    </w:p>
    <w:p w14:paraId="2663B110" w14:textId="77777777" w:rsidR="00000000" w:rsidRDefault="007E65A2">
      <w:pPr>
        <w:pStyle w:val="a3"/>
        <w:spacing w:before="0" w:beforeAutospacing="0" w:after="0" w:afterAutospacing="0"/>
        <w:jc w:val="both"/>
        <w:divId w:val="911279972"/>
        <w:rPr>
          <w:sz w:val="20"/>
          <w:szCs w:val="20"/>
        </w:rPr>
      </w:pPr>
      <w:r>
        <w:rPr>
          <w:sz w:val="20"/>
          <w:szCs w:val="20"/>
        </w:rPr>
        <w:t>Income taxes for the years ended 2012 through 2019, remain subject to examination.</w:t>
      </w:r>
    </w:p>
    <w:p w14:paraId="598C8229" w14:textId="77777777" w:rsidR="00000000" w:rsidRDefault="007E65A2">
      <w:pPr>
        <w:pStyle w:val="a3"/>
        <w:spacing w:before="0" w:beforeAutospacing="0" w:after="0" w:afterAutospacing="0"/>
        <w:jc w:val="both"/>
        <w:divId w:val="911279972"/>
        <w:rPr>
          <w:sz w:val="20"/>
          <w:szCs w:val="20"/>
        </w:rPr>
      </w:pPr>
      <w:r>
        <w:rPr>
          <w:sz w:val="20"/>
          <w:szCs w:val="20"/>
        </w:rPr>
        <w:t> </w:t>
      </w:r>
    </w:p>
    <w:p w14:paraId="7E6A4671" w14:textId="77777777" w:rsidR="00000000" w:rsidRDefault="007E65A2">
      <w:pPr>
        <w:pStyle w:val="a3"/>
        <w:spacing w:before="0" w:beforeAutospacing="0" w:after="0" w:afterAutospacing="0"/>
        <w:jc w:val="both"/>
        <w:divId w:val="911279972"/>
        <w:rPr>
          <w:sz w:val="20"/>
          <w:szCs w:val="20"/>
        </w:rPr>
      </w:pPr>
      <w:r>
        <w:rPr>
          <w:b/>
          <w:bCs/>
          <w:sz w:val="20"/>
          <w:szCs w:val="20"/>
        </w:rPr>
        <w:t>13. SUBSEQUENT EVENTS</w:t>
      </w:r>
    </w:p>
    <w:p w14:paraId="4E1D5E4D" w14:textId="77777777" w:rsidR="00000000" w:rsidRDefault="007E65A2">
      <w:pPr>
        <w:pStyle w:val="a3"/>
        <w:spacing w:before="0" w:beforeAutospacing="0" w:after="0" w:afterAutospacing="0"/>
        <w:jc w:val="both"/>
        <w:divId w:val="911279972"/>
        <w:rPr>
          <w:sz w:val="20"/>
          <w:szCs w:val="20"/>
        </w:rPr>
      </w:pPr>
      <w:r>
        <w:rPr>
          <w:sz w:val="20"/>
          <w:szCs w:val="20"/>
        </w:rPr>
        <w:t> </w:t>
      </w:r>
    </w:p>
    <w:p w14:paraId="57B7968C" w14:textId="77777777" w:rsidR="00000000" w:rsidRDefault="007E65A2">
      <w:pPr>
        <w:pStyle w:val="a3"/>
        <w:spacing w:before="0" w:beforeAutospacing="0" w:after="0" w:afterAutospacing="0"/>
        <w:jc w:val="both"/>
        <w:divId w:val="911279972"/>
        <w:rPr>
          <w:sz w:val="20"/>
          <w:szCs w:val="20"/>
        </w:rPr>
      </w:pPr>
      <w:r>
        <w:rPr>
          <w:sz w:val="20"/>
          <w:szCs w:val="20"/>
        </w:rPr>
        <w:t>Subsequen</w:t>
      </w:r>
      <w:r>
        <w:rPr>
          <w:sz w:val="20"/>
          <w:szCs w:val="20"/>
        </w:rPr>
        <w:t>t to June 30, 2019, the Company issued 65,205,250 shares of common stock fo conversion of debt and accrued interest of $2,608.</w:t>
      </w:r>
    </w:p>
    <w:p w14:paraId="39176C40"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78AAF21" w14:textId="77777777">
        <w:trPr>
          <w:divId w:val="911279972"/>
          <w:tblCellSpacing w:w="0" w:type="dxa"/>
        </w:trPr>
        <w:tc>
          <w:tcPr>
            <w:tcW w:w="0" w:type="auto"/>
            <w:vAlign w:val="center"/>
            <w:hideMark/>
          </w:tcPr>
          <w:p w14:paraId="52A0A299" w14:textId="77777777" w:rsidR="00000000" w:rsidRDefault="007E65A2">
            <w:pPr>
              <w:rPr>
                <w:rFonts w:eastAsia="Times New Roman"/>
                <w:sz w:val="20"/>
                <w:szCs w:val="20"/>
              </w:rPr>
            </w:pPr>
            <w:r>
              <w:rPr>
                <w:rFonts w:eastAsia="Times New Roman"/>
                <w:sz w:val="20"/>
                <w:szCs w:val="20"/>
              </w:rPr>
              <w:t> </w:t>
            </w:r>
          </w:p>
        </w:tc>
      </w:tr>
      <w:tr w:rsidR="00000000" w14:paraId="6AC3B8BC" w14:textId="77777777">
        <w:trPr>
          <w:divId w:val="911279972"/>
          <w:tblCellSpacing w:w="0" w:type="dxa"/>
        </w:trPr>
        <w:tc>
          <w:tcPr>
            <w:tcW w:w="0" w:type="auto"/>
            <w:tcBorders>
              <w:bottom w:val="single" w:sz="6" w:space="0" w:color="000000"/>
            </w:tcBorders>
            <w:vAlign w:val="center"/>
            <w:hideMark/>
          </w:tcPr>
          <w:p w14:paraId="1E6D863E" w14:textId="77777777" w:rsidR="00000000" w:rsidRDefault="007E65A2">
            <w:pPr>
              <w:pStyle w:val="a3"/>
              <w:spacing w:before="0" w:beforeAutospacing="0" w:after="0" w:afterAutospacing="0"/>
              <w:jc w:val="center"/>
              <w:rPr>
                <w:sz w:val="20"/>
                <w:szCs w:val="20"/>
              </w:rPr>
            </w:pPr>
            <w:r>
              <w:rPr>
                <w:sz w:val="20"/>
                <w:szCs w:val="20"/>
              </w:rPr>
              <w:t>F-20</w:t>
            </w:r>
          </w:p>
        </w:tc>
      </w:tr>
      <w:tr w:rsidR="00000000" w14:paraId="2E34EA4A" w14:textId="77777777">
        <w:trPr>
          <w:divId w:val="911279972"/>
          <w:tblCellSpacing w:w="0" w:type="dxa"/>
        </w:trPr>
        <w:tc>
          <w:tcPr>
            <w:tcW w:w="0" w:type="auto"/>
            <w:vAlign w:val="center"/>
            <w:hideMark/>
          </w:tcPr>
          <w:p w14:paraId="7192F7AF" w14:textId="77777777" w:rsidR="00000000" w:rsidRDefault="007E65A2">
            <w:pPr>
              <w:rPr>
                <w:rFonts w:eastAsia="Times New Roman"/>
                <w:sz w:val="20"/>
                <w:szCs w:val="20"/>
              </w:rPr>
            </w:pPr>
            <w:r>
              <w:rPr>
                <w:rFonts w:eastAsia="Times New Roman"/>
                <w:sz w:val="20"/>
                <w:szCs w:val="20"/>
              </w:rPr>
              <w:t> </w:t>
            </w:r>
          </w:p>
        </w:tc>
      </w:tr>
      <w:tr w:rsidR="00000000" w14:paraId="6B199F4C" w14:textId="77777777">
        <w:trPr>
          <w:divId w:val="911279972"/>
          <w:tblCellSpacing w:w="0" w:type="dxa"/>
        </w:trPr>
        <w:tc>
          <w:tcPr>
            <w:tcW w:w="0" w:type="auto"/>
            <w:vAlign w:val="center"/>
            <w:hideMark/>
          </w:tcPr>
          <w:p w14:paraId="3F0CDA25"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510108FD" w14:textId="77777777" w:rsidR="00000000" w:rsidRDefault="007E65A2">
      <w:pPr>
        <w:pStyle w:val="a3"/>
        <w:spacing w:before="0" w:beforeAutospacing="0" w:after="0" w:afterAutospacing="0"/>
        <w:jc w:val="both"/>
        <w:divId w:val="911279972"/>
        <w:rPr>
          <w:sz w:val="20"/>
          <w:szCs w:val="20"/>
        </w:rPr>
      </w:pPr>
      <w:r>
        <w:rPr>
          <w:sz w:val="20"/>
          <w:szCs w:val="20"/>
        </w:rPr>
        <w:t> </w:t>
      </w:r>
    </w:p>
    <w:p w14:paraId="2FC2BEC8" w14:textId="77777777" w:rsidR="00000000" w:rsidRDefault="007E65A2">
      <w:pPr>
        <w:pStyle w:val="a3"/>
        <w:spacing w:before="0" w:beforeAutospacing="0" w:after="0" w:afterAutospacing="0"/>
        <w:jc w:val="both"/>
        <w:divId w:val="911279972"/>
        <w:rPr>
          <w:sz w:val="20"/>
          <w:szCs w:val="20"/>
        </w:rPr>
      </w:pPr>
      <w:bookmarkStart w:id="21" w:name="Item9"/>
      <w:r>
        <w:rPr>
          <w:b/>
          <w:bCs/>
          <w:sz w:val="20"/>
          <w:szCs w:val="20"/>
        </w:rPr>
        <w:t>ITEM 9. CHANGES IN AND DISAGREEMENTS WITH ACCOUNTANTS ON ACCOUNTING AND FINANCIAL DISCLOSURE</w:t>
      </w:r>
      <w:bookmarkEnd w:id="21"/>
    </w:p>
    <w:p w14:paraId="5D1DD592" w14:textId="77777777" w:rsidR="00000000" w:rsidRDefault="007E65A2">
      <w:pPr>
        <w:pStyle w:val="a3"/>
        <w:spacing w:before="0" w:beforeAutospacing="0" w:after="0" w:afterAutospacing="0"/>
        <w:jc w:val="both"/>
        <w:divId w:val="911279972"/>
        <w:rPr>
          <w:sz w:val="20"/>
          <w:szCs w:val="20"/>
        </w:rPr>
      </w:pPr>
      <w:r>
        <w:rPr>
          <w:sz w:val="20"/>
          <w:szCs w:val="20"/>
        </w:rPr>
        <w:t> </w:t>
      </w:r>
    </w:p>
    <w:p w14:paraId="5C9736DA" w14:textId="77777777" w:rsidR="00000000" w:rsidRDefault="007E65A2">
      <w:pPr>
        <w:pStyle w:val="a3"/>
        <w:spacing w:before="0" w:beforeAutospacing="0" w:after="0" w:afterAutospacing="0"/>
        <w:jc w:val="both"/>
        <w:divId w:val="911279972"/>
        <w:rPr>
          <w:sz w:val="20"/>
          <w:szCs w:val="20"/>
        </w:rPr>
      </w:pPr>
      <w:r>
        <w:rPr>
          <w:sz w:val="20"/>
          <w:szCs w:val="20"/>
        </w:rPr>
        <w:t>Not Applicable.</w:t>
      </w:r>
    </w:p>
    <w:p w14:paraId="302029DB" w14:textId="77777777" w:rsidR="00000000" w:rsidRDefault="007E65A2">
      <w:pPr>
        <w:pStyle w:val="a3"/>
        <w:spacing w:before="0" w:beforeAutospacing="0" w:after="0" w:afterAutospacing="0"/>
        <w:ind w:left="720"/>
        <w:jc w:val="both"/>
        <w:divId w:val="911279972"/>
        <w:rPr>
          <w:sz w:val="20"/>
          <w:szCs w:val="20"/>
        </w:rPr>
      </w:pPr>
      <w:r>
        <w:rPr>
          <w:sz w:val="20"/>
          <w:szCs w:val="20"/>
        </w:rPr>
        <w:t> </w:t>
      </w:r>
    </w:p>
    <w:p w14:paraId="5CF2762C" w14:textId="77777777" w:rsidR="00000000" w:rsidRDefault="007E65A2">
      <w:pPr>
        <w:pStyle w:val="a3"/>
        <w:spacing w:before="0" w:beforeAutospacing="0" w:after="0" w:afterAutospacing="0"/>
        <w:jc w:val="both"/>
        <w:divId w:val="911279972"/>
        <w:rPr>
          <w:sz w:val="20"/>
          <w:szCs w:val="20"/>
        </w:rPr>
      </w:pPr>
      <w:bookmarkStart w:id="22" w:name="ITEM_9A._CONTROLS_AND_PROCEDURES"/>
      <w:r>
        <w:rPr>
          <w:b/>
          <w:bCs/>
          <w:sz w:val="20"/>
          <w:szCs w:val="20"/>
        </w:rPr>
        <w:t>ITEM 9A. CONTROLS AND PROCEDURES</w:t>
      </w:r>
      <w:bookmarkEnd w:id="22"/>
    </w:p>
    <w:p w14:paraId="5CAC57FD" w14:textId="77777777" w:rsidR="00000000" w:rsidRDefault="007E65A2">
      <w:pPr>
        <w:pStyle w:val="a3"/>
        <w:spacing w:before="0" w:beforeAutospacing="0" w:after="0" w:afterAutospacing="0"/>
        <w:jc w:val="both"/>
        <w:divId w:val="911279972"/>
        <w:rPr>
          <w:sz w:val="20"/>
          <w:szCs w:val="20"/>
        </w:rPr>
      </w:pPr>
      <w:r>
        <w:rPr>
          <w:sz w:val="20"/>
          <w:szCs w:val="20"/>
        </w:rPr>
        <w:t> </w:t>
      </w:r>
    </w:p>
    <w:p w14:paraId="5AB8753A" w14:textId="77777777" w:rsidR="00000000" w:rsidRDefault="007E65A2">
      <w:pPr>
        <w:pStyle w:val="a3"/>
        <w:spacing w:before="0" w:beforeAutospacing="0" w:after="0" w:afterAutospacing="0"/>
        <w:jc w:val="both"/>
        <w:divId w:val="911279972"/>
        <w:rPr>
          <w:sz w:val="20"/>
          <w:szCs w:val="20"/>
        </w:rPr>
      </w:pPr>
      <w:r>
        <w:rPr>
          <w:i/>
          <w:iCs/>
          <w:sz w:val="20"/>
          <w:szCs w:val="20"/>
        </w:rPr>
        <w:t>Evaluation of disclosure controls and procedures</w:t>
      </w:r>
    </w:p>
    <w:p w14:paraId="7176169F" w14:textId="77777777" w:rsidR="00000000" w:rsidRDefault="007E65A2">
      <w:pPr>
        <w:pStyle w:val="a3"/>
        <w:spacing w:before="0" w:beforeAutospacing="0" w:after="0" w:afterAutospacing="0"/>
        <w:jc w:val="both"/>
        <w:divId w:val="911279972"/>
        <w:rPr>
          <w:sz w:val="20"/>
          <w:szCs w:val="20"/>
        </w:rPr>
      </w:pPr>
      <w:r>
        <w:rPr>
          <w:sz w:val="20"/>
          <w:szCs w:val="20"/>
        </w:rPr>
        <w:t> </w:t>
      </w:r>
    </w:p>
    <w:p w14:paraId="5A4EC8D2" w14:textId="77777777" w:rsidR="00000000" w:rsidRDefault="007E65A2">
      <w:pPr>
        <w:pStyle w:val="a3"/>
        <w:spacing w:before="0" w:beforeAutospacing="0" w:after="0" w:afterAutospacing="0"/>
        <w:jc w:val="both"/>
        <w:divId w:val="911279972"/>
        <w:rPr>
          <w:sz w:val="20"/>
          <w:szCs w:val="20"/>
        </w:rPr>
      </w:pPr>
      <w:r>
        <w:rPr>
          <w:sz w:val="20"/>
          <w:szCs w:val="20"/>
        </w:rPr>
        <w:t>We maintain “disclosure controls and procedures,” as such</w:t>
      </w:r>
      <w:r>
        <w:rPr>
          <w:sz w:val="20"/>
          <w:szCs w:val="20"/>
        </w:rPr>
        <w:t xml:space="preserve"> term is defined in Rule 13a-15(e) under the Securities Exchange Act of 1934 (the “Exchange Act”), that are designed to ensure that information required to be disclosed in our Exchange Act reports is recorded, processed, summarized and reported within the </w:t>
      </w:r>
      <w:r>
        <w:rPr>
          <w:sz w:val="20"/>
          <w:szCs w:val="20"/>
        </w:rPr>
        <w:t>time periods specified in the Securities and Exchange Commission rules and forms, and that such information is accumulated and communicated to our management, including our Chief Executive Officer ("CEO")/Chief Financial Officer ("CFO"), as appropriate, to</w:t>
      </w:r>
      <w:r>
        <w:rPr>
          <w:sz w:val="20"/>
          <w:szCs w:val="20"/>
        </w:rPr>
        <w:t xml:space="preserve"> allow timely decisions regarding required disclosure. We conducted an evaluation (the “Evaluation”), under the supervision and with the participation of our CEO/CFO of the effectiveness of the design and operation of our disclosure controls and procedures</w:t>
      </w:r>
      <w:r>
        <w:rPr>
          <w:sz w:val="20"/>
          <w:szCs w:val="20"/>
        </w:rPr>
        <w:t xml:space="preserve"> (“Disclosure Controls”) as of the end of the period covered by this report pursuant to Rule 13a-15 of the Exchange Act. Based on this evaluation and the existence of the material weaknesses discussed below in </w:t>
      </w:r>
      <w:r>
        <w:rPr>
          <w:i/>
          <w:iCs/>
          <w:sz w:val="20"/>
          <w:szCs w:val="20"/>
        </w:rPr>
        <w:t xml:space="preserve">“Management's Report on Internal Control over </w:t>
      </w:r>
      <w:r>
        <w:rPr>
          <w:i/>
          <w:iCs/>
          <w:sz w:val="20"/>
          <w:szCs w:val="20"/>
        </w:rPr>
        <w:t>Financial Reporting,”</w:t>
      </w:r>
      <w:r>
        <w:rPr>
          <w:sz w:val="20"/>
          <w:szCs w:val="20"/>
        </w:rPr>
        <w:t> our management, including our CEO/CFO concluded that our disclosure controls and procedures were not effective at the reasonable assurance level as of the end of the period covered by this Report.</w:t>
      </w:r>
    </w:p>
    <w:p w14:paraId="1B7B1242" w14:textId="77777777" w:rsidR="00000000" w:rsidRDefault="007E65A2">
      <w:pPr>
        <w:pStyle w:val="a3"/>
        <w:spacing w:before="0" w:beforeAutospacing="0" w:after="0" w:afterAutospacing="0"/>
        <w:jc w:val="both"/>
        <w:divId w:val="911279972"/>
        <w:rPr>
          <w:sz w:val="20"/>
          <w:szCs w:val="20"/>
        </w:rPr>
      </w:pPr>
      <w:r>
        <w:rPr>
          <w:sz w:val="20"/>
          <w:szCs w:val="20"/>
        </w:rPr>
        <w:t> </w:t>
      </w:r>
    </w:p>
    <w:p w14:paraId="5B782C04" w14:textId="77777777" w:rsidR="00000000" w:rsidRDefault="007E65A2">
      <w:pPr>
        <w:pStyle w:val="a3"/>
        <w:spacing w:before="0" w:beforeAutospacing="0" w:after="0" w:afterAutospacing="0"/>
        <w:jc w:val="both"/>
        <w:divId w:val="911279972"/>
        <w:rPr>
          <w:sz w:val="20"/>
          <w:szCs w:val="20"/>
        </w:rPr>
      </w:pPr>
      <w:r>
        <w:rPr>
          <w:sz w:val="20"/>
          <w:szCs w:val="20"/>
        </w:rPr>
        <w:t>We do not expect that our disclosure controls and procedures will prevent all errors and all instances of fraud. Disclosure controls and procedures, no matter how well conceived and operated, can provide only reasonable, not absolute, assurance that the ob</w:t>
      </w:r>
      <w:r>
        <w:rPr>
          <w:sz w:val="20"/>
          <w:szCs w:val="20"/>
        </w:rPr>
        <w:t>jectives of the disclosure controls and procedures are met. Further, the design of disclosure controls and procedures must reflect the fact that there are resource constraints, and the benefits must be considered relative to their costs. Because of the inh</w:t>
      </w:r>
      <w:r>
        <w:rPr>
          <w:sz w:val="20"/>
          <w:szCs w:val="20"/>
        </w:rPr>
        <w:t>erent limitations in all disclosure controls and procedures, no evaluation of disclosure controls and procedures can provide absolute assurance that we have detected all our control deficiencies and instances of fraud, if any. The design of disclosure cont</w:t>
      </w:r>
      <w:r>
        <w:rPr>
          <w:sz w:val="20"/>
          <w:szCs w:val="20"/>
        </w:rPr>
        <w:t>rols and procedures also is based partly on certain assumptions about the likelihood of future events, and there can be no assurance that any design will succeed in achieving its stated goals under all potential future conditions.</w:t>
      </w:r>
    </w:p>
    <w:p w14:paraId="2C3D7E94" w14:textId="77777777" w:rsidR="00000000" w:rsidRDefault="007E65A2">
      <w:pPr>
        <w:pStyle w:val="a3"/>
        <w:spacing w:before="0" w:beforeAutospacing="0" w:after="0" w:afterAutospacing="0"/>
        <w:jc w:val="both"/>
        <w:divId w:val="911279972"/>
        <w:rPr>
          <w:sz w:val="20"/>
          <w:szCs w:val="20"/>
        </w:rPr>
      </w:pPr>
      <w:r>
        <w:rPr>
          <w:sz w:val="20"/>
          <w:szCs w:val="20"/>
        </w:rPr>
        <w:t> </w:t>
      </w:r>
    </w:p>
    <w:p w14:paraId="4E2DC789" w14:textId="77777777" w:rsidR="00000000" w:rsidRDefault="007E65A2">
      <w:pPr>
        <w:pStyle w:val="a3"/>
        <w:spacing w:before="0" w:beforeAutospacing="0" w:after="0" w:afterAutospacing="0"/>
        <w:jc w:val="both"/>
        <w:divId w:val="911279972"/>
        <w:rPr>
          <w:sz w:val="20"/>
          <w:szCs w:val="20"/>
        </w:rPr>
      </w:pPr>
      <w:r>
        <w:rPr>
          <w:i/>
          <w:iCs/>
          <w:sz w:val="20"/>
          <w:szCs w:val="20"/>
        </w:rPr>
        <w:t xml:space="preserve">Management's Report on </w:t>
      </w:r>
      <w:r>
        <w:rPr>
          <w:i/>
          <w:iCs/>
          <w:sz w:val="20"/>
          <w:szCs w:val="20"/>
        </w:rPr>
        <w:t>Internal Control Over Financial Reporting</w:t>
      </w:r>
    </w:p>
    <w:p w14:paraId="4D4CAF75" w14:textId="77777777" w:rsidR="00000000" w:rsidRDefault="007E65A2">
      <w:pPr>
        <w:pStyle w:val="a3"/>
        <w:spacing w:before="0" w:beforeAutospacing="0" w:after="0" w:afterAutospacing="0"/>
        <w:jc w:val="both"/>
        <w:divId w:val="911279972"/>
        <w:rPr>
          <w:sz w:val="20"/>
          <w:szCs w:val="20"/>
        </w:rPr>
      </w:pPr>
      <w:r>
        <w:rPr>
          <w:sz w:val="20"/>
          <w:szCs w:val="20"/>
        </w:rPr>
        <w:t> </w:t>
      </w:r>
    </w:p>
    <w:p w14:paraId="11F3E96F" w14:textId="77777777" w:rsidR="00000000" w:rsidRDefault="007E65A2">
      <w:pPr>
        <w:pStyle w:val="a3"/>
        <w:spacing w:before="0" w:beforeAutospacing="0" w:after="0" w:afterAutospacing="0"/>
        <w:jc w:val="both"/>
        <w:divId w:val="911279972"/>
        <w:rPr>
          <w:sz w:val="20"/>
          <w:szCs w:val="20"/>
        </w:rPr>
      </w:pPr>
      <w:r>
        <w:rPr>
          <w:sz w:val="20"/>
          <w:szCs w:val="20"/>
        </w:rPr>
        <w:t>Our management is responsible for establishing and maintaining adequate internal control over financial reporting. Internal control over financial reporting is defined in Rules 13a-15(f) and 15d-15(f) under the S</w:t>
      </w:r>
      <w:r>
        <w:rPr>
          <w:sz w:val="20"/>
          <w:szCs w:val="20"/>
        </w:rPr>
        <w:t xml:space="preserve">ecurities Exchange Act of 1934, as amended, as a process designed by, or under the supervision of, our principal executive and principal financial officers and effected by our Board, management and other personnel to provide reasonable assurance regarding </w:t>
      </w:r>
      <w:r>
        <w:rPr>
          <w:sz w:val="20"/>
          <w:szCs w:val="20"/>
        </w:rPr>
        <w:t>the reliability of financial reporting and the preparation of financial statements for external purposes in accordance with generally accepted accounting principles and includes those policies and procedures that:</w:t>
      </w:r>
    </w:p>
    <w:p w14:paraId="554EF734"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46AF2959" w14:textId="77777777">
        <w:trPr>
          <w:divId w:val="911279972"/>
          <w:trHeight w:val="180"/>
          <w:tblCellSpacing w:w="0" w:type="dxa"/>
        </w:trPr>
        <w:tc>
          <w:tcPr>
            <w:tcW w:w="200" w:type="pct"/>
            <w:vAlign w:val="center"/>
            <w:hideMark/>
          </w:tcPr>
          <w:p w14:paraId="516E625A"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12BFF615"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9503FDE" w14:textId="77777777" w:rsidR="00000000" w:rsidRDefault="007E65A2">
            <w:pPr>
              <w:pStyle w:val="a3"/>
              <w:spacing w:before="0" w:beforeAutospacing="0" w:after="0" w:afterAutospacing="0"/>
              <w:jc w:val="both"/>
              <w:rPr>
                <w:sz w:val="20"/>
                <w:szCs w:val="20"/>
              </w:rPr>
            </w:pPr>
            <w:r>
              <w:rPr>
                <w:sz w:val="20"/>
                <w:szCs w:val="20"/>
              </w:rPr>
              <w:t>pertain to the maintenance of record</w:t>
            </w:r>
            <w:r>
              <w:rPr>
                <w:sz w:val="20"/>
                <w:szCs w:val="20"/>
              </w:rPr>
              <w:t>s that in reasonable detail accurately and fairly reflect the transactions and dispositions of our assets;</w:t>
            </w:r>
          </w:p>
        </w:tc>
      </w:tr>
      <w:tr w:rsidR="00000000" w14:paraId="2B2D610E" w14:textId="77777777">
        <w:trPr>
          <w:divId w:val="911279972"/>
          <w:trHeight w:val="180"/>
          <w:tblCellSpacing w:w="0" w:type="dxa"/>
        </w:trPr>
        <w:tc>
          <w:tcPr>
            <w:tcW w:w="0" w:type="auto"/>
            <w:vAlign w:val="center"/>
            <w:hideMark/>
          </w:tcPr>
          <w:p w14:paraId="48D22548" w14:textId="77777777" w:rsidR="00000000" w:rsidRDefault="007E65A2">
            <w:pPr>
              <w:rPr>
                <w:sz w:val="20"/>
                <w:szCs w:val="20"/>
              </w:rPr>
            </w:pPr>
          </w:p>
        </w:tc>
        <w:tc>
          <w:tcPr>
            <w:tcW w:w="0" w:type="auto"/>
            <w:vAlign w:val="center"/>
            <w:hideMark/>
          </w:tcPr>
          <w:p w14:paraId="40ED0EDA" w14:textId="77777777" w:rsidR="00000000" w:rsidRDefault="007E65A2">
            <w:pPr>
              <w:jc w:val="both"/>
              <w:rPr>
                <w:rFonts w:eastAsia="Times New Roman"/>
                <w:sz w:val="20"/>
                <w:szCs w:val="20"/>
              </w:rPr>
            </w:pPr>
          </w:p>
        </w:tc>
        <w:tc>
          <w:tcPr>
            <w:tcW w:w="0" w:type="auto"/>
            <w:vAlign w:val="center"/>
            <w:hideMark/>
          </w:tcPr>
          <w:p w14:paraId="615F96E9" w14:textId="77777777" w:rsidR="00000000" w:rsidRDefault="007E65A2">
            <w:pPr>
              <w:jc w:val="both"/>
              <w:rPr>
                <w:rFonts w:eastAsia="Times New Roman"/>
                <w:sz w:val="20"/>
                <w:szCs w:val="20"/>
              </w:rPr>
            </w:pPr>
          </w:p>
        </w:tc>
      </w:tr>
      <w:tr w:rsidR="00000000" w14:paraId="53DEB87B" w14:textId="77777777">
        <w:trPr>
          <w:divId w:val="911279972"/>
          <w:trHeight w:val="180"/>
          <w:tblCellSpacing w:w="0" w:type="dxa"/>
        </w:trPr>
        <w:tc>
          <w:tcPr>
            <w:tcW w:w="0" w:type="auto"/>
            <w:vAlign w:val="center"/>
            <w:hideMark/>
          </w:tcPr>
          <w:p w14:paraId="06F12BF5"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6D300F9F"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7D43AC0" w14:textId="77777777" w:rsidR="00000000" w:rsidRDefault="007E65A2">
            <w:pPr>
              <w:pStyle w:val="a3"/>
              <w:spacing w:before="0" w:beforeAutospacing="0" w:after="0" w:afterAutospacing="0"/>
              <w:jc w:val="both"/>
              <w:rPr>
                <w:sz w:val="20"/>
                <w:szCs w:val="20"/>
              </w:rPr>
            </w:pPr>
            <w:r>
              <w:rPr>
                <w:sz w:val="20"/>
                <w:szCs w:val="20"/>
              </w:rPr>
              <w:t>provide reasonable assurance that transactions are recorded as necessary to permit preparation of financial statements in accordance with U.</w:t>
            </w:r>
            <w:r>
              <w:rPr>
                <w:sz w:val="20"/>
                <w:szCs w:val="20"/>
              </w:rPr>
              <w:t>S. generally accepted accounting principles, and that receipts and expenditures of the company are being made only in accordance with authorizations of our management and directors; and</w:t>
            </w:r>
          </w:p>
        </w:tc>
      </w:tr>
      <w:tr w:rsidR="00000000" w14:paraId="3AC471EC" w14:textId="77777777">
        <w:trPr>
          <w:divId w:val="911279972"/>
          <w:trHeight w:val="180"/>
          <w:tblCellSpacing w:w="0" w:type="dxa"/>
        </w:trPr>
        <w:tc>
          <w:tcPr>
            <w:tcW w:w="0" w:type="auto"/>
            <w:vAlign w:val="center"/>
            <w:hideMark/>
          </w:tcPr>
          <w:p w14:paraId="225833A2" w14:textId="77777777" w:rsidR="00000000" w:rsidRDefault="007E65A2">
            <w:pPr>
              <w:rPr>
                <w:sz w:val="20"/>
                <w:szCs w:val="20"/>
              </w:rPr>
            </w:pPr>
          </w:p>
        </w:tc>
        <w:tc>
          <w:tcPr>
            <w:tcW w:w="0" w:type="auto"/>
            <w:vAlign w:val="center"/>
            <w:hideMark/>
          </w:tcPr>
          <w:p w14:paraId="2CC18560" w14:textId="77777777" w:rsidR="00000000" w:rsidRDefault="007E65A2">
            <w:pPr>
              <w:jc w:val="both"/>
              <w:rPr>
                <w:rFonts w:eastAsia="Times New Roman"/>
                <w:sz w:val="20"/>
                <w:szCs w:val="20"/>
              </w:rPr>
            </w:pPr>
          </w:p>
        </w:tc>
        <w:tc>
          <w:tcPr>
            <w:tcW w:w="0" w:type="auto"/>
            <w:vAlign w:val="center"/>
            <w:hideMark/>
          </w:tcPr>
          <w:p w14:paraId="17267E35" w14:textId="77777777" w:rsidR="00000000" w:rsidRDefault="007E65A2">
            <w:pPr>
              <w:jc w:val="both"/>
              <w:rPr>
                <w:rFonts w:eastAsia="Times New Roman"/>
                <w:sz w:val="20"/>
                <w:szCs w:val="20"/>
              </w:rPr>
            </w:pPr>
          </w:p>
        </w:tc>
      </w:tr>
      <w:tr w:rsidR="00000000" w14:paraId="5AD171CA" w14:textId="77777777">
        <w:trPr>
          <w:divId w:val="911279972"/>
          <w:trHeight w:val="180"/>
          <w:tblCellSpacing w:w="0" w:type="dxa"/>
        </w:trPr>
        <w:tc>
          <w:tcPr>
            <w:tcW w:w="0" w:type="auto"/>
            <w:vAlign w:val="center"/>
            <w:hideMark/>
          </w:tcPr>
          <w:p w14:paraId="1D534D31"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1FC51E34"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8247CB7" w14:textId="77777777" w:rsidR="00000000" w:rsidRDefault="007E65A2">
            <w:pPr>
              <w:pStyle w:val="a3"/>
              <w:spacing w:before="0" w:beforeAutospacing="0" w:after="0" w:afterAutospacing="0"/>
              <w:jc w:val="both"/>
              <w:rPr>
                <w:sz w:val="20"/>
                <w:szCs w:val="20"/>
              </w:rPr>
            </w:pPr>
            <w:r>
              <w:rPr>
                <w:sz w:val="20"/>
                <w:szCs w:val="20"/>
              </w:rPr>
              <w:t>provide reasonable assurance regarding prevention or timely detection of unauthorized acquisition, use or disposition of the company's assets that could have a material effect on the financial statements.</w:t>
            </w:r>
          </w:p>
        </w:tc>
      </w:tr>
    </w:tbl>
    <w:p w14:paraId="30072F25" w14:textId="77777777" w:rsidR="00000000" w:rsidRDefault="007E65A2">
      <w:pPr>
        <w:pStyle w:val="a3"/>
        <w:spacing w:before="0" w:beforeAutospacing="0" w:after="0" w:afterAutospacing="0"/>
        <w:jc w:val="both"/>
        <w:divId w:val="911279972"/>
        <w:rPr>
          <w:sz w:val="20"/>
          <w:szCs w:val="20"/>
        </w:rPr>
      </w:pPr>
      <w:r>
        <w:rPr>
          <w:sz w:val="20"/>
          <w:szCs w:val="20"/>
        </w:rPr>
        <w:t> </w:t>
      </w:r>
    </w:p>
    <w:p w14:paraId="1EA87356" w14:textId="77777777" w:rsidR="00000000" w:rsidRDefault="007E65A2">
      <w:pPr>
        <w:pStyle w:val="a3"/>
        <w:spacing w:before="0" w:beforeAutospacing="0" w:after="0" w:afterAutospacing="0"/>
        <w:jc w:val="both"/>
        <w:divId w:val="911279972"/>
        <w:rPr>
          <w:sz w:val="20"/>
          <w:szCs w:val="20"/>
        </w:rPr>
      </w:pPr>
      <w:r>
        <w:rPr>
          <w:sz w:val="20"/>
          <w:szCs w:val="20"/>
        </w:rPr>
        <w:t>Because of its inherent limitations, internal co</w:t>
      </w:r>
      <w:r>
        <w:rPr>
          <w:sz w:val="20"/>
          <w:szCs w:val="20"/>
        </w:rPr>
        <w:t>ntrol over financial reporting may not prevent or detect misstatements. Additionally, projections of any evaluation of effectiveness to future periods are subject to the risks that controls may become inadequate because of changes in conditions, or that th</w:t>
      </w:r>
      <w:r>
        <w:rPr>
          <w:sz w:val="20"/>
          <w:szCs w:val="20"/>
        </w:rPr>
        <w:t>e degree of compliance with the policies or procedures may deteriorate.</w:t>
      </w:r>
    </w:p>
    <w:p w14:paraId="3F5D7C5D" w14:textId="77777777" w:rsidR="00000000" w:rsidRDefault="007E65A2">
      <w:pPr>
        <w:pStyle w:val="a3"/>
        <w:spacing w:before="0" w:beforeAutospacing="0" w:after="0" w:afterAutospacing="0"/>
        <w:jc w:val="both"/>
        <w:divId w:val="911279972"/>
        <w:rPr>
          <w:sz w:val="20"/>
          <w:szCs w:val="20"/>
        </w:rPr>
      </w:pPr>
      <w:r>
        <w:rPr>
          <w:sz w:val="20"/>
          <w:szCs w:val="20"/>
        </w:rPr>
        <w:t> </w:t>
      </w:r>
    </w:p>
    <w:p w14:paraId="0078D8A0" w14:textId="77777777" w:rsidR="00000000" w:rsidRDefault="007E65A2">
      <w:pPr>
        <w:pStyle w:val="a3"/>
        <w:spacing w:before="0" w:beforeAutospacing="0" w:after="0" w:afterAutospacing="0"/>
        <w:jc w:val="both"/>
        <w:divId w:val="911279972"/>
        <w:rPr>
          <w:sz w:val="20"/>
          <w:szCs w:val="20"/>
        </w:rPr>
      </w:pPr>
      <w:r>
        <w:rPr>
          <w:sz w:val="20"/>
          <w:szCs w:val="20"/>
        </w:rPr>
        <w:t>Management assessed the effectiveness of our internal control over financial reporting as of June 30, 2019. In making this assessment, management used the criteria set forth by the C</w:t>
      </w:r>
      <w:r>
        <w:rPr>
          <w:sz w:val="20"/>
          <w:szCs w:val="20"/>
        </w:rPr>
        <w:t>ommittee of Sponsoring Organizations of the Treadway Commission (COSO) in </w:t>
      </w:r>
      <w:r>
        <w:rPr>
          <w:i/>
          <w:iCs/>
          <w:sz w:val="20"/>
          <w:szCs w:val="20"/>
        </w:rPr>
        <w:t>Internal Control-Integrated Framework 2013</w:t>
      </w:r>
      <w:r>
        <w:rPr>
          <w:sz w:val="20"/>
          <w:szCs w:val="20"/>
        </w:rPr>
        <w:t>. Based on this assessment, management concluded that our internal control over financial reporting was not effective as of June 30, 2019 du</w:t>
      </w:r>
      <w:r>
        <w:rPr>
          <w:sz w:val="20"/>
          <w:szCs w:val="20"/>
        </w:rPr>
        <w:t>e to the existence of the material weaknesses as of June 30, 2019, discussed below. A material weakness is a control deficiency, or a combination of control deficiencies, that results in more than a remote likelihood that a material misstatement of the ann</w:t>
      </w:r>
      <w:r>
        <w:rPr>
          <w:sz w:val="20"/>
          <w:szCs w:val="20"/>
        </w:rPr>
        <w:t>ual or interim financial statements will not be prevented or detected in the following areas:</w:t>
      </w:r>
    </w:p>
    <w:p w14:paraId="371B27A0"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14EAF7A9" w14:textId="77777777">
        <w:trPr>
          <w:divId w:val="911279972"/>
          <w:trHeight w:val="180"/>
          <w:tblCellSpacing w:w="0" w:type="dxa"/>
        </w:trPr>
        <w:tc>
          <w:tcPr>
            <w:tcW w:w="200" w:type="pct"/>
            <w:vAlign w:val="center"/>
            <w:hideMark/>
          </w:tcPr>
          <w:p w14:paraId="27CBF321"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563AFB4C"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FC7894C" w14:textId="77777777" w:rsidR="00000000" w:rsidRDefault="007E65A2">
            <w:pPr>
              <w:pStyle w:val="a3"/>
              <w:spacing w:before="0" w:beforeAutospacing="0" w:after="0" w:afterAutospacing="0"/>
              <w:jc w:val="both"/>
              <w:rPr>
                <w:sz w:val="20"/>
                <w:szCs w:val="20"/>
              </w:rPr>
            </w:pPr>
            <w:r>
              <w:rPr>
                <w:sz w:val="20"/>
                <w:szCs w:val="20"/>
              </w:rPr>
              <w:t>Because of our company’s limited resources, there are limited controls over information processing.</w:t>
            </w:r>
          </w:p>
        </w:tc>
      </w:tr>
      <w:tr w:rsidR="00000000" w14:paraId="57946E73" w14:textId="77777777">
        <w:trPr>
          <w:divId w:val="911279972"/>
          <w:trHeight w:val="180"/>
          <w:tblCellSpacing w:w="0" w:type="dxa"/>
        </w:trPr>
        <w:tc>
          <w:tcPr>
            <w:tcW w:w="0" w:type="auto"/>
            <w:vAlign w:val="center"/>
            <w:hideMark/>
          </w:tcPr>
          <w:p w14:paraId="152BDA13" w14:textId="77777777" w:rsidR="00000000" w:rsidRDefault="007E65A2">
            <w:pPr>
              <w:rPr>
                <w:sz w:val="20"/>
                <w:szCs w:val="20"/>
              </w:rPr>
            </w:pPr>
          </w:p>
        </w:tc>
        <w:tc>
          <w:tcPr>
            <w:tcW w:w="0" w:type="auto"/>
            <w:vAlign w:val="center"/>
            <w:hideMark/>
          </w:tcPr>
          <w:p w14:paraId="4E59CFE9" w14:textId="77777777" w:rsidR="00000000" w:rsidRDefault="007E65A2">
            <w:pPr>
              <w:jc w:val="both"/>
              <w:rPr>
                <w:rFonts w:eastAsia="Times New Roman"/>
                <w:sz w:val="20"/>
                <w:szCs w:val="20"/>
              </w:rPr>
            </w:pPr>
          </w:p>
        </w:tc>
        <w:tc>
          <w:tcPr>
            <w:tcW w:w="0" w:type="auto"/>
            <w:vAlign w:val="center"/>
            <w:hideMark/>
          </w:tcPr>
          <w:p w14:paraId="668A02A5" w14:textId="77777777" w:rsidR="00000000" w:rsidRDefault="007E65A2">
            <w:pPr>
              <w:jc w:val="both"/>
              <w:rPr>
                <w:rFonts w:eastAsia="Times New Roman"/>
                <w:sz w:val="20"/>
                <w:szCs w:val="20"/>
              </w:rPr>
            </w:pPr>
          </w:p>
        </w:tc>
      </w:tr>
      <w:tr w:rsidR="00000000" w14:paraId="72A4F3BB" w14:textId="77777777">
        <w:trPr>
          <w:divId w:val="911279972"/>
          <w:trHeight w:val="180"/>
          <w:tblCellSpacing w:w="0" w:type="dxa"/>
        </w:trPr>
        <w:tc>
          <w:tcPr>
            <w:tcW w:w="0" w:type="auto"/>
            <w:vAlign w:val="center"/>
            <w:hideMark/>
          </w:tcPr>
          <w:p w14:paraId="745E0AF0"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56D69F3C"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2A798FE" w14:textId="77777777" w:rsidR="00000000" w:rsidRDefault="007E65A2">
            <w:pPr>
              <w:pStyle w:val="a3"/>
              <w:spacing w:before="0" w:beforeAutospacing="0" w:after="0" w:afterAutospacing="0"/>
              <w:jc w:val="both"/>
              <w:rPr>
                <w:sz w:val="20"/>
                <w:szCs w:val="20"/>
              </w:rPr>
            </w:pPr>
            <w:r>
              <w:rPr>
                <w:sz w:val="20"/>
                <w:szCs w:val="20"/>
              </w:rPr>
              <w:t xml:space="preserve">There is an inadequate segregation of duties consistent with control objectives. Our company’s management is composed of only one person, resulting in a situation where limitations on segregation of duties exist. In order to remedy this situation we would </w:t>
            </w:r>
            <w:r>
              <w:rPr>
                <w:sz w:val="20"/>
                <w:szCs w:val="20"/>
              </w:rPr>
              <w:t>need to hire additional staff to provide greater segregation of duties. Currently, it is not feasible to hire additional staff to obtain optimal segregation of duties. Management will reassess this matter in the following year to determine whether improvem</w:t>
            </w:r>
            <w:r>
              <w:rPr>
                <w:sz w:val="20"/>
                <w:szCs w:val="20"/>
              </w:rPr>
              <w:t>ent in segregation of duty is feasible.</w:t>
            </w:r>
          </w:p>
        </w:tc>
      </w:tr>
      <w:tr w:rsidR="00000000" w14:paraId="6B870E66" w14:textId="77777777">
        <w:trPr>
          <w:divId w:val="911279972"/>
          <w:trHeight w:val="180"/>
          <w:tblCellSpacing w:w="0" w:type="dxa"/>
        </w:trPr>
        <w:tc>
          <w:tcPr>
            <w:tcW w:w="0" w:type="auto"/>
            <w:vAlign w:val="center"/>
            <w:hideMark/>
          </w:tcPr>
          <w:p w14:paraId="3D273443" w14:textId="77777777" w:rsidR="00000000" w:rsidRDefault="007E65A2">
            <w:pPr>
              <w:rPr>
                <w:sz w:val="20"/>
                <w:szCs w:val="20"/>
              </w:rPr>
            </w:pPr>
          </w:p>
        </w:tc>
        <w:tc>
          <w:tcPr>
            <w:tcW w:w="0" w:type="auto"/>
            <w:vAlign w:val="center"/>
            <w:hideMark/>
          </w:tcPr>
          <w:p w14:paraId="240CCB54" w14:textId="77777777" w:rsidR="00000000" w:rsidRDefault="007E65A2">
            <w:pPr>
              <w:jc w:val="both"/>
              <w:rPr>
                <w:rFonts w:eastAsia="Times New Roman"/>
                <w:sz w:val="20"/>
                <w:szCs w:val="20"/>
              </w:rPr>
            </w:pPr>
          </w:p>
        </w:tc>
        <w:tc>
          <w:tcPr>
            <w:tcW w:w="0" w:type="auto"/>
            <w:vAlign w:val="center"/>
            <w:hideMark/>
          </w:tcPr>
          <w:p w14:paraId="19E118F4" w14:textId="77777777" w:rsidR="00000000" w:rsidRDefault="007E65A2">
            <w:pPr>
              <w:jc w:val="both"/>
              <w:rPr>
                <w:rFonts w:eastAsia="Times New Roman"/>
                <w:sz w:val="20"/>
                <w:szCs w:val="20"/>
              </w:rPr>
            </w:pPr>
          </w:p>
        </w:tc>
      </w:tr>
      <w:tr w:rsidR="00000000" w14:paraId="49924F02" w14:textId="77777777">
        <w:trPr>
          <w:divId w:val="911279972"/>
          <w:trHeight w:val="180"/>
          <w:tblCellSpacing w:w="0" w:type="dxa"/>
        </w:trPr>
        <w:tc>
          <w:tcPr>
            <w:tcW w:w="0" w:type="auto"/>
            <w:vAlign w:val="center"/>
            <w:hideMark/>
          </w:tcPr>
          <w:p w14:paraId="37403D04"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367193E7"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3E43C967" w14:textId="77777777" w:rsidR="00000000" w:rsidRDefault="007E65A2">
            <w:pPr>
              <w:pStyle w:val="a3"/>
              <w:spacing w:before="0" w:beforeAutospacing="0" w:after="0" w:afterAutospacing="0"/>
              <w:jc w:val="both"/>
              <w:rPr>
                <w:sz w:val="20"/>
                <w:szCs w:val="20"/>
              </w:rPr>
            </w:pPr>
            <w:r>
              <w:rPr>
                <w:sz w:val="20"/>
                <w:szCs w:val="20"/>
              </w:rPr>
              <w:t>Our company does not have a formal audit committee with a financial expert, and thus our company lacks the board oversight role within the financial reporting process.</w:t>
            </w:r>
          </w:p>
        </w:tc>
      </w:tr>
      <w:tr w:rsidR="00000000" w14:paraId="69CB2A45" w14:textId="77777777">
        <w:trPr>
          <w:divId w:val="911279972"/>
          <w:trHeight w:val="180"/>
          <w:tblCellSpacing w:w="0" w:type="dxa"/>
        </w:trPr>
        <w:tc>
          <w:tcPr>
            <w:tcW w:w="0" w:type="auto"/>
            <w:vAlign w:val="center"/>
            <w:hideMark/>
          </w:tcPr>
          <w:p w14:paraId="0CEDCA5C" w14:textId="77777777" w:rsidR="00000000" w:rsidRDefault="007E65A2">
            <w:pPr>
              <w:rPr>
                <w:sz w:val="20"/>
                <w:szCs w:val="20"/>
              </w:rPr>
            </w:pPr>
          </w:p>
        </w:tc>
        <w:tc>
          <w:tcPr>
            <w:tcW w:w="0" w:type="auto"/>
            <w:vAlign w:val="center"/>
            <w:hideMark/>
          </w:tcPr>
          <w:p w14:paraId="1978DB9A" w14:textId="77777777" w:rsidR="00000000" w:rsidRDefault="007E65A2">
            <w:pPr>
              <w:jc w:val="both"/>
              <w:rPr>
                <w:rFonts w:eastAsia="Times New Roman"/>
                <w:sz w:val="20"/>
                <w:szCs w:val="20"/>
              </w:rPr>
            </w:pPr>
          </w:p>
        </w:tc>
        <w:tc>
          <w:tcPr>
            <w:tcW w:w="0" w:type="auto"/>
            <w:vAlign w:val="center"/>
            <w:hideMark/>
          </w:tcPr>
          <w:p w14:paraId="4C8D74EB" w14:textId="77777777" w:rsidR="00000000" w:rsidRDefault="007E65A2">
            <w:pPr>
              <w:jc w:val="both"/>
              <w:rPr>
                <w:rFonts w:eastAsia="Times New Roman"/>
                <w:sz w:val="20"/>
                <w:szCs w:val="20"/>
              </w:rPr>
            </w:pPr>
          </w:p>
        </w:tc>
      </w:tr>
      <w:tr w:rsidR="00000000" w14:paraId="4BA8A5E9" w14:textId="77777777">
        <w:trPr>
          <w:divId w:val="911279972"/>
          <w:trHeight w:val="180"/>
          <w:tblCellSpacing w:w="0" w:type="dxa"/>
        </w:trPr>
        <w:tc>
          <w:tcPr>
            <w:tcW w:w="0" w:type="auto"/>
            <w:vAlign w:val="center"/>
            <w:hideMark/>
          </w:tcPr>
          <w:p w14:paraId="32217D2C"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49CBCE3C" w14:textId="77777777" w:rsidR="00000000" w:rsidRDefault="007E65A2">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AB3B80D" w14:textId="77777777" w:rsidR="00000000" w:rsidRDefault="007E65A2">
            <w:pPr>
              <w:pStyle w:val="a3"/>
              <w:spacing w:before="0" w:beforeAutospacing="0" w:after="0" w:afterAutospacing="0"/>
              <w:jc w:val="both"/>
              <w:rPr>
                <w:sz w:val="20"/>
                <w:szCs w:val="20"/>
              </w:rPr>
            </w:pPr>
            <w:r>
              <w:rPr>
                <w:sz w:val="20"/>
                <w:szCs w:val="20"/>
              </w:rPr>
              <w:t>There is a lack of formal poli</w:t>
            </w:r>
            <w:r>
              <w:rPr>
                <w:sz w:val="20"/>
                <w:szCs w:val="20"/>
              </w:rPr>
              <w:t xml:space="preserve">cies and procedures necessary to adequately review significant accounting transactions. Our company utilizes a third party independent contractor for the preparation of its financial statements. Although the financial statements and footnotes are reviewed </w:t>
            </w:r>
            <w:r>
              <w:rPr>
                <w:sz w:val="20"/>
                <w:szCs w:val="20"/>
              </w:rPr>
              <w:t>by our management, we do not have a formal policy to review significant accounting transactions and the accounting treatment of such transactions. The third party independent contractor is not involved in the day to day operations of our company and may no</w:t>
            </w:r>
            <w:r>
              <w:rPr>
                <w:sz w:val="20"/>
                <w:szCs w:val="20"/>
              </w:rPr>
              <w:t>t be provided information from management on a timely basis to allow for adequate reporting/consideration of certain transactions.</w:t>
            </w:r>
          </w:p>
        </w:tc>
      </w:tr>
    </w:tbl>
    <w:p w14:paraId="1FF1B7A9" w14:textId="77777777" w:rsidR="00000000" w:rsidRDefault="007E65A2">
      <w:pPr>
        <w:pStyle w:val="a3"/>
        <w:spacing w:before="0" w:beforeAutospacing="0" w:after="0" w:afterAutospacing="0"/>
        <w:jc w:val="both"/>
        <w:divId w:val="911279972"/>
        <w:rPr>
          <w:sz w:val="20"/>
          <w:szCs w:val="20"/>
        </w:rPr>
      </w:pPr>
      <w:r>
        <w:rPr>
          <w:sz w:val="20"/>
          <w:szCs w:val="20"/>
        </w:rPr>
        <w:t> </w:t>
      </w:r>
    </w:p>
    <w:p w14:paraId="171F83F9" w14:textId="77777777" w:rsidR="00000000" w:rsidRDefault="007E65A2">
      <w:pPr>
        <w:pStyle w:val="a3"/>
        <w:spacing w:before="0" w:beforeAutospacing="0" w:after="0" w:afterAutospacing="0"/>
        <w:jc w:val="both"/>
        <w:divId w:val="911279972"/>
        <w:rPr>
          <w:sz w:val="20"/>
          <w:szCs w:val="20"/>
        </w:rPr>
      </w:pPr>
      <w:r>
        <w:rPr>
          <w:sz w:val="20"/>
          <w:szCs w:val="20"/>
        </w:rPr>
        <w:t>Management believes that the material weaknesses set forth above were the result of the scale of our operations and are in</w:t>
      </w:r>
      <w:r>
        <w:rPr>
          <w:sz w:val="20"/>
          <w:szCs w:val="20"/>
        </w:rPr>
        <w:t>trinsic to our small size. Management believes these weaknesses did not have a material effect on our financial results and intends to take remedial actions upon receiving funding for our company’s business operations.</w:t>
      </w:r>
    </w:p>
    <w:p w14:paraId="2F169610" w14:textId="77777777" w:rsidR="00000000" w:rsidRDefault="007E65A2">
      <w:pPr>
        <w:pStyle w:val="a3"/>
        <w:spacing w:before="0" w:beforeAutospacing="0" w:after="0" w:afterAutospacing="0"/>
        <w:jc w:val="both"/>
        <w:divId w:val="911279972"/>
        <w:rPr>
          <w:sz w:val="20"/>
          <w:szCs w:val="20"/>
        </w:rPr>
      </w:pPr>
      <w:r>
        <w:rPr>
          <w:sz w:val="20"/>
          <w:szCs w:val="20"/>
        </w:rPr>
        <w:t> </w:t>
      </w:r>
    </w:p>
    <w:p w14:paraId="1087BCE8" w14:textId="77777777" w:rsidR="00000000" w:rsidRDefault="007E65A2">
      <w:pPr>
        <w:pStyle w:val="a3"/>
        <w:spacing w:before="0" w:beforeAutospacing="0" w:after="0" w:afterAutospacing="0"/>
        <w:jc w:val="both"/>
        <w:divId w:val="911279972"/>
        <w:rPr>
          <w:sz w:val="20"/>
          <w:szCs w:val="20"/>
        </w:rPr>
      </w:pPr>
      <w:r>
        <w:rPr>
          <w:sz w:val="20"/>
          <w:szCs w:val="20"/>
        </w:rPr>
        <w:t>Our management will continue to monitor and evaluate the effectiveness of our internal controls and procedures and our internal controls over financial reporting on an ongoing basis and is committed to taking further action and implementing additional enha</w:t>
      </w:r>
      <w:r>
        <w:rPr>
          <w:sz w:val="20"/>
          <w:szCs w:val="20"/>
        </w:rPr>
        <w:t>ncements or improvements, as necessary and as funds allow.</w:t>
      </w:r>
    </w:p>
    <w:p w14:paraId="4266C2A2" w14:textId="77777777" w:rsidR="00000000" w:rsidRDefault="007E65A2">
      <w:pPr>
        <w:pStyle w:val="a3"/>
        <w:spacing w:before="0" w:beforeAutospacing="0" w:after="0" w:afterAutospacing="0"/>
        <w:jc w:val="both"/>
        <w:divId w:val="911279972"/>
        <w:rPr>
          <w:sz w:val="20"/>
          <w:szCs w:val="20"/>
        </w:rPr>
      </w:pPr>
      <w:r>
        <w:rPr>
          <w:sz w:val="20"/>
          <w:szCs w:val="20"/>
        </w:rPr>
        <w:t> </w:t>
      </w:r>
    </w:p>
    <w:p w14:paraId="7B459D16" w14:textId="77777777" w:rsidR="00000000" w:rsidRDefault="007E65A2">
      <w:pPr>
        <w:pStyle w:val="a3"/>
        <w:spacing w:before="0" w:beforeAutospacing="0" w:after="0" w:afterAutospacing="0"/>
        <w:jc w:val="both"/>
        <w:divId w:val="911279972"/>
        <w:rPr>
          <w:sz w:val="20"/>
          <w:szCs w:val="20"/>
        </w:rPr>
      </w:pPr>
      <w:r>
        <w:rPr>
          <w:sz w:val="20"/>
          <w:szCs w:val="20"/>
        </w:rPr>
        <w:t>This Annual Report on Form 10-K does not include an attestation report of our company’s registered public accounting firm regarding internal control over financial reporting due to permanent exem</w:t>
      </w:r>
      <w:r>
        <w:rPr>
          <w:sz w:val="20"/>
          <w:szCs w:val="20"/>
        </w:rPr>
        <w:t>ptions for smaller reporting companies.</w:t>
      </w:r>
    </w:p>
    <w:p w14:paraId="38A845D6" w14:textId="77777777" w:rsidR="00000000" w:rsidRDefault="007E65A2">
      <w:pPr>
        <w:pStyle w:val="a3"/>
        <w:spacing w:before="0" w:beforeAutospacing="0" w:after="0" w:afterAutospacing="0"/>
        <w:jc w:val="both"/>
        <w:divId w:val="911279972"/>
        <w:rPr>
          <w:sz w:val="20"/>
          <w:szCs w:val="20"/>
        </w:rPr>
      </w:pPr>
      <w:r>
        <w:rPr>
          <w:sz w:val="20"/>
          <w:szCs w:val="20"/>
        </w:rPr>
        <w:t> </w:t>
      </w:r>
    </w:p>
    <w:p w14:paraId="2A8BEB80" w14:textId="77777777" w:rsidR="00000000" w:rsidRDefault="007E65A2">
      <w:pPr>
        <w:pStyle w:val="a3"/>
        <w:spacing w:before="0" w:beforeAutospacing="0" w:after="0" w:afterAutospacing="0"/>
        <w:jc w:val="both"/>
        <w:divId w:val="911279972"/>
        <w:rPr>
          <w:sz w:val="20"/>
          <w:szCs w:val="20"/>
        </w:rPr>
      </w:pPr>
      <w:r>
        <w:rPr>
          <w:i/>
          <w:iCs/>
          <w:sz w:val="20"/>
          <w:szCs w:val="20"/>
        </w:rPr>
        <w:t>Changes in Internal Control Over Financial Reporting</w:t>
      </w:r>
    </w:p>
    <w:p w14:paraId="54D64F49" w14:textId="77777777" w:rsidR="00000000" w:rsidRDefault="007E65A2">
      <w:pPr>
        <w:pStyle w:val="a3"/>
        <w:spacing w:before="0" w:beforeAutospacing="0" w:after="0" w:afterAutospacing="0"/>
        <w:jc w:val="both"/>
        <w:divId w:val="911279972"/>
        <w:rPr>
          <w:sz w:val="20"/>
          <w:szCs w:val="20"/>
        </w:rPr>
      </w:pPr>
      <w:r>
        <w:rPr>
          <w:sz w:val="20"/>
          <w:szCs w:val="20"/>
        </w:rPr>
        <w:t> </w:t>
      </w:r>
    </w:p>
    <w:p w14:paraId="3CAC8FCB" w14:textId="77777777" w:rsidR="00000000" w:rsidRDefault="007E65A2">
      <w:pPr>
        <w:pStyle w:val="a3"/>
        <w:spacing w:before="0" w:beforeAutospacing="0" w:after="0" w:afterAutospacing="0"/>
        <w:jc w:val="both"/>
        <w:divId w:val="911279972"/>
        <w:rPr>
          <w:sz w:val="20"/>
          <w:szCs w:val="20"/>
        </w:rPr>
      </w:pPr>
      <w:r>
        <w:rPr>
          <w:sz w:val="20"/>
          <w:szCs w:val="20"/>
        </w:rPr>
        <w:t>There have been no changes in our internal controls over financial reporting that occurred during the year ended June 30, 2019 that have materially or are reas</w:t>
      </w:r>
      <w:r>
        <w:rPr>
          <w:sz w:val="20"/>
          <w:szCs w:val="20"/>
        </w:rPr>
        <w:t>onably likely to materially affect, our internal controls over financial reporting.</w:t>
      </w:r>
    </w:p>
    <w:p w14:paraId="43152448" w14:textId="77777777" w:rsidR="00000000" w:rsidRDefault="007E65A2">
      <w:pPr>
        <w:pStyle w:val="a3"/>
        <w:spacing w:before="0" w:beforeAutospacing="0" w:after="0" w:afterAutospacing="0"/>
        <w:jc w:val="both"/>
        <w:divId w:val="911279972"/>
        <w:rPr>
          <w:sz w:val="20"/>
          <w:szCs w:val="20"/>
        </w:rPr>
      </w:pPr>
      <w:r>
        <w:rPr>
          <w:sz w:val="20"/>
          <w:szCs w:val="20"/>
        </w:rPr>
        <w:t xml:space="preserve">  </w:t>
      </w:r>
    </w:p>
    <w:p w14:paraId="1D1DA737" w14:textId="77777777" w:rsidR="00000000" w:rsidRDefault="007E65A2">
      <w:pPr>
        <w:pStyle w:val="a3"/>
        <w:spacing w:before="0" w:beforeAutospacing="0" w:after="0" w:afterAutospacing="0"/>
        <w:jc w:val="both"/>
        <w:divId w:val="911279972"/>
        <w:rPr>
          <w:sz w:val="20"/>
          <w:szCs w:val="20"/>
        </w:rPr>
      </w:pPr>
      <w:bookmarkStart w:id="23" w:name="ITEM_9B._OTHER_INFORMATION"/>
      <w:r>
        <w:rPr>
          <w:b/>
          <w:bCs/>
          <w:sz w:val="20"/>
          <w:szCs w:val="20"/>
        </w:rPr>
        <w:t>ITEM 9B. OTHER INFORMATION</w:t>
      </w:r>
      <w:bookmarkEnd w:id="23"/>
    </w:p>
    <w:p w14:paraId="15A4A048" w14:textId="77777777" w:rsidR="00000000" w:rsidRDefault="007E65A2">
      <w:pPr>
        <w:pStyle w:val="a3"/>
        <w:spacing w:before="0" w:beforeAutospacing="0" w:after="0" w:afterAutospacing="0"/>
        <w:jc w:val="both"/>
        <w:divId w:val="911279972"/>
        <w:rPr>
          <w:sz w:val="20"/>
          <w:szCs w:val="20"/>
        </w:rPr>
      </w:pPr>
      <w:r>
        <w:rPr>
          <w:sz w:val="20"/>
          <w:szCs w:val="20"/>
        </w:rPr>
        <w:t> </w:t>
      </w:r>
    </w:p>
    <w:p w14:paraId="67A59F94" w14:textId="77777777" w:rsidR="00000000" w:rsidRDefault="007E65A2">
      <w:pPr>
        <w:pStyle w:val="a3"/>
        <w:spacing w:before="0" w:beforeAutospacing="0" w:after="0" w:afterAutospacing="0"/>
        <w:jc w:val="both"/>
        <w:divId w:val="911279972"/>
        <w:rPr>
          <w:sz w:val="20"/>
          <w:szCs w:val="20"/>
        </w:rPr>
      </w:pPr>
      <w:r>
        <w:rPr>
          <w:sz w:val="20"/>
          <w:szCs w:val="20"/>
        </w:rPr>
        <w:t>Except as provided above, there is no information to be disclosed in a report on Form 8-K during the fourth quarter of the year covered by t</w:t>
      </w:r>
      <w:r>
        <w:rPr>
          <w:sz w:val="20"/>
          <w:szCs w:val="20"/>
        </w:rPr>
        <w:t>his Form 10-K that has not been previously filed with the Securities and Exchange Commission.</w:t>
      </w:r>
    </w:p>
    <w:p w14:paraId="57E7DE29"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9D6050A" w14:textId="77777777">
        <w:trPr>
          <w:divId w:val="911279972"/>
          <w:tblCellSpacing w:w="0" w:type="dxa"/>
        </w:trPr>
        <w:tc>
          <w:tcPr>
            <w:tcW w:w="0" w:type="auto"/>
            <w:vAlign w:val="center"/>
            <w:hideMark/>
          </w:tcPr>
          <w:p w14:paraId="7542AC39" w14:textId="77777777" w:rsidR="00000000" w:rsidRDefault="007E65A2">
            <w:pPr>
              <w:rPr>
                <w:rFonts w:eastAsia="Times New Roman"/>
                <w:sz w:val="20"/>
                <w:szCs w:val="20"/>
              </w:rPr>
            </w:pPr>
            <w:r>
              <w:rPr>
                <w:rFonts w:eastAsia="Times New Roman"/>
                <w:sz w:val="20"/>
                <w:szCs w:val="20"/>
              </w:rPr>
              <w:t> </w:t>
            </w:r>
          </w:p>
        </w:tc>
      </w:tr>
      <w:tr w:rsidR="00000000" w14:paraId="11F6674B" w14:textId="77777777">
        <w:trPr>
          <w:divId w:val="911279972"/>
          <w:tblCellSpacing w:w="0" w:type="dxa"/>
        </w:trPr>
        <w:tc>
          <w:tcPr>
            <w:tcW w:w="0" w:type="auto"/>
            <w:tcBorders>
              <w:bottom w:val="single" w:sz="6" w:space="0" w:color="000000"/>
            </w:tcBorders>
            <w:vAlign w:val="center"/>
            <w:hideMark/>
          </w:tcPr>
          <w:p w14:paraId="428C0DB3" w14:textId="77777777" w:rsidR="00000000" w:rsidRDefault="007E65A2">
            <w:pPr>
              <w:jc w:val="center"/>
              <w:rPr>
                <w:rFonts w:eastAsia="Times New Roman"/>
                <w:sz w:val="20"/>
                <w:szCs w:val="20"/>
              </w:rPr>
            </w:pPr>
            <w:r>
              <w:rPr>
                <w:rFonts w:eastAsia="Times New Roman"/>
                <w:sz w:val="20"/>
                <w:szCs w:val="20"/>
              </w:rPr>
              <w:t>14</w:t>
            </w:r>
          </w:p>
        </w:tc>
      </w:tr>
      <w:tr w:rsidR="00000000" w14:paraId="5F5B4A19" w14:textId="77777777">
        <w:trPr>
          <w:divId w:val="911279972"/>
          <w:tblCellSpacing w:w="0" w:type="dxa"/>
        </w:trPr>
        <w:tc>
          <w:tcPr>
            <w:tcW w:w="0" w:type="auto"/>
            <w:vAlign w:val="center"/>
            <w:hideMark/>
          </w:tcPr>
          <w:p w14:paraId="34E564DD" w14:textId="77777777" w:rsidR="00000000" w:rsidRDefault="007E65A2">
            <w:pPr>
              <w:rPr>
                <w:rFonts w:eastAsia="Times New Roman"/>
                <w:sz w:val="20"/>
                <w:szCs w:val="20"/>
              </w:rPr>
            </w:pPr>
            <w:r>
              <w:rPr>
                <w:rFonts w:eastAsia="Times New Roman"/>
                <w:sz w:val="20"/>
                <w:szCs w:val="20"/>
              </w:rPr>
              <w:t> </w:t>
            </w:r>
          </w:p>
        </w:tc>
      </w:tr>
      <w:tr w:rsidR="00000000" w14:paraId="6629C6F3" w14:textId="77777777">
        <w:trPr>
          <w:divId w:val="911279972"/>
          <w:tblCellSpacing w:w="0" w:type="dxa"/>
        </w:trPr>
        <w:tc>
          <w:tcPr>
            <w:tcW w:w="0" w:type="auto"/>
            <w:vAlign w:val="center"/>
            <w:hideMark/>
          </w:tcPr>
          <w:p w14:paraId="4C369CCA"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6BC242C0" w14:textId="77777777" w:rsidR="00000000" w:rsidRDefault="007E65A2">
      <w:pPr>
        <w:pStyle w:val="a3"/>
        <w:spacing w:before="0" w:beforeAutospacing="0" w:after="0" w:afterAutospacing="0"/>
        <w:jc w:val="both"/>
        <w:divId w:val="911279972"/>
        <w:rPr>
          <w:sz w:val="20"/>
          <w:szCs w:val="20"/>
        </w:rPr>
      </w:pPr>
      <w:r>
        <w:rPr>
          <w:sz w:val="20"/>
          <w:szCs w:val="20"/>
        </w:rPr>
        <w:t>  </w:t>
      </w:r>
    </w:p>
    <w:p w14:paraId="16879DDD" w14:textId="77777777" w:rsidR="00000000" w:rsidRDefault="007E65A2">
      <w:pPr>
        <w:pStyle w:val="a3"/>
        <w:spacing w:before="0" w:beforeAutospacing="0" w:after="0" w:afterAutospacing="0"/>
        <w:jc w:val="center"/>
        <w:divId w:val="911279972"/>
        <w:rPr>
          <w:sz w:val="20"/>
          <w:szCs w:val="20"/>
        </w:rPr>
      </w:pPr>
      <w:bookmarkStart w:id="24" w:name="PART_III"/>
      <w:r>
        <w:rPr>
          <w:b/>
          <w:bCs/>
          <w:sz w:val="20"/>
          <w:szCs w:val="20"/>
        </w:rPr>
        <w:t>PART III</w:t>
      </w:r>
      <w:bookmarkEnd w:id="24"/>
    </w:p>
    <w:p w14:paraId="6BBFE027" w14:textId="77777777" w:rsidR="00000000" w:rsidRDefault="007E65A2">
      <w:pPr>
        <w:pStyle w:val="a3"/>
        <w:spacing w:before="0" w:beforeAutospacing="0" w:after="0" w:afterAutospacing="0"/>
        <w:jc w:val="both"/>
        <w:divId w:val="911279972"/>
        <w:rPr>
          <w:sz w:val="20"/>
          <w:szCs w:val="20"/>
        </w:rPr>
      </w:pPr>
      <w:r>
        <w:rPr>
          <w:sz w:val="20"/>
          <w:szCs w:val="20"/>
        </w:rPr>
        <w:t> </w:t>
      </w:r>
    </w:p>
    <w:p w14:paraId="3B073333" w14:textId="77777777" w:rsidR="00000000" w:rsidRDefault="007E65A2">
      <w:pPr>
        <w:pStyle w:val="a3"/>
        <w:spacing w:before="0" w:beforeAutospacing="0" w:after="0" w:afterAutospacing="0"/>
        <w:jc w:val="both"/>
        <w:divId w:val="911279972"/>
        <w:rPr>
          <w:sz w:val="20"/>
          <w:szCs w:val="20"/>
        </w:rPr>
      </w:pPr>
      <w:bookmarkStart w:id="25" w:name="ITEM_10._DIRECTORS,_EXECUTIVE_OFFICERS_A"/>
      <w:r>
        <w:rPr>
          <w:b/>
          <w:bCs/>
          <w:sz w:val="20"/>
          <w:szCs w:val="20"/>
        </w:rPr>
        <w:t>ITEM 10. DIRECTORS, EXECUTIVE OFFICERS AND CORPORATE GOVERNANCE</w:t>
      </w:r>
      <w:bookmarkEnd w:id="25"/>
    </w:p>
    <w:p w14:paraId="1E440F42" w14:textId="77777777" w:rsidR="00000000" w:rsidRDefault="007E65A2">
      <w:pPr>
        <w:pStyle w:val="a3"/>
        <w:spacing w:before="0" w:beforeAutospacing="0" w:after="0" w:afterAutospacing="0"/>
        <w:jc w:val="both"/>
        <w:divId w:val="911279972"/>
        <w:rPr>
          <w:sz w:val="20"/>
          <w:szCs w:val="20"/>
        </w:rPr>
      </w:pPr>
      <w:r>
        <w:rPr>
          <w:sz w:val="20"/>
          <w:szCs w:val="20"/>
        </w:rPr>
        <w:t> </w:t>
      </w:r>
    </w:p>
    <w:p w14:paraId="340A27C0" w14:textId="77777777" w:rsidR="00000000" w:rsidRDefault="007E65A2">
      <w:pPr>
        <w:pStyle w:val="a3"/>
        <w:spacing w:before="0" w:beforeAutospacing="0" w:after="0" w:afterAutospacing="0"/>
        <w:jc w:val="both"/>
        <w:divId w:val="911279972"/>
        <w:rPr>
          <w:sz w:val="20"/>
          <w:szCs w:val="20"/>
        </w:rPr>
      </w:pPr>
      <w:r>
        <w:rPr>
          <w:b/>
          <w:bCs/>
          <w:sz w:val="20"/>
          <w:szCs w:val="20"/>
        </w:rPr>
        <w:t>Identification of Directors and Executive Officers.</w:t>
      </w:r>
    </w:p>
    <w:p w14:paraId="04A3C340" w14:textId="77777777" w:rsidR="00000000" w:rsidRDefault="007E65A2">
      <w:pPr>
        <w:pStyle w:val="a3"/>
        <w:spacing w:before="0" w:beforeAutospacing="0" w:after="0" w:afterAutospacing="0"/>
        <w:jc w:val="both"/>
        <w:divId w:val="911279972"/>
        <w:rPr>
          <w:sz w:val="20"/>
          <w:szCs w:val="20"/>
        </w:rPr>
      </w:pPr>
      <w:r>
        <w:rPr>
          <w:sz w:val="20"/>
          <w:szCs w:val="20"/>
        </w:rPr>
        <w:t> </w:t>
      </w:r>
    </w:p>
    <w:p w14:paraId="19862134" w14:textId="77777777" w:rsidR="00000000" w:rsidRDefault="007E65A2">
      <w:pPr>
        <w:pStyle w:val="a3"/>
        <w:spacing w:before="0" w:beforeAutospacing="0" w:after="0" w:afterAutospacing="0"/>
        <w:jc w:val="both"/>
        <w:divId w:val="911279972"/>
        <w:rPr>
          <w:sz w:val="20"/>
          <w:szCs w:val="20"/>
        </w:rPr>
      </w:pPr>
      <w:r>
        <w:rPr>
          <w:b/>
          <w:bCs/>
          <w:i/>
          <w:iCs/>
          <w:sz w:val="20"/>
          <w:szCs w:val="20"/>
        </w:rPr>
        <w:t>The Company:</w:t>
      </w:r>
      <w:r>
        <w:rPr>
          <w:i/>
          <w:iCs/>
          <w:sz w:val="20"/>
          <w:szCs w:val="20"/>
        </w:rPr>
        <w:t> </w:t>
      </w:r>
      <w:r>
        <w:rPr>
          <w:sz w:val="20"/>
          <w:szCs w:val="20"/>
        </w:rPr>
        <w:t>The following individuals are current members of our Board of Directors and executive officers; all of the members of the Board are appointed until their respective successor is elected or until their resignation.</w:t>
      </w:r>
    </w:p>
    <w:p w14:paraId="49B48F26"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95"/>
        <w:gridCol w:w="166"/>
        <w:gridCol w:w="2990"/>
        <w:gridCol w:w="166"/>
        <w:gridCol w:w="831"/>
        <w:gridCol w:w="166"/>
        <w:gridCol w:w="2492"/>
      </w:tblGrid>
      <w:tr w:rsidR="00000000" w14:paraId="761EA52A" w14:textId="77777777">
        <w:trPr>
          <w:divId w:val="911279972"/>
          <w:trHeight w:val="180"/>
          <w:tblCellSpacing w:w="0" w:type="dxa"/>
        </w:trPr>
        <w:tc>
          <w:tcPr>
            <w:tcW w:w="900" w:type="pct"/>
            <w:tcBorders>
              <w:bottom w:val="single" w:sz="6" w:space="0" w:color="auto"/>
            </w:tcBorders>
            <w:hideMark/>
          </w:tcPr>
          <w:p w14:paraId="2EE474AE" w14:textId="77777777" w:rsidR="00000000" w:rsidRDefault="007E65A2">
            <w:pPr>
              <w:pStyle w:val="a3"/>
              <w:spacing w:before="0" w:beforeAutospacing="0" w:after="0" w:afterAutospacing="0"/>
              <w:jc w:val="both"/>
              <w:rPr>
                <w:sz w:val="20"/>
                <w:szCs w:val="20"/>
              </w:rPr>
            </w:pPr>
            <w:r>
              <w:rPr>
                <w:b/>
                <w:bCs/>
                <w:sz w:val="20"/>
                <w:szCs w:val="20"/>
              </w:rPr>
              <w:t>Name</w:t>
            </w:r>
          </w:p>
        </w:tc>
        <w:tc>
          <w:tcPr>
            <w:tcW w:w="100" w:type="pct"/>
            <w:vAlign w:val="center"/>
            <w:hideMark/>
          </w:tcPr>
          <w:p w14:paraId="0D5D02D1"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auto"/>
            </w:tcBorders>
            <w:hideMark/>
          </w:tcPr>
          <w:p w14:paraId="4441C9F7" w14:textId="77777777" w:rsidR="00000000" w:rsidRDefault="007E65A2">
            <w:pPr>
              <w:pStyle w:val="a3"/>
              <w:spacing w:before="0" w:beforeAutospacing="0" w:after="0" w:afterAutospacing="0"/>
              <w:jc w:val="center"/>
              <w:rPr>
                <w:sz w:val="20"/>
                <w:szCs w:val="20"/>
              </w:rPr>
            </w:pPr>
            <w:r>
              <w:rPr>
                <w:b/>
                <w:bCs/>
                <w:sz w:val="20"/>
                <w:szCs w:val="20"/>
              </w:rPr>
              <w:t>Position Held with the Company</w:t>
            </w:r>
          </w:p>
        </w:tc>
        <w:tc>
          <w:tcPr>
            <w:tcW w:w="100" w:type="pct"/>
            <w:vAlign w:val="center"/>
            <w:hideMark/>
          </w:tcPr>
          <w:p w14:paraId="2AEDF1DB" w14:textId="77777777" w:rsidR="00000000" w:rsidRDefault="007E65A2">
            <w:pPr>
              <w:pStyle w:val="a3"/>
              <w:spacing w:before="0" w:beforeAutospacing="0" w:after="0" w:afterAutospacing="0"/>
              <w:jc w:val="both"/>
              <w:rPr>
                <w:sz w:val="20"/>
                <w:szCs w:val="20"/>
              </w:rPr>
            </w:pPr>
            <w:r>
              <w:rPr>
                <w:sz w:val="20"/>
                <w:szCs w:val="20"/>
              </w:rPr>
              <w:t> </w:t>
            </w:r>
          </w:p>
        </w:tc>
        <w:tc>
          <w:tcPr>
            <w:tcW w:w="500" w:type="pct"/>
            <w:tcBorders>
              <w:bottom w:val="single" w:sz="6" w:space="0" w:color="auto"/>
            </w:tcBorders>
            <w:hideMark/>
          </w:tcPr>
          <w:p w14:paraId="05643255" w14:textId="77777777" w:rsidR="00000000" w:rsidRDefault="007E65A2">
            <w:pPr>
              <w:pStyle w:val="a3"/>
              <w:spacing w:before="0" w:beforeAutospacing="0" w:after="0" w:afterAutospacing="0"/>
              <w:jc w:val="center"/>
              <w:rPr>
                <w:sz w:val="20"/>
                <w:szCs w:val="20"/>
              </w:rPr>
            </w:pPr>
            <w:r>
              <w:rPr>
                <w:b/>
                <w:bCs/>
                <w:sz w:val="20"/>
                <w:szCs w:val="20"/>
              </w:rPr>
              <w:t>Age</w:t>
            </w:r>
          </w:p>
        </w:tc>
        <w:tc>
          <w:tcPr>
            <w:tcW w:w="100" w:type="pct"/>
            <w:vAlign w:val="center"/>
            <w:hideMark/>
          </w:tcPr>
          <w:p w14:paraId="6FEB9D33" w14:textId="77777777" w:rsidR="00000000" w:rsidRDefault="007E65A2">
            <w:pPr>
              <w:pStyle w:val="a3"/>
              <w:spacing w:before="0" w:beforeAutospacing="0" w:after="0" w:afterAutospacing="0"/>
              <w:jc w:val="both"/>
              <w:rPr>
                <w:sz w:val="20"/>
                <w:szCs w:val="20"/>
              </w:rPr>
            </w:pPr>
            <w:r>
              <w:rPr>
                <w:sz w:val="20"/>
                <w:szCs w:val="20"/>
              </w:rPr>
              <w:t> </w:t>
            </w:r>
          </w:p>
        </w:tc>
        <w:tc>
          <w:tcPr>
            <w:tcW w:w="1500" w:type="pct"/>
            <w:tcBorders>
              <w:bottom w:val="single" w:sz="6" w:space="0" w:color="auto"/>
            </w:tcBorders>
            <w:hideMark/>
          </w:tcPr>
          <w:p w14:paraId="3CFAA1D1" w14:textId="77777777" w:rsidR="00000000" w:rsidRDefault="007E65A2">
            <w:pPr>
              <w:pStyle w:val="a3"/>
              <w:spacing w:before="0" w:beforeAutospacing="0" w:after="0" w:afterAutospacing="0"/>
              <w:jc w:val="center"/>
              <w:rPr>
                <w:sz w:val="20"/>
                <w:szCs w:val="20"/>
              </w:rPr>
            </w:pPr>
            <w:r>
              <w:rPr>
                <w:b/>
                <w:bCs/>
                <w:sz w:val="20"/>
                <w:szCs w:val="20"/>
              </w:rPr>
              <w:t>Date First Elected or Appointed</w:t>
            </w:r>
          </w:p>
        </w:tc>
      </w:tr>
      <w:tr w:rsidR="00000000" w14:paraId="629AB1DA" w14:textId="77777777">
        <w:trPr>
          <w:divId w:val="911279972"/>
          <w:trHeight w:val="180"/>
          <w:tblCellSpacing w:w="0" w:type="dxa"/>
        </w:trPr>
        <w:tc>
          <w:tcPr>
            <w:tcW w:w="0" w:type="auto"/>
            <w:shd w:val="clear" w:color="auto" w:fill="CCEEFF"/>
            <w:hideMark/>
          </w:tcPr>
          <w:p w14:paraId="10B33F16" w14:textId="77777777" w:rsidR="00000000" w:rsidRDefault="007E65A2">
            <w:pPr>
              <w:pStyle w:val="a3"/>
              <w:spacing w:before="0" w:beforeAutospacing="0" w:after="0" w:afterAutospacing="0"/>
              <w:jc w:val="both"/>
              <w:rPr>
                <w:sz w:val="20"/>
                <w:szCs w:val="20"/>
              </w:rPr>
            </w:pPr>
            <w:r>
              <w:rPr>
                <w:sz w:val="20"/>
                <w:szCs w:val="20"/>
              </w:rPr>
              <w:t>Douglas O. McKinnon</w:t>
            </w:r>
          </w:p>
        </w:tc>
        <w:tc>
          <w:tcPr>
            <w:tcW w:w="0" w:type="auto"/>
            <w:shd w:val="clear" w:color="auto" w:fill="CCEEFF"/>
            <w:vAlign w:val="center"/>
            <w:hideMark/>
          </w:tcPr>
          <w:p w14:paraId="4787E82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43E25D70" w14:textId="77777777" w:rsidR="00000000" w:rsidRDefault="007E65A2">
            <w:pPr>
              <w:pStyle w:val="a3"/>
              <w:spacing w:before="0" w:beforeAutospacing="0" w:after="0" w:afterAutospacing="0"/>
              <w:jc w:val="center"/>
              <w:rPr>
                <w:sz w:val="20"/>
                <w:szCs w:val="20"/>
              </w:rPr>
            </w:pPr>
            <w:r>
              <w:rPr>
                <w:sz w:val="20"/>
                <w:szCs w:val="20"/>
              </w:rPr>
              <w:t>Chief Executive Officer and Chief Financial Officer</w:t>
            </w:r>
          </w:p>
        </w:tc>
        <w:tc>
          <w:tcPr>
            <w:tcW w:w="0" w:type="auto"/>
            <w:shd w:val="clear" w:color="auto" w:fill="CCEEFF"/>
            <w:vAlign w:val="center"/>
            <w:hideMark/>
          </w:tcPr>
          <w:p w14:paraId="5E2764C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2852375B" w14:textId="77777777" w:rsidR="00000000" w:rsidRDefault="007E65A2">
            <w:pPr>
              <w:pStyle w:val="a3"/>
              <w:spacing w:before="0" w:beforeAutospacing="0" w:after="0" w:afterAutospacing="0"/>
              <w:jc w:val="center"/>
              <w:rPr>
                <w:sz w:val="20"/>
                <w:szCs w:val="20"/>
              </w:rPr>
            </w:pPr>
            <w:r>
              <w:rPr>
                <w:sz w:val="20"/>
                <w:szCs w:val="20"/>
              </w:rPr>
              <w:t>67</w:t>
            </w:r>
          </w:p>
        </w:tc>
        <w:tc>
          <w:tcPr>
            <w:tcW w:w="0" w:type="auto"/>
            <w:shd w:val="clear" w:color="auto" w:fill="CCEEFF"/>
            <w:vAlign w:val="center"/>
            <w:hideMark/>
          </w:tcPr>
          <w:p w14:paraId="75226AB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44649AFD" w14:textId="77777777" w:rsidR="00000000" w:rsidRDefault="007E65A2">
            <w:pPr>
              <w:pStyle w:val="a3"/>
              <w:spacing w:before="0" w:beforeAutospacing="0" w:after="0" w:afterAutospacing="0"/>
              <w:jc w:val="center"/>
              <w:rPr>
                <w:sz w:val="20"/>
                <w:szCs w:val="20"/>
              </w:rPr>
            </w:pPr>
            <w:r>
              <w:rPr>
                <w:sz w:val="20"/>
                <w:szCs w:val="20"/>
              </w:rPr>
              <w:t>March 7, 2016</w:t>
            </w:r>
          </w:p>
        </w:tc>
      </w:tr>
      <w:tr w:rsidR="00000000" w14:paraId="779264AF" w14:textId="77777777">
        <w:trPr>
          <w:divId w:val="911279972"/>
          <w:trHeight w:val="180"/>
          <w:tblCellSpacing w:w="0" w:type="dxa"/>
        </w:trPr>
        <w:tc>
          <w:tcPr>
            <w:tcW w:w="0" w:type="auto"/>
            <w:shd w:val="clear" w:color="auto" w:fill="FFFFFF"/>
            <w:hideMark/>
          </w:tcPr>
          <w:p w14:paraId="63A5DF25" w14:textId="77777777" w:rsidR="00000000" w:rsidRDefault="007E65A2">
            <w:pPr>
              <w:pStyle w:val="a3"/>
              <w:spacing w:before="0" w:beforeAutospacing="0" w:after="0" w:afterAutospacing="0"/>
              <w:jc w:val="both"/>
              <w:rPr>
                <w:sz w:val="20"/>
                <w:szCs w:val="20"/>
              </w:rPr>
            </w:pPr>
            <w:r>
              <w:rPr>
                <w:sz w:val="20"/>
                <w:szCs w:val="20"/>
              </w:rPr>
              <w:t>Keri Williams</w:t>
            </w:r>
          </w:p>
        </w:tc>
        <w:tc>
          <w:tcPr>
            <w:tcW w:w="0" w:type="auto"/>
            <w:shd w:val="clear" w:color="auto" w:fill="FFFFFF"/>
            <w:vAlign w:val="center"/>
            <w:hideMark/>
          </w:tcPr>
          <w:p w14:paraId="6D6E7E4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2F07DCE" w14:textId="77777777" w:rsidR="00000000" w:rsidRDefault="007E65A2">
            <w:pPr>
              <w:pStyle w:val="a3"/>
              <w:spacing w:before="0" w:beforeAutospacing="0" w:after="0" w:afterAutospacing="0"/>
              <w:jc w:val="center"/>
              <w:rPr>
                <w:sz w:val="20"/>
                <w:szCs w:val="20"/>
              </w:rPr>
            </w:pPr>
            <w:r>
              <w:rPr>
                <w:sz w:val="20"/>
                <w:szCs w:val="20"/>
              </w:rPr>
              <w:t>Secretary and Director</w:t>
            </w:r>
          </w:p>
        </w:tc>
        <w:tc>
          <w:tcPr>
            <w:tcW w:w="0" w:type="auto"/>
            <w:shd w:val="clear" w:color="auto" w:fill="FFFFFF"/>
            <w:vAlign w:val="center"/>
            <w:hideMark/>
          </w:tcPr>
          <w:p w14:paraId="1F17314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57C9A09E" w14:textId="77777777" w:rsidR="00000000" w:rsidRDefault="007E65A2">
            <w:pPr>
              <w:pStyle w:val="a3"/>
              <w:spacing w:before="0" w:beforeAutospacing="0" w:after="0" w:afterAutospacing="0"/>
              <w:jc w:val="center"/>
              <w:rPr>
                <w:sz w:val="20"/>
                <w:szCs w:val="20"/>
              </w:rPr>
            </w:pPr>
            <w:r>
              <w:rPr>
                <w:sz w:val="20"/>
                <w:szCs w:val="20"/>
              </w:rPr>
              <w:t>48</w:t>
            </w:r>
          </w:p>
        </w:tc>
        <w:tc>
          <w:tcPr>
            <w:tcW w:w="0" w:type="auto"/>
            <w:shd w:val="clear" w:color="auto" w:fill="FFFFFF"/>
            <w:vAlign w:val="center"/>
            <w:hideMark/>
          </w:tcPr>
          <w:p w14:paraId="6D23BFF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0F883628" w14:textId="77777777" w:rsidR="00000000" w:rsidRDefault="007E65A2">
            <w:pPr>
              <w:pStyle w:val="a3"/>
              <w:spacing w:before="0" w:beforeAutospacing="0" w:after="0" w:afterAutospacing="0"/>
              <w:jc w:val="center"/>
              <w:rPr>
                <w:sz w:val="20"/>
                <w:szCs w:val="20"/>
              </w:rPr>
            </w:pPr>
            <w:r>
              <w:rPr>
                <w:sz w:val="20"/>
                <w:szCs w:val="20"/>
              </w:rPr>
              <w:t>January 8, 2014</w:t>
            </w:r>
          </w:p>
        </w:tc>
      </w:tr>
      <w:tr w:rsidR="00000000" w14:paraId="5D96E610" w14:textId="77777777">
        <w:trPr>
          <w:divId w:val="911279972"/>
          <w:trHeight w:val="180"/>
          <w:tblCellSpacing w:w="0" w:type="dxa"/>
        </w:trPr>
        <w:tc>
          <w:tcPr>
            <w:tcW w:w="0" w:type="auto"/>
            <w:shd w:val="clear" w:color="auto" w:fill="CCEEFF"/>
            <w:hideMark/>
          </w:tcPr>
          <w:p w14:paraId="462D8AB4" w14:textId="77777777" w:rsidR="00000000" w:rsidRDefault="007E65A2">
            <w:pPr>
              <w:pStyle w:val="a3"/>
              <w:spacing w:before="0" w:beforeAutospacing="0" w:after="0" w:afterAutospacing="0"/>
              <w:jc w:val="both"/>
              <w:rPr>
                <w:sz w:val="20"/>
                <w:szCs w:val="20"/>
              </w:rPr>
            </w:pPr>
            <w:r>
              <w:rPr>
                <w:sz w:val="20"/>
                <w:szCs w:val="20"/>
              </w:rPr>
              <w:t>Devin Beavers</w:t>
            </w:r>
          </w:p>
        </w:tc>
        <w:tc>
          <w:tcPr>
            <w:tcW w:w="0" w:type="auto"/>
            <w:shd w:val="clear" w:color="auto" w:fill="CCEEFF"/>
            <w:vAlign w:val="center"/>
            <w:hideMark/>
          </w:tcPr>
          <w:p w14:paraId="5C2F026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127C9359" w14:textId="77777777" w:rsidR="00000000" w:rsidRDefault="007E65A2">
            <w:pPr>
              <w:pStyle w:val="a3"/>
              <w:spacing w:before="0" w:beforeAutospacing="0" w:after="0" w:afterAutospacing="0"/>
              <w:jc w:val="center"/>
              <w:rPr>
                <w:sz w:val="20"/>
                <w:szCs w:val="20"/>
              </w:rPr>
            </w:pPr>
            <w:r>
              <w:rPr>
                <w:sz w:val="20"/>
                <w:szCs w:val="20"/>
              </w:rPr>
              <w:t>Director</w:t>
            </w:r>
          </w:p>
        </w:tc>
        <w:tc>
          <w:tcPr>
            <w:tcW w:w="0" w:type="auto"/>
            <w:shd w:val="clear" w:color="auto" w:fill="CCEEFF"/>
            <w:vAlign w:val="center"/>
            <w:hideMark/>
          </w:tcPr>
          <w:p w14:paraId="502D73F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7AC64170" w14:textId="77777777" w:rsidR="00000000" w:rsidRDefault="007E65A2">
            <w:pPr>
              <w:pStyle w:val="a3"/>
              <w:spacing w:before="0" w:beforeAutospacing="0" w:after="0" w:afterAutospacing="0"/>
              <w:jc w:val="center"/>
              <w:rPr>
                <w:sz w:val="20"/>
                <w:szCs w:val="20"/>
              </w:rPr>
            </w:pPr>
            <w:r>
              <w:rPr>
                <w:sz w:val="20"/>
                <w:szCs w:val="20"/>
              </w:rPr>
              <w:t>48</w:t>
            </w:r>
          </w:p>
        </w:tc>
        <w:tc>
          <w:tcPr>
            <w:tcW w:w="0" w:type="auto"/>
            <w:shd w:val="clear" w:color="auto" w:fill="CCEEFF"/>
            <w:vAlign w:val="center"/>
            <w:hideMark/>
          </w:tcPr>
          <w:p w14:paraId="22C951D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2054503D" w14:textId="77777777" w:rsidR="00000000" w:rsidRDefault="007E65A2">
            <w:pPr>
              <w:pStyle w:val="a3"/>
              <w:spacing w:before="0" w:beforeAutospacing="0" w:after="0" w:afterAutospacing="0"/>
              <w:jc w:val="center"/>
              <w:rPr>
                <w:sz w:val="20"/>
                <w:szCs w:val="20"/>
              </w:rPr>
            </w:pPr>
            <w:r>
              <w:rPr>
                <w:sz w:val="20"/>
                <w:szCs w:val="20"/>
              </w:rPr>
              <w:t>February 16, 2016</w:t>
            </w:r>
          </w:p>
        </w:tc>
      </w:tr>
    </w:tbl>
    <w:p w14:paraId="0104CC9B" w14:textId="77777777" w:rsidR="00000000" w:rsidRDefault="007E65A2">
      <w:pPr>
        <w:pStyle w:val="a3"/>
        <w:spacing w:before="0" w:beforeAutospacing="0" w:after="0" w:afterAutospacing="0"/>
        <w:jc w:val="both"/>
        <w:divId w:val="911279972"/>
        <w:rPr>
          <w:sz w:val="20"/>
          <w:szCs w:val="20"/>
        </w:rPr>
      </w:pPr>
      <w:r>
        <w:rPr>
          <w:sz w:val="20"/>
          <w:szCs w:val="20"/>
        </w:rPr>
        <w:t> </w:t>
      </w:r>
    </w:p>
    <w:p w14:paraId="302A1327" w14:textId="77777777" w:rsidR="00000000" w:rsidRDefault="007E65A2">
      <w:pPr>
        <w:pStyle w:val="a3"/>
        <w:spacing w:before="0" w:beforeAutospacing="0" w:after="0" w:afterAutospacing="0"/>
        <w:jc w:val="both"/>
        <w:divId w:val="911279972"/>
        <w:rPr>
          <w:sz w:val="20"/>
          <w:szCs w:val="20"/>
        </w:rPr>
      </w:pPr>
      <w:r>
        <w:rPr>
          <w:b/>
          <w:bCs/>
          <w:sz w:val="20"/>
          <w:szCs w:val="20"/>
        </w:rPr>
        <w:t>Business Experience</w:t>
      </w:r>
    </w:p>
    <w:p w14:paraId="592D8587" w14:textId="77777777" w:rsidR="00000000" w:rsidRDefault="007E65A2">
      <w:pPr>
        <w:pStyle w:val="a3"/>
        <w:spacing w:before="0" w:beforeAutospacing="0" w:after="0" w:afterAutospacing="0"/>
        <w:jc w:val="both"/>
        <w:divId w:val="911279972"/>
        <w:rPr>
          <w:sz w:val="20"/>
          <w:szCs w:val="20"/>
        </w:rPr>
      </w:pPr>
      <w:r>
        <w:rPr>
          <w:sz w:val="20"/>
          <w:szCs w:val="20"/>
        </w:rPr>
        <w:t> </w:t>
      </w:r>
    </w:p>
    <w:p w14:paraId="42686086" w14:textId="77777777" w:rsidR="00000000" w:rsidRDefault="007E65A2">
      <w:pPr>
        <w:pStyle w:val="a3"/>
        <w:spacing w:before="0" w:beforeAutospacing="0" w:after="0" w:afterAutospacing="0"/>
        <w:jc w:val="both"/>
        <w:divId w:val="911279972"/>
        <w:rPr>
          <w:sz w:val="20"/>
          <w:szCs w:val="20"/>
        </w:rPr>
      </w:pPr>
      <w:r>
        <w:rPr>
          <w:sz w:val="20"/>
          <w:szCs w:val="20"/>
        </w:rPr>
        <w:t xml:space="preserve">The following is a brief account of the education and business experience during at least the past five years of each director, executive officer and key employee of our company, indicating the person’s principal </w:t>
      </w:r>
      <w:r>
        <w:rPr>
          <w:sz w:val="20"/>
          <w:szCs w:val="20"/>
        </w:rPr>
        <w:t>occupation during that period, and the name and principal business of the organization in which such occupation and employment were carried out.</w:t>
      </w:r>
    </w:p>
    <w:p w14:paraId="394BD9FC" w14:textId="77777777" w:rsidR="00000000" w:rsidRDefault="007E65A2">
      <w:pPr>
        <w:pStyle w:val="a3"/>
        <w:spacing w:before="0" w:beforeAutospacing="0" w:after="0" w:afterAutospacing="0"/>
        <w:jc w:val="both"/>
        <w:divId w:val="911279972"/>
        <w:rPr>
          <w:sz w:val="20"/>
          <w:szCs w:val="20"/>
        </w:rPr>
      </w:pPr>
      <w:r>
        <w:rPr>
          <w:sz w:val="20"/>
          <w:szCs w:val="20"/>
        </w:rPr>
        <w:t> </w:t>
      </w:r>
    </w:p>
    <w:p w14:paraId="2DF66234" w14:textId="77777777" w:rsidR="00000000" w:rsidRDefault="007E65A2">
      <w:pPr>
        <w:pStyle w:val="a3"/>
        <w:spacing w:before="0" w:beforeAutospacing="0" w:after="0" w:afterAutospacing="0"/>
        <w:jc w:val="both"/>
        <w:divId w:val="911279972"/>
        <w:rPr>
          <w:sz w:val="20"/>
          <w:szCs w:val="20"/>
        </w:rPr>
      </w:pPr>
      <w:r>
        <w:rPr>
          <w:b/>
          <w:bCs/>
          <w:i/>
          <w:iCs/>
          <w:sz w:val="20"/>
          <w:szCs w:val="20"/>
        </w:rPr>
        <w:t>Douglas O. McKinnon - Chief Executive Officer and Chief Financial Officer</w:t>
      </w:r>
    </w:p>
    <w:p w14:paraId="60222D92" w14:textId="77777777" w:rsidR="00000000" w:rsidRDefault="007E65A2">
      <w:pPr>
        <w:pStyle w:val="a3"/>
        <w:spacing w:before="0" w:beforeAutospacing="0" w:after="0" w:afterAutospacing="0"/>
        <w:jc w:val="both"/>
        <w:divId w:val="911279972"/>
        <w:rPr>
          <w:sz w:val="20"/>
          <w:szCs w:val="20"/>
        </w:rPr>
      </w:pPr>
      <w:r>
        <w:rPr>
          <w:sz w:val="20"/>
          <w:szCs w:val="20"/>
        </w:rPr>
        <w:t> </w:t>
      </w:r>
    </w:p>
    <w:p w14:paraId="1A3B1B39" w14:textId="77777777" w:rsidR="00000000" w:rsidRDefault="007E65A2">
      <w:pPr>
        <w:pStyle w:val="a3"/>
        <w:spacing w:before="0" w:beforeAutospacing="0" w:after="0" w:afterAutospacing="0"/>
        <w:jc w:val="both"/>
        <w:divId w:val="911279972"/>
        <w:rPr>
          <w:sz w:val="20"/>
          <w:szCs w:val="20"/>
        </w:rPr>
      </w:pPr>
      <w:r>
        <w:rPr>
          <w:sz w:val="20"/>
          <w:szCs w:val="20"/>
        </w:rPr>
        <w:t xml:space="preserve">Mr. McKinnon was appointed chief </w:t>
      </w:r>
      <w:r>
        <w:rPr>
          <w:sz w:val="20"/>
          <w:szCs w:val="20"/>
        </w:rPr>
        <w:t>executive officer and chief financial officer of our company on March 7, 2016.</w:t>
      </w:r>
    </w:p>
    <w:p w14:paraId="689023BC" w14:textId="77777777" w:rsidR="00000000" w:rsidRDefault="007E65A2">
      <w:pPr>
        <w:pStyle w:val="a3"/>
        <w:spacing w:before="0" w:beforeAutospacing="0" w:after="0" w:afterAutospacing="0"/>
        <w:jc w:val="both"/>
        <w:divId w:val="911279972"/>
        <w:rPr>
          <w:sz w:val="20"/>
          <w:szCs w:val="20"/>
        </w:rPr>
      </w:pPr>
      <w:r>
        <w:rPr>
          <w:sz w:val="20"/>
          <w:szCs w:val="20"/>
        </w:rPr>
        <w:t> </w:t>
      </w:r>
    </w:p>
    <w:p w14:paraId="7CB7CED1" w14:textId="77777777" w:rsidR="00000000" w:rsidRDefault="007E65A2">
      <w:pPr>
        <w:pStyle w:val="a3"/>
        <w:spacing w:before="0" w:beforeAutospacing="0" w:after="0" w:afterAutospacing="0"/>
        <w:jc w:val="both"/>
        <w:divId w:val="911279972"/>
        <w:rPr>
          <w:sz w:val="20"/>
          <w:szCs w:val="20"/>
        </w:rPr>
      </w:pPr>
      <w:r>
        <w:rPr>
          <w:sz w:val="20"/>
          <w:szCs w:val="20"/>
        </w:rPr>
        <w:t>Over the past two years, Mr. McKinnon has served as Executive Vice President, Chief Financial Officer and member of the Board of Directors of Surna, Inc. (OTCQB: SRNA), a prov</w:t>
      </w:r>
      <w:r>
        <w:rPr>
          <w:sz w:val="20"/>
          <w:szCs w:val="20"/>
        </w:rPr>
        <w:t>ider of climate control and environmental systems for use in the legal marijuana industry. Prior to Surna, he served as President of a private oil &amp; gas technology company.</w:t>
      </w:r>
    </w:p>
    <w:p w14:paraId="32861ADE" w14:textId="77777777" w:rsidR="00000000" w:rsidRDefault="007E65A2">
      <w:pPr>
        <w:pStyle w:val="a3"/>
        <w:spacing w:before="0" w:beforeAutospacing="0" w:after="0" w:afterAutospacing="0"/>
        <w:jc w:val="both"/>
        <w:divId w:val="911279972"/>
        <w:rPr>
          <w:sz w:val="20"/>
          <w:szCs w:val="20"/>
        </w:rPr>
      </w:pPr>
      <w:r>
        <w:rPr>
          <w:sz w:val="20"/>
          <w:szCs w:val="20"/>
        </w:rPr>
        <w:t> </w:t>
      </w:r>
    </w:p>
    <w:p w14:paraId="5DC182B3" w14:textId="77777777" w:rsidR="00000000" w:rsidRDefault="007E65A2">
      <w:pPr>
        <w:pStyle w:val="a3"/>
        <w:spacing w:before="0" w:beforeAutospacing="0" w:after="0" w:afterAutospacing="0"/>
        <w:jc w:val="both"/>
        <w:divId w:val="911279972"/>
        <w:rPr>
          <w:sz w:val="20"/>
          <w:szCs w:val="20"/>
        </w:rPr>
      </w:pPr>
      <w:r>
        <w:rPr>
          <w:sz w:val="20"/>
          <w:szCs w:val="20"/>
        </w:rPr>
        <w:t xml:space="preserve">Doug McKinnon's 30 plus year professional career includes advisory and operation </w:t>
      </w:r>
      <w:r>
        <w:rPr>
          <w:sz w:val="20"/>
          <w:szCs w:val="20"/>
        </w:rPr>
        <w:t>experience across a broad spectrum of industry sectors, including oil and gas, technology, and communications. He has served in C-level positions in both private and public sectors, including chairman and CEO of an American Stock Exchange traded company, V</w:t>
      </w:r>
      <w:r>
        <w:rPr>
          <w:sz w:val="20"/>
          <w:szCs w:val="20"/>
        </w:rPr>
        <w:t>ice President of a $12 billion market cap NASDAQ-traded company for which the management team raised over $2.2 billion, CFO of several publicly held US, Canadian and Australian companies, and CEO/CFO of various other private enterprises.</w:t>
      </w:r>
    </w:p>
    <w:p w14:paraId="63BFF4E0" w14:textId="77777777" w:rsidR="00000000" w:rsidRDefault="007E65A2">
      <w:pPr>
        <w:pStyle w:val="a3"/>
        <w:spacing w:before="0" w:beforeAutospacing="0" w:after="0" w:afterAutospacing="0"/>
        <w:jc w:val="both"/>
        <w:divId w:val="911279972"/>
        <w:rPr>
          <w:sz w:val="20"/>
          <w:szCs w:val="20"/>
        </w:rPr>
      </w:pPr>
      <w:r>
        <w:rPr>
          <w:sz w:val="20"/>
          <w:szCs w:val="20"/>
        </w:rPr>
        <w:t> </w:t>
      </w:r>
    </w:p>
    <w:p w14:paraId="56222C23" w14:textId="77777777" w:rsidR="00000000" w:rsidRDefault="007E65A2">
      <w:pPr>
        <w:pStyle w:val="a3"/>
        <w:spacing w:before="0" w:beforeAutospacing="0" w:after="0" w:afterAutospacing="0"/>
        <w:jc w:val="both"/>
        <w:divId w:val="911279972"/>
        <w:rPr>
          <w:sz w:val="20"/>
          <w:szCs w:val="20"/>
        </w:rPr>
      </w:pPr>
      <w:r>
        <w:rPr>
          <w:sz w:val="20"/>
          <w:szCs w:val="20"/>
        </w:rPr>
        <w:t>As an entreprene</w:t>
      </w:r>
      <w:r>
        <w:rPr>
          <w:sz w:val="20"/>
          <w:szCs w:val="20"/>
        </w:rPr>
        <w:t>ur, Mr. McKinnon has been involved in organizations ranging from start-up companies using venture capital funding to publicly traded, institutional investor-backed companies. Mr. McKinnon attended Texas Christian University. He worked for nine years as a C</w:t>
      </w:r>
      <w:r>
        <w:rPr>
          <w:sz w:val="20"/>
          <w:szCs w:val="20"/>
        </w:rPr>
        <w:t>PA in the SEC and the oil and gas practice section of Coopers &amp; Lybrand (now PricewaterhouseCoopers). Additionally, Mr. McKinnon has extensive merger &amp; acquisition and turnaround experience.</w:t>
      </w:r>
    </w:p>
    <w:p w14:paraId="780410BB" w14:textId="77777777" w:rsidR="00000000" w:rsidRDefault="007E65A2">
      <w:pPr>
        <w:pStyle w:val="a3"/>
        <w:spacing w:before="0" w:beforeAutospacing="0" w:after="0" w:afterAutospacing="0"/>
        <w:jc w:val="both"/>
        <w:divId w:val="911279972"/>
        <w:rPr>
          <w:sz w:val="20"/>
          <w:szCs w:val="20"/>
        </w:rPr>
      </w:pPr>
      <w:r>
        <w:rPr>
          <w:sz w:val="20"/>
          <w:szCs w:val="20"/>
        </w:rPr>
        <w:t> </w:t>
      </w:r>
    </w:p>
    <w:p w14:paraId="4F02C3DA" w14:textId="77777777" w:rsidR="00000000" w:rsidRDefault="007E65A2">
      <w:pPr>
        <w:pStyle w:val="a3"/>
        <w:spacing w:before="0" w:beforeAutospacing="0" w:after="0" w:afterAutospacing="0"/>
        <w:jc w:val="both"/>
        <w:divId w:val="911279972"/>
        <w:rPr>
          <w:sz w:val="20"/>
          <w:szCs w:val="20"/>
        </w:rPr>
      </w:pPr>
      <w:r>
        <w:rPr>
          <w:sz w:val="20"/>
          <w:szCs w:val="20"/>
        </w:rPr>
        <w:t>Our company believes that Mr. McKinnon’s professional backgroun</w:t>
      </w:r>
      <w:r>
        <w:rPr>
          <w:sz w:val="20"/>
          <w:szCs w:val="20"/>
        </w:rPr>
        <w:t>d experience gives him the qualifications and skills necessary to serve as an officer of our company.</w:t>
      </w:r>
    </w:p>
    <w:p w14:paraId="38206E05" w14:textId="77777777" w:rsidR="00000000" w:rsidRDefault="007E65A2">
      <w:pPr>
        <w:pStyle w:val="a3"/>
        <w:spacing w:before="0" w:beforeAutospacing="0" w:after="0" w:afterAutospacing="0"/>
        <w:jc w:val="both"/>
        <w:divId w:val="911279972"/>
        <w:rPr>
          <w:sz w:val="20"/>
          <w:szCs w:val="20"/>
        </w:rPr>
      </w:pPr>
      <w:r>
        <w:rPr>
          <w:sz w:val="20"/>
          <w:szCs w:val="20"/>
        </w:rPr>
        <w:t> </w:t>
      </w:r>
    </w:p>
    <w:p w14:paraId="4F2977E7" w14:textId="77777777" w:rsidR="00000000" w:rsidRDefault="007E65A2">
      <w:pPr>
        <w:pStyle w:val="a3"/>
        <w:spacing w:before="0" w:beforeAutospacing="0" w:after="0" w:afterAutospacing="0"/>
        <w:jc w:val="both"/>
        <w:divId w:val="911279972"/>
        <w:rPr>
          <w:sz w:val="20"/>
          <w:szCs w:val="20"/>
        </w:rPr>
      </w:pPr>
      <w:r>
        <w:rPr>
          <w:b/>
          <w:bCs/>
          <w:i/>
          <w:iCs/>
          <w:sz w:val="20"/>
          <w:szCs w:val="20"/>
        </w:rPr>
        <w:t>Keri Williams – Secretary and Director</w:t>
      </w:r>
    </w:p>
    <w:p w14:paraId="04E9BAB4" w14:textId="77777777" w:rsidR="00000000" w:rsidRDefault="007E65A2">
      <w:pPr>
        <w:pStyle w:val="a3"/>
        <w:spacing w:before="0" w:beforeAutospacing="0" w:after="0" w:afterAutospacing="0"/>
        <w:jc w:val="both"/>
        <w:divId w:val="911279972"/>
        <w:rPr>
          <w:sz w:val="20"/>
          <w:szCs w:val="20"/>
        </w:rPr>
      </w:pPr>
      <w:r>
        <w:rPr>
          <w:sz w:val="20"/>
          <w:szCs w:val="20"/>
        </w:rPr>
        <w:t> </w:t>
      </w:r>
    </w:p>
    <w:p w14:paraId="15AC4071" w14:textId="77777777" w:rsidR="00000000" w:rsidRDefault="007E65A2">
      <w:pPr>
        <w:pStyle w:val="a3"/>
        <w:spacing w:before="0" w:beforeAutospacing="0" w:after="0" w:afterAutospacing="0"/>
        <w:jc w:val="both"/>
        <w:divId w:val="911279972"/>
        <w:rPr>
          <w:sz w:val="20"/>
          <w:szCs w:val="20"/>
        </w:rPr>
      </w:pPr>
      <w:r>
        <w:rPr>
          <w:sz w:val="20"/>
          <w:szCs w:val="20"/>
        </w:rPr>
        <w:t>Mrs. Williams was appointed secretary of our company on January 8, 2014 and was elected to our board of directors on February 16, 2016.</w:t>
      </w:r>
    </w:p>
    <w:p w14:paraId="0C30F99C" w14:textId="77777777" w:rsidR="00000000" w:rsidRDefault="007E65A2">
      <w:pPr>
        <w:pStyle w:val="a3"/>
        <w:spacing w:before="0" w:beforeAutospacing="0" w:after="0" w:afterAutospacing="0"/>
        <w:jc w:val="both"/>
        <w:divId w:val="911279972"/>
        <w:rPr>
          <w:sz w:val="20"/>
          <w:szCs w:val="20"/>
        </w:rPr>
      </w:pPr>
      <w:r>
        <w:rPr>
          <w:sz w:val="20"/>
          <w:szCs w:val="20"/>
        </w:rPr>
        <w:t> </w:t>
      </w:r>
    </w:p>
    <w:p w14:paraId="4DE47EE2" w14:textId="77777777" w:rsidR="00000000" w:rsidRDefault="007E65A2">
      <w:pPr>
        <w:pStyle w:val="a3"/>
        <w:spacing w:before="0" w:beforeAutospacing="0" w:after="0" w:afterAutospacing="0"/>
        <w:jc w:val="both"/>
        <w:divId w:val="911279972"/>
        <w:rPr>
          <w:sz w:val="20"/>
          <w:szCs w:val="20"/>
        </w:rPr>
      </w:pPr>
      <w:r>
        <w:rPr>
          <w:sz w:val="20"/>
          <w:szCs w:val="20"/>
        </w:rPr>
        <w:t xml:space="preserve">Keri Williams is an experienced business owner and a successful product management executive. She began her career as </w:t>
      </w:r>
      <w:r>
        <w:rPr>
          <w:sz w:val="20"/>
          <w:szCs w:val="20"/>
        </w:rPr>
        <w:t>an Executive Assistant in the Cellular Phone Industry. In 2007, she was named Office Manager for Greenleaf Wholesale Florist in Fort Worth, Texas, where she handled all the daily accounts receivables, data entry and banking transactions. In 2011, Mrs. Will</w:t>
      </w:r>
      <w:r>
        <w:rPr>
          <w:sz w:val="20"/>
          <w:szCs w:val="20"/>
        </w:rPr>
        <w:t>iams added Supply Management to her duties where she was responsible for both incoming &amp; outgoing inventory management. Mrs. Williams has over 20 years of experience in executive management.</w:t>
      </w:r>
    </w:p>
    <w:p w14:paraId="51E47A32" w14:textId="77777777" w:rsidR="00000000" w:rsidRDefault="007E65A2">
      <w:pPr>
        <w:pStyle w:val="a3"/>
        <w:spacing w:before="0" w:beforeAutospacing="0" w:after="0" w:afterAutospacing="0"/>
        <w:jc w:val="both"/>
        <w:divId w:val="911279972"/>
        <w:rPr>
          <w:sz w:val="20"/>
          <w:szCs w:val="20"/>
        </w:rPr>
      </w:pPr>
      <w:r>
        <w:rPr>
          <w:sz w:val="20"/>
          <w:szCs w:val="20"/>
        </w:rPr>
        <w:t> </w:t>
      </w:r>
    </w:p>
    <w:p w14:paraId="45309EB0" w14:textId="77777777" w:rsidR="00000000" w:rsidRDefault="007E65A2">
      <w:pPr>
        <w:pStyle w:val="a3"/>
        <w:spacing w:before="0" w:beforeAutospacing="0" w:after="0" w:afterAutospacing="0"/>
        <w:jc w:val="both"/>
        <w:divId w:val="911279972"/>
        <w:rPr>
          <w:sz w:val="20"/>
          <w:szCs w:val="20"/>
        </w:rPr>
      </w:pPr>
      <w:r>
        <w:rPr>
          <w:sz w:val="20"/>
          <w:szCs w:val="20"/>
        </w:rPr>
        <w:t>Our company believes that Mrs. Williams’ professional backgroun</w:t>
      </w:r>
      <w:r>
        <w:rPr>
          <w:sz w:val="20"/>
          <w:szCs w:val="20"/>
        </w:rPr>
        <w:t>d experience gives her the qualifications and skills necessary to serve as a director of our company.</w:t>
      </w:r>
    </w:p>
    <w:p w14:paraId="7544AD8F"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DC10726" w14:textId="77777777">
        <w:trPr>
          <w:divId w:val="911279972"/>
          <w:tblCellSpacing w:w="0" w:type="dxa"/>
        </w:trPr>
        <w:tc>
          <w:tcPr>
            <w:tcW w:w="0" w:type="auto"/>
            <w:vAlign w:val="center"/>
            <w:hideMark/>
          </w:tcPr>
          <w:p w14:paraId="66C34F2B" w14:textId="77777777" w:rsidR="00000000" w:rsidRDefault="007E65A2">
            <w:pPr>
              <w:rPr>
                <w:rFonts w:eastAsia="Times New Roman"/>
                <w:sz w:val="20"/>
                <w:szCs w:val="20"/>
              </w:rPr>
            </w:pPr>
            <w:r>
              <w:rPr>
                <w:rFonts w:eastAsia="Times New Roman"/>
                <w:sz w:val="20"/>
                <w:szCs w:val="20"/>
              </w:rPr>
              <w:t> </w:t>
            </w:r>
          </w:p>
        </w:tc>
      </w:tr>
      <w:tr w:rsidR="00000000" w14:paraId="1E2B70FE" w14:textId="77777777">
        <w:trPr>
          <w:divId w:val="911279972"/>
          <w:tblCellSpacing w:w="0" w:type="dxa"/>
        </w:trPr>
        <w:tc>
          <w:tcPr>
            <w:tcW w:w="0" w:type="auto"/>
            <w:tcBorders>
              <w:bottom w:val="single" w:sz="6" w:space="0" w:color="000000"/>
            </w:tcBorders>
            <w:vAlign w:val="center"/>
            <w:hideMark/>
          </w:tcPr>
          <w:p w14:paraId="213C378A" w14:textId="77777777" w:rsidR="00000000" w:rsidRDefault="007E65A2">
            <w:pPr>
              <w:jc w:val="center"/>
              <w:rPr>
                <w:rFonts w:eastAsia="Times New Roman"/>
                <w:sz w:val="20"/>
                <w:szCs w:val="20"/>
              </w:rPr>
            </w:pPr>
            <w:r>
              <w:rPr>
                <w:rFonts w:eastAsia="Times New Roman"/>
                <w:sz w:val="20"/>
                <w:szCs w:val="20"/>
              </w:rPr>
              <w:t>15</w:t>
            </w:r>
          </w:p>
        </w:tc>
      </w:tr>
      <w:tr w:rsidR="00000000" w14:paraId="5873F19E" w14:textId="77777777">
        <w:trPr>
          <w:divId w:val="911279972"/>
          <w:tblCellSpacing w:w="0" w:type="dxa"/>
        </w:trPr>
        <w:tc>
          <w:tcPr>
            <w:tcW w:w="0" w:type="auto"/>
            <w:vAlign w:val="center"/>
            <w:hideMark/>
          </w:tcPr>
          <w:p w14:paraId="039A7B2C" w14:textId="77777777" w:rsidR="00000000" w:rsidRDefault="007E65A2">
            <w:pPr>
              <w:rPr>
                <w:rFonts w:eastAsia="Times New Roman"/>
                <w:sz w:val="20"/>
                <w:szCs w:val="20"/>
              </w:rPr>
            </w:pPr>
            <w:r>
              <w:rPr>
                <w:rFonts w:eastAsia="Times New Roman"/>
                <w:sz w:val="20"/>
                <w:szCs w:val="20"/>
              </w:rPr>
              <w:t> </w:t>
            </w:r>
          </w:p>
        </w:tc>
      </w:tr>
      <w:tr w:rsidR="00000000" w14:paraId="4062826D" w14:textId="77777777">
        <w:trPr>
          <w:divId w:val="911279972"/>
          <w:tblCellSpacing w:w="0" w:type="dxa"/>
        </w:trPr>
        <w:tc>
          <w:tcPr>
            <w:tcW w:w="0" w:type="auto"/>
            <w:vAlign w:val="center"/>
            <w:hideMark/>
          </w:tcPr>
          <w:p w14:paraId="730921CC"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1E32580E" w14:textId="77777777" w:rsidR="00000000" w:rsidRDefault="007E65A2">
      <w:pPr>
        <w:pStyle w:val="a3"/>
        <w:spacing w:before="0" w:beforeAutospacing="0" w:after="0" w:afterAutospacing="0"/>
        <w:jc w:val="both"/>
        <w:divId w:val="911279972"/>
        <w:rPr>
          <w:sz w:val="20"/>
          <w:szCs w:val="20"/>
        </w:rPr>
      </w:pPr>
      <w:r>
        <w:rPr>
          <w:sz w:val="20"/>
          <w:szCs w:val="20"/>
        </w:rPr>
        <w:t> </w:t>
      </w:r>
    </w:p>
    <w:p w14:paraId="0C68DD5E" w14:textId="77777777" w:rsidR="00000000" w:rsidRDefault="007E65A2">
      <w:pPr>
        <w:pStyle w:val="a3"/>
        <w:spacing w:before="0" w:beforeAutospacing="0" w:after="0" w:afterAutospacing="0"/>
        <w:jc w:val="both"/>
        <w:divId w:val="911279972"/>
        <w:rPr>
          <w:sz w:val="20"/>
          <w:szCs w:val="20"/>
        </w:rPr>
      </w:pPr>
      <w:r>
        <w:rPr>
          <w:b/>
          <w:bCs/>
          <w:i/>
          <w:iCs/>
          <w:sz w:val="20"/>
          <w:szCs w:val="20"/>
        </w:rPr>
        <w:t>Devin Beavers - Director</w:t>
      </w:r>
    </w:p>
    <w:p w14:paraId="2E010F2E" w14:textId="77777777" w:rsidR="00000000" w:rsidRDefault="007E65A2">
      <w:pPr>
        <w:pStyle w:val="a3"/>
        <w:spacing w:before="0" w:beforeAutospacing="0" w:after="0" w:afterAutospacing="0"/>
        <w:jc w:val="both"/>
        <w:divId w:val="911279972"/>
        <w:rPr>
          <w:sz w:val="20"/>
          <w:szCs w:val="20"/>
        </w:rPr>
      </w:pPr>
      <w:r>
        <w:rPr>
          <w:sz w:val="20"/>
          <w:szCs w:val="20"/>
        </w:rPr>
        <w:t> </w:t>
      </w:r>
    </w:p>
    <w:p w14:paraId="79B01BBE" w14:textId="77777777" w:rsidR="00000000" w:rsidRDefault="007E65A2">
      <w:pPr>
        <w:pStyle w:val="a3"/>
        <w:spacing w:before="0" w:beforeAutospacing="0" w:after="0" w:afterAutospacing="0"/>
        <w:jc w:val="both"/>
        <w:divId w:val="911279972"/>
        <w:rPr>
          <w:sz w:val="20"/>
          <w:szCs w:val="20"/>
        </w:rPr>
      </w:pPr>
      <w:r>
        <w:rPr>
          <w:sz w:val="20"/>
          <w:szCs w:val="20"/>
        </w:rPr>
        <w:t>Mr. Beavers was elected to our board of directors on February 16, 2016 and was also appointed interim executive officer and interim chief financial officer. Mr. Beavers resigned as interim executive officer and interim chief financial officer on March 7, 2</w:t>
      </w:r>
      <w:r>
        <w:rPr>
          <w:sz w:val="20"/>
          <w:szCs w:val="20"/>
        </w:rPr>
        <w:t>016.</w:t>
      </w:r>
    </w:p>
    <w:p w14:paraId="74254587" w14:textId="77777777" w:rsidR="00000000" w:rsidRDefault="007E65A2">
      <w:pPr>
        <w:pStyle w:val="a3"/>
        <w:spacing w:before="0" w:beforeAutospacing="0" w:after="0" w:afterAutospacing="0"/>
        <w:jc w:val="both"/>
        <w:divId w:val="911279972"/>
        <w:rPr>
          <w:sz w:val="20"/>
          <w:szCs w:val="20"/>
        </w:rPr>
      </w:pPr>
      <w:r>
        <w:rPr>
          <w:sz w:val="20"/>
          <w:szCs w:val="20"/>
        </w:rPr>
        <w:t> </w:t>
      </w:r>
    </w:p>
    <w:p w14:paraId="54E92F79" w14:textId="77777777" w:rsidR="00000000" w:rsidRDefault="007E65A2">
      <w:pPr>
        <w:pStyle w:val="a3"/>
        <w:spacing w:before="0" w:beforeAutospacing="0" w:after="0" w:afterAutospacing="0"/>
        <w:jc w:val="both"/>
        <w:divId w:val="911279972"/>
        <w:rPr>
          <w:sz w:val="20"/>
          <w:szCs w:val="20"/>
        </w:rPr>
      </w:pPr>
      <w:r>
        <w:rPr>
          <w:sz w:val="20"/>
          <w:szCs w:val="20"/>
        </w:rPr>
        <w:t>Devin F Beavers is an accomplished consultant in business development. After attending Tarleton State University, Mr. Beavers acquired most of his business experience at Ben E Keith Beverages in Ft. Worth Texas. He brings to our company more than 25</w:t>
      </w:r>
      <w:r>
        <w:rPr>
          <w:sz w:val="20"/>
          <w:szCs w:val="20"/>
        </w:rPr>
        <w:t xml:space="preserve"> years of experience in strategic planning, effective communication and negotiation skills. As a senior level manager, Mr. Beavers led BEK Beverages providing superior leadership during critical transition phases. His responsibilities included implementing</w:t>
      </w:r>
      <w:r>
        <w:rPr>
          <w:sz w:val="20"/>
          <w:szCs w:val="20"/>
        </w:rPr>
        <w:t xml:space="preserve"> budget reductions, writing business plans, and positively facilitating a work environment of consistent growth and increased productivity.</w:t>
      </w:r>
    </w:p>
    <w:p w14:paraId="10CF104C" w14:textId="77777777" w:rsidR="00000000" w:rsidRDefault="007E65A2">
      <w:pPr>
        <w:pStyle w:val="a3"/>
        <w:spacing w:before="0" w:beforeAutospacing="0" w:after="0" w:afterAutospacing="0"/>
        <w:jc w:val="both"/>
        <w:divId w:val="911279972"/>
        <w:rPr>
          <w:sz w:val="20"/>
          <w:szCs w:val="20"/>
        </w:rPr>
      </w:pPr>
      <w:r>
        <w:rPr>
          <w:sz w:val="20"/>
          <w:szCs w:val="20"/>
        </w:rPr>
        <w:t> </w:t>
      </w:r>
    </w:p>
    <w:p w14:paraId="72B0F731" w14:textId="77777777" w:rsidR="00000000" w:rsidRDefault="007E65A2">
      <w:pPr>
        <w:pStyle w:val="a3"/>
        <w:spacing w:before="0" w:beforeAutospacing="0" w:after="0" w:afterAutospacing="0"/>
        <w:jc w:val="both"/>
        <w:divId w:val="911279972"/>
        <w:rPr>
          <w:sz w:val="20"/>
          <w:szCs w:val="20"/>
        </w:rPr>
      </w:pPr>
      <w:r>
        <w:rPr>
          <w:sz w:val="20"/>
          <w:szCs w:val="20"/>
        </w:rPr>
        <w:t xml:space="preserve">Our company believes that Mr. Beavers’ professional background experience gives him the qualifications and skills </w:t>
      </w:r>
      <w:r>
        <w:rPr>
          <w:sz w:val="20"/>
          <w:szCs w:val="20"/>
        </w:rPr>
        <w:t>necessary to serve as a director of our company.</w:t>
      </w:r>
    </w:p>
    <w:p w14:paraId="0A080CDD" w14:textId="77777777" w:rsidR="00000000" w:rsidRDefault="007E65A2">
      <w:pPr>
        <w:pStyle w:val="a3"/>
        <w:spacing w:before="0" w:beforeAutospacing="0" w:after="0" w:afterAutospacing="0"/>
        <w:jc w:val="both"/>
        <w:divId w:val="911279972"/>
        <w:rPr>
          <w:sz w:val="20"/>
          <w:szCs w:val="20"/>
        </w:rPr>
      </w:pPr>
      <w:r>
        <w:rPr>
          <w:sz w:val="20"/>
          <w:szCs w:val="20"/>
        </w:rPr>
        <w:t> </w:t>
      </w:r>
    </w:p>
    <w:p w14:paraId="71E229B6" w14:textId="77777777" w:rsidR="00000000" w:rsidRDefault="007E65A2">
      <w:pPr>
        <w:pStyle w:val="a3"/>
        <w:spacing w:before="0" w:beforeAutospacing="0" w:after="0" w:afterAutospacing="0"/>
        <w:jc w:val="both"/>
        <w:divId w:val="911279972"/>
        <w:rPr>
          <w:sz w:val="20"/>
          <w:szCs w:val="20"/>
        </w:rPr>
      </w:pPr>
      <w:r>
        <w:rPr>
          <w:b/>
          <w:bCs/>
          <w:sz w:val="20"/>
          <w:szCs w:val="20"/>
        </w:rPr>
        <w:t>Employment Agreements</w:t>
      </w:r>
    </w:p>
    <w:p w14:paraId="0C672A80" w14:textId="77777777" w:rsidR="00000000" w:rsidRDefault="007E65A2">
      <w:pPr>
        <w:pStyle w:val="a3"/>
        <w:spacing w:before="0" w:beforeAutospacing="0" w:after="0" w:afterAutospacing="0"/>
        <w:jc w:val="both"/>
        <w:divId w:val="911279972"/>
        <w:rPr>
          <w:sz w:val="20"/>
          <w:szCs w:val="20"/>
        </w:rPr>
      </w:pPr>
      <w:r>
        <w:rPr>
          <w:sz w:val="20"/>
          <w:szCs w:val="20"/>
        </w:rPr>
        <w:t> </w:t>
      </w:r>
    </w:p>
    <w:p w14:paraId="6CD61BE2" w14:textId="77777777" w:rsidR="00000000" w:rsidRDefault="007E65A2">
      <w:pPr>
        <w:pStyle w:val="a3"/>
        <w:spacing w:before="0" w:beforeAutospacing="0" w:after="0" w:afterAutospacing="0"/>
        <w:jc w:val="both"/>
        <w:divId w:val="911279972"/>
        <w:rPr>
          <w:sz w:val="20"/>
          <w:szCs w:val="20"/>
        </w:rPr>
      </w:pPr>
      <w:r>
        <w:rPr>
          <w:sz w:val="20"/>
          <w:szCs w:val="20"/>
        </w:rPr>
        <w:t>We have no formal employment agreements with any of our directors or officers.</w:t>
      </w:r>
    </w:p>
    <w:p w14:paraId="6CF88D75" w14:textId="77777777" w:rsidR="00000000" w:rsidRDefault="007E65A2">
      <w:pPr>
        <w:pStyle w:val="a3"/>
        <w:spacing w:before="0" w:beforeAutospacing="0" w:after="0" w:afterAutospacing="0"/>
        <w:jc w:val="both"/>
        <w:divId w:val="911279972"/>
        <w:rPr>
          <w:sz w:val="20"/>
          <w:szCs w:val="20"/>
        </w:rPr>
      </w:pPr>
      <w:r>
        <w:rPr>
          <w:sz w:val="20"/>
          <w:szCs w:val="20"/>
        </w:rPr>
        <w:t> </w:t>
      </w:r>
    </w:p>
    <w:p w14:paraId="1657B220" w14:textId="77777777" w:rsidR="00000000" w:rsidRDefault="007E65A2">
      <w:pPr>
        <w:pStyle w:val="a3"/>
        <w:spacing w:before="0" w:beforeAutospacing="0" w:after="0" w:afterAutospacing="0"/>
        <w:jc w:val="both"/>
        <w:divId w:val="911279972"/>
        <w:rPr>
          <w:sz w:val="20"/>
          <w:szCs w:val="20"/>
        </w:rPr>
      </w:pPr>
      <w:r>
        <w:rPr>
          <w:b/>
          <w:bCs/>
          <w:sz w:val="20"/>
          <w:szCs w:val="20"/>
        </w:rPr>
        <w:t>Family Relationships</w:t>
      </w:r>
    </w:p>
    <w:p w14:paraId="3D592967" w14:textId="77777777" w:rsidR="00000000" w:rsidRDefault="007E65A2">
      <w:pPr>
        <w:pStyle w:val="a3"/>
        <w:spacing w:before="0" w:beforeAutospacing="0" w:after="0" w:afterAutospacing="0"/>
        <w:jc w:val="both"/>
        <w:divId w:val="911279972"/>
        <w:rPr>
          <w:sz w:val="20"/>
          <w:szCs w:val="20"/>
        </w:rPr>
      </w:pPr>
      <w:r>
        <w:rPr>
          <w:sz w:val="20"/>
          <w:szCs w:val="20"/>
        </w:rPr>
        <w:t> </w:t>
      </w:r>
    </w:p>
    <w:p w14:paraId="20961B9A" w14:textId="77777777" w:rsidR="00000000" w:rsidRDefault="007E65A2">
      <w:pPr>
        <w:pStyle w:val="a3"/>
        <w:spacing w:before="0" w:beforeAutospacing="0" w:after="0" w:afterAutospacing="0"/>
        <w:jc w:val="both"/>
        <w:divId w:val="911279972"/>
        <w:rPr>
          <w:sz w:val="20"/>
          <w:szCs w:val="20"/>
        </w:rPr>
      </w:pPr>
      <w:r>
        <w:rPr>
          <w:sz w:val="20"/>
          <w:szCs w:val="20"/>
        </w:rPr>
        <w:t>There are no family relationships between any of our directors, executive off</w:t>
      </w:r>
      <w:r>
        <w:rPr>
          <w:sz w:val="20"/>
          <w:szCs w:val="20"/>
        </w:rPr>
        <w:t>icers and proposed directors or executive officers.</w:t>
      </w:r>
    </w:p>
    <w:p w14:paraId="39ADABDA" w14:textId="77777777" w:rsidR="00000000" w:rsidRDefault="007E65A2">
      <w:pPr>
        <w:pStyle w:val="a3"/>
        <w:spacing w:before="0" w:beforeAutospacing="0" w:after="0" w:afterAutospacing="0"/>
        <w:jc w:val="both"/>
        <w:divId w:val="911279972"/>
        <w:rPr>
          <w:sz w:val="20"/>
          <w:szCs w:val="20"/>
        </w:rPr>
      </w:pPr>
      <w:r>
        <w:rPr>
          <w:sz w:val="20"/>
          <w:szCs w:val="20"/>
        </w:rPr>
        <w:t> </w:t>
      </w:r>
    </w:p>
    <w:p w14:paraId="56A699EB" w14:textId="77777777" w:rsidR="00000000" w:rsidRDefault="007E65A2">
      <w:pPr>
        <w:pStyle w:val="a3"/>
        <w:spacing w:before="0" w:beforeAutospacing="0" w:after="0" w:afterAutospacing="0"/>
        <w:jc w:val="both"/>
        <w:divId w:val="911279972"/>
        <w:rPr>
          <w:sz w:val="20"/>
          <w:szCs w:val="20"/>
        </w:rPr>
      </w:pPr>
      <w:r>
        <w:rPr>
          <w:b/>
          <w:bCs/>
          <w:sz w:val="20"/>
          <w:szCs w:val="20"/>
        </w:rPr>
        <w:t>Involvement in Certain Legal Proceedings</w:t>
      </w:r>
    </w:p>
    <w:p w14:paraId="506BB066" w14:textId="77777777" w:rsidR="00000000" w:rsidRDefault="007E65A2">
      <w:pPr>
        <w:pStyle w:val="a3"/>
        <w:spacing w:before="0" w:beforeAutospacing="0" w:after="0" w:afterAutospacing="0"/>
        <w:jc w:val="both"/>
        <w:divId w:val="911279972"/>
        <w:rPr>
          <w:sz w:val="20"/>
          <w:szCs w:val="20"/>
        </w:rPr>
      </w:pPr>
      <w:r>
        <w:rPr>
          <w:sz w:val="20"/>
          <w:szCs w:val="20"/>
        </w:rPr>
        <w:t> </w:t>
      </w:r>
    </w:p>
    <w:p w14:paraId="4E5B25B3" w14:textId="77777777" w:rsidR="00000000" w:rsidRDefault="007E65A2">
      <w:pPr>
        <w:pStyle w:val="a3"/>
        <w:spacing w:before="0" w:beforeAutospacing="0" w:after="0" w:afterAutospacing="0"/>
        <w:jc w:val="both"/>
        <w:divId w:val="911279972"/>
        <w:rPr>
          <w:sz w:val="20"/>
          <w:szCs w:val="20"/>
        </w:rPr>
      </w:pPr>
      <w:r>
        <w:rPr>
          <w:sz w:val="20"/>
          <w:szCs w:val="20"/>
        </w:rPr>
        <w:t>To the best of our knowledge, none of our directors or executive officers has, during the past ten years:</w:t>
      </w:r>
    </w:p>
    <w:p w14:paraId="19C22C68"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7974"/>
      </w:tblGrid>
      <w:tr w:rsidR="00000000" w14:paraId="041C0847" w14:textId="77777777">
        <w:trPr>
          <w:divId w:val="911279972"/>
          <w:tblCellSpacing w:w="0" w:type="dxa"/>
        </w:trPr>
        <w:tc>
          <w:tcPr>
            <w:tcW w:w="200" w:type="pct"/>
            <w:hideMark/>
          </w:tcPr>
          <w:p w14:paraId="492E463B" w14:textId="77777777" w:rsidR="00000000" w:rsidRDefault="007E65A2">
            <w:pPr>
              <w:jc w:val="both"/>
              <w:rPr>
                <w:rFonts w:eastAsia="Times New Roman"/>
                <w:sz w:val="20"/>
                <w:szCs w:val="20"/>
              </w:rPr>
            </w:pPr>
            <w:r>
              <w:rPr>
                <w:rFonts w:eastAsia="Times New Roman"/>
                <w:sz w:val="20"/>
                <w:szCs w:val="20"/>
              </w:rPr>
              <w:t>1.</w:t>
            </w:r>
          </w:p>
        </w:tc>
        <w:tc>
          <w:tcPr>
            <w:tcW w:w="0" w:type="auto"/>
            <w:hideMark/>
          </w:tcPr>
          <w:p w14:paraId="0F4924F8" w14:textId="77777777" w:rsidR="00000000" w:rsidRDefault="007E65A2">
            <w:pPr>
              <w:jc w:val="both"/>
              <w:rPr>
                <w:rFonts w:eastAsia="Times New Roman"/>
                <w:sz w:val="20"/>
                <w:szCs w:val="20"/>
              </w:rPr>
            </w:pPr>
            <w:r>
              <w:rPr>
                <w:rFonts w:eastAsia="Times New Roman"/>
                <w:sz w:val="20"/>
                <w:szCs w:val="20"/>
              </w:rPr>
              <w:t xml:space="preserve">been convicted in a criminal proceeding or been </w:t>
            </w:r>
            <w:r>
              <w:rPr>
                <w:rFonts w:eastAsia="Times New Roman"/>
                <w:sz w:val="20"/>
                <w:szCs w:val="20"/>
              </w:rPr>
              <w:t>subject to a pending criminal proceeding (excluding traffic violations and other minor offences);</w:t>
            </w:r>
          </w:p>
        </w:tc>
      </w:tr>
      <w:tr w:rsidR="00000000" w14:paraId="1A1BF0E4" w14:textId="77777777">
        <w:trPr>
          <w:divId w:val="911279972"/>
          <w:tblCellSpacing w:w="0" w:type="dxa"/>
        </w:trPr>
        <w:tc>
          <w:tcPr>
            <w:tcW w:w="0" w:type="auto"/>
            <w:vAlign w:val="center"/>
            <w:hideMark/>
          </w:tcPr>
          <w:p w14:paraId="42763886"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4C635761" w14:textId="77777777" w:rsidR="00000000" w:rsidRDefault="007E65A2">
            <w:pPr>
              <w:pStyle w:val="a3"/>
              <w:spacing w:before="0" w:beforeAutospacing="0" w:after="0" w:afterAutospacing="0"/>
              <w:jc w:val="both"/>
              <w:rPr>
                <w:sz w:val="20"/>
                <w:szCs w:val="20"/>
              </w:rPr>
            </w:pPr>
            <w:r>
              <w:rPr>
                <w:sz w:val="20"/>
                <w:szCs w:val="20"/>
              </w:rPr>
              <w:t> </w:t>
            </w:r>
          </w:p>
        </w:tc>
      </w:tr>
      <w:tr w:rsidR="00000000" w14:paraId="4D3DAE4E" w14:textId="77777777">
        <w:trPr>
          <w:divId w:val="911279972"/>
          <w:tblCellSpacing w:w="0" w:type="dxa"/>
        </w:trPr>
        <w:tc>
          <w:tcPr>
            <w:tcW w:w="0" w:type="auto"/>
            <w:hideMark/>
          </w:tcPr>
          <w:p w14:paraId="3CF52DB3" w14:textId="77777777" w:rsidR="00000000" w:rsidRDefault="007E65A2">
            <w:pPr>
              <w:jc w:val="both"/>
              <w:rPr>
                <w:rFonts w:eastAsia="Times New Roman"/>
                <w:sz w:val="20"/>
                <w:szCs w:val="20"/>
              </w:rPr>
            </w:pPr>
            <w:r>
              <w:rPr>
                <w:rFonts w:eastAsia="Times New Roman"/>
                <w:sz w:val="20"/>
                <w:szCs w:val="20"/>
              </w:rPr>
              <w:t>2.</w:t>
            </w:r>
          </w:p>
        </w:tc>
        <w:tc>
          <w:tcPr>
            <w:tcW w:w="0" w:type="auto"/>
            <w:hideMark/>
          </w:tcPr>
          <w:p w14:paraId="24E701D2" w14:textId="77777777" w:rsidR="00000000" w:rsidRDefault="007E65A2">
            <w:pPr>
              <w:jc w:val="both"/>
              <w:rPr>
                <w:rFonts w:eastAsia="Times New Roman"/>
                <w:sz w:val="20"/>
                <w:szCs w:val="20"/>
              </w:rPr>
            </w:pPr>
            <w:r>
              <w:rPr>
                <w:rFonts w:eastAsia="Times New Roman"/>
                <w:sz w:val="20"/>
                <w:szCs w:val="20"/>
              </w:rPr>
              <w:t>had any bankruptcy petition filed by or against the business or property of the person, or of any partnership, corporation or business association of which he was a general partner or executive officer, either at the time of the bankruptcy filing or within</w:t>
            </w:r>
            <w:r>
              <w:rPr>
                <w:rFonts w:eastAsia="Times New Roman"/>
                <w:sz w:val="20"/>
                <w:szCs w:val="20"/>
              </w:rPr>
              <w:t xml:space="preserve"> two years prior to that time;</w:t>
            </w:r>
          </w:p>
        </w:tc>
      </w:tr>
      <w:tr w:rsidR="00000000" w14:paraId="491EFD04" w14:textId="77777777">
        <w:trPr>
          <w:divId w:val="911279972"/>
          <w:tblCellSpacing w:w="0" w:type="dxa"/>
        </w:trPr>
        <w:tc>
          <w:tcPr>
            <w:tcW w:w="0" w:type="auto"/>
            <w:vAlign w:val="center"/>
            <w:hideMark/>
          </w:tcPr>
          <w:p w14:paraId="5254B815"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1726DDFD" w14:textId="77777777" w:rsidR="00000000" w:rsidRDefault="007E65A2">
            <w:pPr>
              <w:pStyle w:val="a3"/>
              <w:spacing w:before="0" w:beforeAutospacing="0" w:after="0" w:afterAutospacing="0"/>
              <w:jc w:val="both"/>
              <w:rPr>
                <w:sz w:val="20"/>
                <w:szCs w:val="20"/>
              </w:rPr>
            </w:pPr>
            <w:r>
              <w:rPr>
                <w:sz w:val="20"/>
                <w:szCs w:val="20"/>
              </w:rPr>
              <w:t> </w:t>
            </w:r>
          </w:p>
        </w:tc>
      </w:tr>
      <w:tr w:rsidR="00000000" w14:paraId="5364B0C5" w14:textId="77777777">
        <w:trPr>
          <w:divId w:val="911279972"/>
          <w:tblCellSpacing w:w="0" w:type="dxa"/>
        </w:trPr>
        <w:tc>
          <w:tcPr>
            <w:tcW w:w="0" w:type="auto"/>
            <w:hideMark/>
          </w:tcPr>
          <w:p w14:paraId="44DD4E95" w14:textId="77777777" w:rsidR="00000000" w:rsidRDefault="007E65A2">
            <w:pPr>
              <w:jc w:val="both"/>
              <w:rPr>
                <w:rFonts w:eastAsia="Times New Roman"/>
                <w:sz w:val="20"/>
                <w:szCs w:val="20"/>
              </w:rPr>
            </w:pPr>
            <w:r>
              <w:rPr>
                <w:rFonts w:eastAsia="Times New Roman"/>
                <w:sz w:val="20"/>
                <w:szCs w:val="20"/>
              </w:rPr>
              <w:t>3.</w:t>
            </w:r>
          </w:p>
        </w:tc>
        <w:tc>
          <w:tcPr>
            <w:tcW w:w="0" w:type="auto"/>
            <w:hideMark/>
          </w:tcPr>
          <w:p w14:paraId="791C7295" w14:textId="77777777" w:rsidR="00000000" w:rsidRDefault="007E65A2">
            <w:pPr>
              <w:jc w:val="both"/>
              <w:rPr>
                <w:rFonts w:eastAsia="Times New Roman"/>
                <w:sz w:val="20"/>
                <w:szCs w:val="20"/>
              </w:rPr>
            </w:pPr>
            <w:r>
              <w:rPr>
                <w:rFonts w:eastAsia="Times New Roman"/>
                <w:sz w:val="20"/>
                <w:szCs w:val="20"/>
              </w:rPr>
              <w:t>been subject to any order, judgment, or decree, not subsequently reversed, suspended or vacated, of any court of competent jurisdiction or federal or state authority, permanently or temporarily enjoining, barring, su</w:t>
            </w:r>
            <w:r>
              <w:rPr>
                <w:rFonts w:eastAsia="Times New Roman"/>
                <w:sz w:val="20"/>
                <w:szCs w:val="20"/>
              </w:rPr>
              <w:t>spending or otherwise limiting, his involvement in any type of business, securities, futures, commodities, investment, banking, savings and loan, or insurance activities, or to be associated with persons engaged in any such activity;</w:t>
            </w:r>
          </w:p>
        </w:tc>
      </w:tr>
      <w:tr w:rsidR="00000000" w14:paraId="0F7E7A58" w14:textId="77777777">
        <w:trPr>
          <w:divId w:val="911279972"/>
          <w:tblCellSpacing w:w="0" w:type="dxa"/>
        </w:trPr>
        <w:tc>
          <w:tcPr>
            <w:tcW w:w="0" w:type="auto"/>
            <w:vAlign w:val="center"/>
            <w:hideMark/>
          </w:tcPr>
          <w:p w14:paraId="58DE4C1B"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631AA024" w14:textId="77777777" w:rsidR="00000000" w:rsidRDefault="007E65A2">
            <w:pPr>
              <w:pStyle w:val="a3"/>
              <w:spacing w:before="0" w:beforeAutospacing="0" w:after="0" w:afterAutospacing="0"/>
              <w:jc w:val="both"/>
              <w:rPr>
                <w:sz w:val="20"/>
                <w:szCs w:val="20"/>
              </w:rPr>
            </w:pPr>
            <w:r>
              <w:rPr>
                <w:sz w:val="20"/>
                <w:szCs w:val="20"/>
              </w:rPr>
              <w:t> </w:t>
            </w:r>
          </w:p>
        </w:tc>
      </w:tr>
      <w:tr w:rsidR="00000000" w14:paraId="54985867" w14:textId="77777777">
        <w:trPr>
          <w:divId w:val="911279972"/>
          <w:tblCellSpacing w:w="0" w:type="dxa"/>
        </w:trPr>
        <w:tc>
          <w:tcPr>
            <w:tcW w:w="0" w:type="auto"/>
            <w:hideMark/>
          </w:tcPr>
          <w:p w14:paraId="02283FB7" w14:textId="77777777" w:rsidR="00000000" w:rsidRDefault="007E65A2">
            <w:pPr>
              <w:jc w:val="both"/>
              <w:rPr>
                <w:rFonts w:eastAsia="Times New Roman"/>
                <w:sz w:val="20"/>
                <w:szCs w:val="20"/>
              </w:rPr>
            </w:pPr>
            <w:r>
              <w:rPr>
                <w:rFonts w:eastAsia="Times New Roman"/>
                <w:sz w:val="20"/>
                <w:szCs w:val="20"/>
              </w:rPr>
              <w:t>4.</w:t>
            </w:r>
          </w:p>
        </w:tc>
        <w:tc>
          <w:tcPr>
            <w:tcW w:w="0" w:type="auto"/>
            <w:hideMark/>
          </w:tcPr>
          <w:p w14:paraId="5D20F65E" w14:textId="77777777" w:rsidR="00000000" w:rsidRDefault="007E65A2">
            <w:pPr>
              <w:jc w:val="both"/>
              <w:rPr>
                <w:rFonts w:eastAsia="Times New Roman"/>
                <w:sz w:val="20"/>
                <w:szCs w:val="20"/>
              </w:rPr>
            </w:pPr>
            <w:r>
              <w:rPr>
                <w:rFonts w:eastAsia="Times New Roman"/>
                <w:sz w:val="20"/>
                <w:szCs w:val="20"/>
              </w:rPr>
              <w:t>been found by</w:t>
            </w:r>
            <w:r>
              <w:rPr>
                <w:rFonts w:eastAsia="Times New Roman"/>
                <w:sz w:val="20"/>
                <w:szCs w:val="20"/>
              </w:rPr>
              <w:t xml:space="preserve"> a court of competent jurisdiction in a civil action or by the SEC or the Commodity Futures Trading Commission to have violated a federal or state securities or commodities law, and the judgment has not been reversed, suspended, or vacated;</w:t>
            </w:r>
          </w:p>
        </w:tc>
      </w:tr>
      <w:tr w:rsidR="00000000" w14:paraId="267BF23D" w14:textId="77777777">
        <w:trPr>
          <w:divId w:val="911279972"/>
          <w:tblCellSpacing w:w="0" w:type="dxa"/>
        </w:trPr>
        <w:tc>
          <w:tcPr>
            <w:tcW w:w="0" w:type="auto"/>
            <w:vAlign w:val="center"/>
            <w:hideMark/>
          </w:tcPr>
          <w:p w14:paraId="7384599B"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376E889E" w14:textId="77777777" w:rsidR="00000000" w:rsidRDefault="007E65A2">
            <w:pPr>
              <w:pStyle w:val="a3"/>
              <w:spacing w:before="0" w:beforeAutospacing="0" w:after="0" w:afterAutospacing="0"/>
              <w:jc w:val="both"/>
              <w:rPr>
                <w:sz w:val="20"/>
                <w:szCs w:val="20"/>
              </w:rPr>
            </w:pPr>
            <w:r>
              <w:rPr>
                <w:sz w:val="20"/>
                <w:szCs w:val="20"/>
              </w:rPr>
              <w:t> </w:t>
            </w:r>
          </w:p>
        </w:tc>
      </w:tr>
      <w:tr w:rsidR="00000000" w14:paraId="78B417F9" w14:textId="77777777">
        <w:trPr>
          <w:divId w:val="911279972"/>
          <w:tblCellSpacing w:w="0" w:type="dxa"/>
        </w:trPr>
        <w:tc>
          <w:tcPr>
            <w:tcW w:w="0" w:type="auto"/>
            <w:hideMark/>
          </w:tcPr>
          <w:p w14:paraId="7C08C3A8" w14:textId="77777777" w:rsidR="00000000" w:rsidRDefault="007E65A2">
            <w:pPr>
              <w:jc w:val="both"/>
              <w:rPr>
                <w:rFonts w:eastAsia="Times New Roman"/>
                <w:sz w:val="20"/>
                <w:szCs w:val="20"/>
              </w:rPr>
            </w:pPr>
            <w:r>
              <w:rPr>
                <w:rFonts w:eastAsia="Times New Roman"/>
                <w:sz w:val="20"/>
                <w:szCs w:val="20"/>
              </w:rPr>
              <w:t>5.</w:t>
            </w:r>
          </w:p>
        </w:tc>
        <w:tc>
          <w:tcPr>
            <w:tcW w:w="0" w:type="auto"/>
            <w:hideMark/>
          </w:tcPr>
          <w:p w14:paraId="7746F864" w14:textId="77777777" w:rsidR="00000000" w:rsidRDefault="007E65A2">
            <w:pPr>
              <w:jc w:val="both"/>
              <w:rPr>
                <w:rFonts w:eastAsia="Times New Roman"/>
                <w:sz w:val="20"/>
                <w:szCs w:val="20"/>
              </w:rPr>
            </w:pPr>
            <w:r>
              <w:rPr>
                <w:rFonts w:eastAsia="Times New Roman"/>
                <w:sz w:val="20"/>
                <w:szCs w:val="20"/>
              </w:rPr>
              <w:t>been t</w:t>
            </w:r>
            <w:r>
              <w:rPr>
                <w:rFonts w:eastAsia="Times New Roman"/>
                <w:sz w:val="20"/>
                <w:szCs w:val="20"/>
              </w:rPr>
              <w:t xml:space="preserve">he subject of, or a party to, any federal or state judicial or administrative order, judgment, decree, or finding, not subsequently reversed, suspended or vacated (not including any settlement of a civil proceeding among private litigants), relating to an </w:t>
            </w:r>
            <w:r>
              <w:rPr>
                <w:rFonts w:eastAsia="Times New Roman"/>
                <w:sz w:val="20"/>
                <w:szCs w:val="20"/>
              </w:rPr>
              <w:t xml:space="preserve">alleged violation of any federal or state securities or commodities law or regulation, any law or regulation respecting financial institutions or insurance companies including, but not limited to, a temporary or permanent injunction, order of disgorgement </w:t>
            </w:r>
            <w:r>
              <w:rPr>
                <w:rFonts w:eastAsia="Times New Roman"/>
                <w:sz w:val="20"/>
                <w:szCs w:val="20"/>
              </w:rPr>
              <w:t>or restitution, civil money penalty or temporary or permanent cease-and-desist order, or removal or prohibition order, or any law or regulation prohibiting mail or wire fraud or fraud in connection with any business entity; or</w:t>
            </w:r>
          </w:p>
        </w:tc>
      </w:tr>
    </w:tbl>
    <w:p w14:paraId="3008B135"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3D39559" w14:textId="77777777">
        <w:trPr>
          <w:divId w:val="911279972"/>
          <w:tblCellSpacing w:w="0" w:type="dxa"/>
        </w:trPr>
        <w:tc>
          <w:tcPr>
            <w:tcW w:w="0" w:type="auto"/>
            <w:vAlign w:val="center"/>
            <w:hideMark/>
          </w:tcPr>
          <w:p w14:paraId="5882FA92" w14:textId="77777777" w:rsidR="00000000" w:rsidRDefault="007E65A2">
            <w:pPr>
              <w:rPr>
                <w:rFonts w:eastAsia="Times New Roman"/>
                <w:sz w:val="20"/>
                <w:szCs w:val="20"/>
              </w:rPr>
            </w:pPr>
            <w:r>
              <w:rPr>
                <w:rFonts w:eastAsia="Times New Roman"/>
                <w:sz w:val="20"/>
                <w:szCs w:val="20"/>
              </w:rPr>
              <w:t> </w:t>
            </w:r>
          </w:p>
        </w:tc>
      </w:tr>
      <w:tr w:rsidR="00000000" w14:paraId="63E4042D" w14:textId="77777777">
        <w:trPr>
          <w:divId w:val="911279972"/>
          <w:tblCellSpacing w:w="0" w:type="dxa"/>
        </w:trPr>
        <w:tc>
          <w:tcPr>
            <w:tcW w:w="0" w:type="auto"/>
            <w:tcBorders>
              <w:bottom w:val="single" w:sz="6" w:space="0" w:color="000000"/>
            </w:tcBorders>
            <w:vAlign w:val="center"/>
            <w:hideMark/>
          </w:tcPr>
          <w:p w14:paraId="571536CC" w14:textId="77777777" w:rsidR="00000000" w:rsidRDefault="007E65A2">
            <w:pPr>
              <w:jc w:val="center"/>
              <w:rPr>
                <w:rFonts w:eastAsia="Times New Roman"/>
                <w:sz w:val="20"/>
                <w:szCs w:val="20"/>
              </w:rPr>
            </w:pPr>
            <w:r>
              <w:rPr>
                <w:rFonts w:eastAsia="Times New Roman"/>
                <w:sz w:val="20"/>
                <w:szCs w:val="20"/>
              </w:rPr>
              <w:t>16</w:t>
            </w:r>
          </w:p>
        </w:tc>
      </w:tr>
      <w:tr w:rsidR="00000000" w14:paraId="1F57EA17" w14:textId="77777777">
        <w:trPr>
          <w:divId w:val="911279972"/>
          <w:tblCellSpacing w:w="0" w:type="dxa"/>
        </w:trPr>
        <w:tc>
          <w:tcPr>
            <w:tcW w:w="0" w:type="auto"/>
            <w:vAlign w:val="center"/>
            <w:hideMark/>
          </w:tcPr>
          <w:p w14:paraId="3D812AE8" w14:textId="77777777" w:rsidR="00000000" w:rsidRDefault="007E65A2">
            <w:pPr>
              <w:rPr>
                <w:rFonts w:eastAsia="Times New Roman"/>
                <w:sz w:val="20"/>
                <w:szCs w:val="20"/>
              </w:rPr>
            </w:pPr>
            <w:r>
              <w:rPr>
                <w:rFonts w:eastAsia="Times New Roman"/>
                <w:sz w:val="20"/>
                <w:szCs w:val="20"/>
              </w:rPr>
              <w:t> </w:t>
            </w:r>
          </w:p>
        </w:tc>
      </w:tr>
      <w:tr w:rsidR="00000000" w14:paraId="6F006BAB" w14:textId="77777777">
        <w:trPr>
          <w:divId w:val="911279972"/>
          <w:tblCellSpacing w:w="0" w:type="dxa"/>
        </w:trPr>
        <w:tc>
          <w:tcPr>
            <w:tcW w:w="0" w:type="auto"/>
            <w:vAlign w:val="center"/>
            <w:hideMark/>
          </w:tcPr>
          <w:p w14:paraId="0ABC25BD"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7E2F7F2C"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7974"/>
      </w:tblGrid>
      <w:tr w:rsidR="00000000" w14:paraId="25AD39A7" w14:textId="77777777">
        <w:trPr>
          <w:divId w:val="911279972"/>
          <w:tblCellSpacing w:w="0" w:type="dxa"/>
        </w:trPr>
        <w:tc>
          <w:tcPr>
            <w:tcW w:w="200" w:type="pct"/>
            <w:hideMark/>
          </w:tcPr>
          <w:p w14:paraId="7F2EA527" w14:textId="77777777" w:rsidR="00000000" w:rsidRDefault="007E65A2">
            <w:pPr>
              <w:jc w:val="both"/>
              <w:rPr>
                <w:rFonts w:eastAsia="Times New Roman"/>
                <w:sz w:val="20"/>
                <w:szCs w:val="20"/>
              </w:rPr>
            </w:pPr>
            <w:r>
              <w:rPr>
                <w:rFonts w:eastAsia="Times New Roman"/>
                <w:sz w:val="20"/>
                <w:szCs w:val="20"/>
              </w:rPr>
              <w:t>6.</w:t>
            </w:r>
          </w:p>
        </w:tc>
        <w:tc>
          <w:tcPr>
            <w:tcW w:w="0" w:type="auto"/>
            <w:hideMark/>
          </w:tcPr>
          <w:p w14:paraId="3B82D835" w14:textId="77777777" w:rsidR="00000000" w:rsidRDefault="007E65A2">
            <w:pPr>
              <w:jc w:val="both"/>
              <w:rPr>
                <w:rFonts w:eastAsia="Times New Roman"/>
                <w:sz w:val="20"/>
                <w:szCs w:val="20"/>
              </w:rPr>
            </w:pPr>
            <w:r>
              <w:rPr>
                <w:rFonts w:eastAsia="Times New Roman"/>
                <w:sz w:val="20"/>
                <w:szCs w:val="20"/>
              </w:rPr>
              <w:t>been the subject of, or a party to, any sanction or order, not subsequently reversed, suspended or vacated, of any self-regulatory organization (as defined in Section 3(a)(26) of the Exchange Act (15 U.S.C</w:t>
            </w:r>
            <w:r>
              <w:rPr>
                <w:rFonts w:eastAsia="Times New Roman"/>
                <w:sz w:val="20"/>
                <w:szCs w:val="20"/>
              </w:rPr>
              <w:t>. 78c(a)(26)), any registered entity (as defined in Section 1(a)(29) of the Commodity Exchange Act (7 U.S.C. 1(a)(29)), or any equivalent exchange, association, entity or organization that has disciplinary authority over its members or persons associated w</w:t>
            </w:r>
            <w:r>
              <w:rPr>
                <w:rFonts w:eastAsia="Times New Roman"/>
                <w:sz w:val="20"/>
                <w:szCs w:val="20"/>
              </w:rPr>
              <w:t>ith a member.</w:t>
            </w:r>
          </w:p>
        </w:tc>
      </w:tr>
    </w:tbl>
    <w:p w14:paraId="018991B1" w14:textId="77777777" w:rsidR="00000000" w:rsidRDefault="007E65A2">
      <w:pPr>
        <w:pStyle w:val="a3"/>
        <w:spacing w:before="0" w:beforeAutospacing="0" w:after="0" w:afterAutospacing="0"/>
        <w:jc w:val="both"/>
        <w:divId w:val="911279972"/>
        <w:rPr>
          <w:sz w:val="20"/>
          <w:szCs w:val="20"/>
        </w:rPr>
      </w:pPr>
      <w:r>
        <w:rPr>
          <w:sz w:val="20"/>
          <w:szCs w:val="20"/>
        </w:rPr>
        <w:t>  </w:t>
      </w:r>
    </w:p>
    <w:p w14:paraId="15A6D47F" w14:textId="77777777" w:rsidR="00000000" w:rsidRDefault="007E65A2">
      <w:pPr>
        <w:pStyle w:val="a3"/>
        <w:spacing w:before="0" w:beforeAutospacing="0" w:after="0" w:afterAutospacing="0"/>
        <w:jc w:val="both"/>
        <w:divId w:val="911279972"/>
        <w:rPr>
          <w:sz w:val="20"/>
          <w:szCs w:val="20"/>
        </w:rPr>
      </w:pPr>
      <w:r>
        <w:rPr>
          <w:b/>
          <w:bCs/>
          <w:sz w:val="20"/>
          <w:szCs w:val="20"/>
        </w:rPr>
        <w:t>Section 16(a) Beneficial Ownership Reporting Compliance</w:t>
      </w:r>
    </w:p>
    <w:p w14:paraId="3C32D186" w14:textId="77777777" w:rsidR="00000000" w:rsidRDefault="007E65A2">
      <w:pPr>
        <w:pStyle w:val="a3"/>
        <w:spacing w:before="0" w:beforeAutospacing="0" w:after="0" w:afterAutospacing="0"/>
        <w:jc w:val="both"/>
        <w:divId w:val="911279972"/>
        <w:rPr>
          <w:sz w:val="20"/>
          <w:szCs w:val="20"/>
        </w:rPr>
      </w:pPr>
      <w:r>
        <w:rPr>
          <w:sz w:val="20"/>
          <w:szCs w:val="20"/>
        </w:rPr>
        <w:t> </w:t>
      </w:r>
    </w:p>
    <w:p w14:paraId="049CC84E" w14:textId="77777777" w:rsidR="00000000" w:rsidRDefault="007E65A2">
      <w:pPr>
        <w:pStyle w:val="a3"/>
        <w:spacing w:before="0" w:beforeAutospacing="0" w:after="0" w:afterAutospacing="0"/>
        <w:jc w:val="both"/>
        <w:divId w:val="911279972"/>
        <w:rPr>
          <w:sz w:val="20"/>
          <w:szCs w:val="20"/>
        </w:rPr>
      </w:pPr>
      <w:r>
        <w:rPr>
          <w:sz w:val="20"/>
          <w:szCs w:val="20"/>
        </w:rPr>
        <w:t>Section 16(a) of the Securities Exchange Act of 1934, as amended, requires our executive officers and directors and persons who own more than 10% of a registered class of our equit</w:t>
      </w:r>
      <w:r>
        <w:rPr>
          <w:sz w:val="20"/>
          <w:szCs w:val="20"/>
        </w:rPr>
        <w:t>y securities to file with the SEC initial statements of beneficial ownership, reports of changes in ownership and annual reports concerning their ownership of our shares of common stock and other equity securities, on Forms 3, 4 and 5, respectively. Execut</w:t>
      </w:r>
      <w:r>
        <w:rPr>
          <w:sz w:val="20"/>
          <w:szCs w:val="20"/>
        </w:rPr>
        <w:t>ive officers, directors and greater than 10% shareholders are required by the SEC regulations to furnish us with copies of all Section 16(a) reports they file.</w:t>
      </w:r>
    </w:p>
    <w:p w14:paraId="0DBD0034" w14:textId="77777777" w:rsidR="00000000" w:rsidRDefault="007E65A2">
      <w:pPr>
        <w:pStyle w:val="a3"/>
        <w:spacing w:before="0" w:beforeAutospacing="0" w:after="0" w:afterAutospacing="0"/>
        <w:jc w:val="both"/>
        <w:divId w:val="911279972"/>
        <w:rPr>
          <w:sz w:val="20"/>
          <w:szCs w:val="20"/>
        </w:rPr>
      </w:pPr>
      <w:r>
        <w:rPr>
          <w:sz w:val="20"/>
          <w:szCs w:val="20"/>
        </w:rPr>
        <w:t> </w:t>
      </w:r>
    </w:p>
    <w:p w14:paraId="26BD7048" w14:textId="77777777" w:rsidR="00000000" w:rsidRDefault="007E65A2">
      <w:pPr>
        <w:pStyle w:val="a3"/>
        <w:spacing w:before="0" w:beforeAutospacing="0" w:after="0" w:afterAutospacing="0"/>
        <w:jc w:val="both"/>
        <w:divId w:val="911279972"/>
        <w:rPr>
          <w:sz w:val="20"/>
          <w:szCs w:val="20"/>
        </w:rPr>
      </w:pPr>
      <w:r>
        <w:rPr>
          <w:sz w:val="20"/>
          <w:szCs w:val="20"/>
        </w:rPr>
        <w:t>Based solely on our review of the copies of such forms received by our company, or written rep</w:t>
      </w:r>
      <w:r>
        <w:rPr>
          <w:sz w:val="20"/>
          <w:szCs w:val="20"/>
        </w:rPr>
        <w:t>resentations from certain reporting persons that no Form 5s were required for those persons, we believe that, during the fiscal year ended June 30, 2018, all filing requirements applicable to our officers, directors and greater than 10% beneficial owners a</w:t>
      </w:r>
      <w:r>
        <w:rPr>
          <w:sz w:val="20"/>
          <w:szCs w:val="20"/>
        </w:rPr>
        <w:t>s well as our officers, directors and greater than 10% beneficial owners of our subsidiaries were complied with.</w:t>
      </w:r>
    </w:p>
    <w:p w14:paraId="4C894622" w14:textId="77777777" w:rsidR="00000000" w:rsidRDefault="007E65A2">
      <w:pPr>
        <w:pStyle w:val="a3"/>
        <w:spacing w:before="0" w:beforeAutospacing="0" w:after="0" w:afterAutospacing="0"/>
        <w:jc w:val="both"/>
        <w:divId w:val="911279972"/>
        <w:rPr>
          <w:sz w:val="20"/>
          <w:szCs w:val="20"/>
        </w:rPr>
      </w:pPr>
      <w:r>
        <w:rPr>
          <w:sz w:val="20"/>
          <w:szCs w:val="20"/>
        </w:rPr>
        <w:t> </w:t>
      </w:r>
    </w:p>
    <w:p w14:paraId="4954673C" w14:textId="77777777" w:rsidR="00000000" w:rsidRDefault="007E65A2">
      <w:pPr>
        <w:pStyle w:val="a3"/>
        <w:spacing w:before="0" w:beforeAutospacing="0" w:after="0" w:afterAutospacing="0"/>
        <w:jc w:val="both"/>
        <w:divId w:val="911279972"/>
        <w:rPr>
          <w:sz w:val="20"/>
          <w:szCs w:val="20"/>
        </w:rPr>
      </w:pPr>
      <w:r>
        <w:rPr>
          <w:b/>
          <w:bCs/>
          <w:sz w:val="20"/>
          <w:szCs w:val="20"/>
        </w:rPr>
        <w:t>Code of Ethics</w:t>
      </w:r>
    </w:p>
    <w:p w14:paraId="46093D51" w14:textId="77777777" w:rsidR="00000000" w:rsidRDefault="007E65A2">
      <w:pPr>
        <w:pStyle w:val="a3"/>
        <w:spacing w:before="0" w:beforeAutospacing="0" w:after="0" w:afterAutospacing="0"/>
        <w:jc w:val="both"/>
        <w:divId w:val="911279972"/>
        <w:rPr>
          <w:sz w:val="20"/>
          <w:szCs w:val="20"/>
        </w:rPr>
      </w:pPr>
      <w:r>
        <w:rPr>
          <w:sz w:val="20"/>
          <w:szCs w:val="20"/>
        </w:rPr>
        <w:t> </w:t>
      </w:r>
    </w:p>
    <w:p w14:paraId="6B822211" w14:textId="77777777" w:rsidR="00000000" w:rsidRDefault="007E65A2">
      <w:pPr>
        <w:pStyle w:val="a3"/>
        <w:spacing w:before="0" w:beforeAutospacing="0" w:after="0" w:afterAutospacing="0"/>
        <w:jc w:val="both"/>
        <w:divId w:val="911279972"/>
        <w:rPr>
          <w:sz w:val="20"/>
          <w:szCs w:val="20"/>
        </w:rPr>
      </w:pPr>
      <w:r>
        <w:rPr>
          <w:sz w:val="20"/>
          <w:szCs w:val="20"/>
        </w:rPr>
        <w:t>We have not adopted a Code of Business Conduct and Ethics.</w:t>
      </w:r>
    </w:p>
    <w:p w14:paraId="7A61D79D" w14:textId="77777777" w:rsidR="00000000" w:rsidRDefault="007E65A2">
      <w:pPr>
        <w:pStyle w:val="a3"/>
        <w:spacing w:before="0" w:beforeAutospacing="0" w:after="0" w:afterAutospacing="0"/>
        <w:jc w:val="both"/>
        <w:divId w:val="911279972"/>
        <w:rPr>
          <w:sz w:val="20"/>
          <w:szCs w:val="20"/>
        </w:rPr>
      </w:pPr>
      <w:r>
        <w:rPr>
          <w:sz w:val="20"/>
          <w:szCs w:val="20"/>
        </w:rPr>
        <w:t> </w:t>
      </w:r>
    </w:p>
    <w:p w14:paraId="1699A28A" w14:textId="77777777" w:rsidR="00000000" w:rsidRDefault="007E65A2">
      <w:pPr>
        <w:pStyle w:val="a3"/>
        <w:spacing w:before="0" w:beforeAutospacing="0" w:after="0" w:afterAutospacing="0"/>
        <w:jc w:val="both"/>
        <w:divId w:val="911279972"/>
        <w:rPr>
          <w:sz w:val="20"/>
          <w:szCs w:val="20"/>
        </w:rPr>
      </w:pPr>
      <w:r>
        <w:rPr>
          <w:b/>
          <w:bCs/>
          <w:sz w:val="20"/>
          <w:szCs w:val="20"/>
        </w:rPr>
        <w:t>Board and Committee Meetings</w:t>
      </w:r>
    </w:p>
    <w:p w14:paraId="1EFD4F64" w14:textId="77777777" w:rsidR="00000000" w:rsidRDefault="007E65A2">
      <w:pPr>
        <w:pStyle w:val="a3"/>
        <w:spacing w:before="0" w:beforeAutospacing="0" w:after="0" w:afterAutospacing="0"/>
        <w:jc w:val="both"/>
        <w:divId w:val="911279972"/>
        <w:rPr>
          <w:sz w:val="20"/>
          <w:szCs w:val="20"/>
        </w:rPr>
      </w:pPr>
      <w:r>
        <w:rPr>
          <w:sz w:val="20"/>
          <w:szCs w:val="20"/>
        </w:rPr>
        <w:t> </w:t>
      </w:r>
    </w:p>
    <w:p w14:paraId="76DB7F33" w14:textId="77777777" w:rsidR="00000000" w:rsidRDefault="007E65A2">
      <w:pPr>
        <w:pStyle w:val="a3"/>
        <w:spacing w:before="0" w:beforeAutospacing="0" w:after="0" w:afterAutospacing="0"/>
        <w:jc w:val="both"/>
        <w:divId w:val="911279972"/>
        <w:rPr>
          <w:sz w:val="20"/>
          <w:szCs w:val="20"/>
        </w:rPr>
      </w:pPr>
      <w:r>
        <w:rPr>
          <w:sz w:val="20"/>
          <w:szCs w:val="20"/>
        </w:rPr>
        <w:t>Our board of directors held no formal meetings during the year ended June 30, 2019. All proceedings of the board of directors were conducted by resolutions consented to in writing by all the directors and filed with the minutes of the proceedings of the di</w:t>
      </w:r>
      <w:r>
        <w:rPr>
          <w:sz w:val="20"/>
          <w:szCs w:val="20"/>
        </w:rPr>
        <w:t>rectors. Such resolutions consented to in writing by the directors entitled to vote on that resolution at a meeting of the directors are, according to the South Dakota Revised Business Corporation Act and our Bylaws, as valid and effective as if they had b</w:t>
      </w:r>
      <w:r>
        <w:rPr>
          <w:sz w:val="20"/>
          <w:szCs w:val="20"/>
        </w:rPr>
        <w:t>een passed at a meeting of the directors duly called and held.</w:t>
      </w:r>
    </w:p>
    <w:p w14:paraId="5DABB97E" w14:textId="77777777" w:rsidR="00000000" w:rsidRDefault="007E65A2">
      <w:pPr>
        <w:pStyle w:val="a3"/>
        <w:spacing w:before="0" w:beforeAutospacing="0" w:after="0" w:afterAutospacing="0"/>
        <w:jc w:val="both"/>
        <w:divId w:val="911279972"/>
        <w:rPr>
          <w:sz w:val="20"/>
          <w:szCs w:val="20"/>
        </w:rPr>
      </w:pPr>
      <w:r>
        <w:rPr>
          <w:sz w:val="20"/>
          <w:szCs w:val="20"/>
        </w:rPr>
        <w:t> </w:t>
      </w:r>
    </w:p>
    <w:p w14:paraId="1FF7FB41" w14:textId="77777777" w:rsidR="00000000" w:rsidRDefault="007E65A2">
      <w:pPr>
        <w:pStyle w:val="a3"/>
        <w:spacing w:before="0" w:beforeAutospacing="0" w:after="0" w:afterAutospacing="0"/>
        <w:jc w:val="both"/>
        <w:divId w:val="911279972"/>
        <w:rPr>
          <w:sz w:val="20"/>
          <w:szCs w:val="20"/>
        </w:rPr>
      </w:pPr>
      <w:r>
        <w:rPr>
          <w:b/>
          <w:bCs/>
          <w:sz w:val="20"/>
          <w:szCs w:val="20"/>
        </w:rPr>
        <w:t>Nomination Process</w:t>
      </w:r>
    </w:p>
    <w:p w14:paraId="076EB659" w14:textId="77777777" w:rsidR="00000000" w:rsidRDefault="007E65A2">
      <w:pPr>
        <w:pStyle w:val="a3"/>
        <w:spacing w:before="0" w:beforeAutospacing="0" w:after="0" w:afterAutospacing="0"/>
        <w:jc w:val="both"/>
        <w:divId w:val="911279972"/>
        <w:rPr>
          <w:sz w:val="20"/>
          <w:szCs w:val="20"/>
        </w:rPr>
      </w:pPr>
      <w:r>
        <w:rPr>
          <w:sz w:val="20"/>
          <w:szCs w:val="20"/>
        </w:rPr>
        <w:t> </w:t>
      </w:r>
    </w:p>
    <w:p w14:paraId="3D561D9E" w14:textId="77777777" w:rsidR="00000000" w:rsidRDefault="007E65A2">
      <w:pPr>
        <w:pStyle w:val="a3"/>
        <w:spacing w:before="0" w:beforeAutospacing="0" w:after="0" w:afterAutospacing="0"/>
        <w:jc w:val="both"/>
        <w:divId w:val="911279972"/>
        <w:rPr>
          <w:sz w:val="20"/>
          <w:szCs w:val="20"/>
        </w:rPr>
      </w:pPr>
      <w:r>
        <w:rPr>
          <w:sz w:val="20"/>
          <w:szCs w:val="20"/>
        </w:rPr>
        <w:t>As of June 30, 2019, we did not effect any material changes to the procedures by which our shareholders may recommend nominees to our board of directors. Our board of directors does not have a policy with regards to the consideration of any director candid</w:t>
      </w:r>
      <w:r>
        <w:rPr>
          <w:sz w:val="20"/>
          <w:szCs w:val="20"/>
        </w:rPr>
        <w:t>ates recommended by our shareholders. Our board of directors has determined that it is in the best position to evaluate our company’s requirements as well as the qualifications of each candidate when the board considers a nominee for a position on our boar</w:t>
      </w:r>
      <w:r>
        <w:rPr>
          <w:sz w:val="20"/>
          <w:szCs w:val="20"/>
        </w:rPr>
        <w:t>d of directors. If shareholders wish to recommend candidates directly to our board, they may do so by sending communications to the president of our company at the address on the cover of this annual report.</w:t>
      </w:r>
    </w:p>
    <w:p w14:paraId="2BBB1376" w14:textId="77777777" w:rsidR="00000000" w:rsidRDefault="007E65A2">
      <w:pPr>
        <w:pStyle w:val="a3"/>
        <w:spacing w:before="0" w:beforeAutospacing="0" w:after="0" w:afterAutospacing="0"/>
        <w:jc w:val="both"/>
        <w:divId w:val="911279972"/>
        <w:rPr>
          <w:sz w:val="20"/>
          <w:szCs w:val="20"/>
        </w:rPr>
      </w:pPr>
      <w:r>
        <w:rPr>
          <w:sz w:val="20"/>
          <w:szCs w:val="20"/>
        </w:rPr>
        <w:t> </w:t>
      </w:r>
    </w:p>
    <w:p w14:paraId="42E66045" w14:textId="77777777" w:rsidR="00000000" w:rsidRDefault="007E65A2">
      <w:pPr>
        <w:pStyle w:val="a3"/>
        <w:spacing w:before="0" w:beforeAutospacing="0" w:after="0" w:afterAutospacing="0"/>
        <w:jc w:val="both"/>
        <w:divId w:val="911279972"/>
        <w:rPr>
          <w:sz w:val="20"/>
          <w:szCs w:val="20"/>
        </w:rPr>
      </w:pPr>
      <w:r>
        <w:rPr>
          <w:b/>
          <w:bCs/>
          <w:sz w:val="20"/>
          <w:szCs w:val="20"/>
        </w:rPr>
        <w:t>Audit Committee</w:t>
      </w:r>
    </w:p>
    <w:p w14:paraId="1B081F12" w14:textId="77777777" w:rsidR="00000000" w:rsidRDefault="007E65A2">
      <w:pPr>
        <w:pStyle w:val="a3"/>
        <w:spacing w:before="0" w:beforeAutospacing="0" w:after="0" w:afterAutospacing="0"/>
        <w:jc w:val="both"/>
        <w:divId w:val="911279972"/>
        <w:rPr>
          <w:sz w:val="20"/>
          <w:szCs w:val="20"/>
        </w:rPr>
      </w:pPr>
      <w:r>
        <w:rPr>
          <w:sz w:val="20"/>
          <w:szCs w:val="20"/>
        </w:rPr>
        <w:t> </w:t>
      </w:r>
    </w:p>
    <w:p w14:paraId="219CAD83" w14:textId="77777777" w:rsidR="00000000" w:rsidRDefault="007E65A2">
      <w:pPr>
        <w:pStyle w:val="a3"/>
        <w:spacing w:before="0" w:beforeAutospacing="0" w:after="0" w:afterAutospacing="0"/>
        <w:jc w:val="both"/>
        <w:divId w:val="911279972"/>
        <w:rPr>
          <w:sz w:val="20"/>
          <w:szCs w:val="20"/>
        </w:rPr>
      </w:pPr>
      <w:r>
        <w:rPr>
          <w:sz w:val="20"/>
          <w:szCs w:val="20"/>
        </w:rPr>
        <w:t>Currently our audit committe</w:t>
      </w:r>
      <w:r>
        <w:rPr>
          <w:sz w:val="20"/>
          <w:szCs w:val="20"/>
        </w:rPr>
        <w:t>e consists of our entire board of directors. We do not have a standing audit committee as we currently have limited working capital and minimal revenues. Should we be able to raise sufficient funding to execute our business plan, we will form an audit, com</w:t>
      </w:r>
      <w:r>
        <w:rPr>
          <w:sz w:val="20"/>
          <w:szCs w:val="20"/>
        </w:rPr>
        <w:t>pensation committee and other applicable committees utilizing our directors’ expertise.</w:t>
      </w:r>
    </w:p>
    <w:p w14:paraId="12B9485E"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67674D9" w14:textId="77777777">
        <w:trPr>
          <w:divId w:val="911279972"/>
          <w:tblCellSpacing w:w="0" w:type="dxa"/>
        </w:trPr>
        <w:tc>
          <w:tcPr>
            <w:tcW w:w="0" w:type="auto"/>
            <w:vAlign w:val="center"/>
            <w:hideMark/>
          </w:tcPr>
          <w:p w14:paraId="691A0674" w14:textId="77777777" w:rsidR="00000000" w:rsidRDefault="007E65A2">
            <w:pPr>
              <w:rPr>
                <w:rFonts w:eastAsia="Times New Roman"/>
                <w:sz w:val="20"/>
                <w:szCs w:val="20"/>
              </w:rPr>
            </w:pPr>
            <w:r>
              <w:rPr>
                <w:rFonts w:eastAsia="Times New Roman"/>
                <w:sz w:val="20"/>
                <w:szCs w:val="20"/>
              </w:rPr>
              <w:t> </w:t>
            </w:r>
          </w:p>
        </w:tc>
      </w:tr>
      <w:tr w:rsidR="00000000" w14:paraId="64330C18" w14:textId="77777777">
        <w:trPr>
          <w:divId w:val="911279972"/>
          <w:tblCellSpacing w:w="0" w:type="dxa"/>
        </w:trPr>
        <w:tc>
          <w:tcPr>
            <w:tcW w:w="0" w:type="auto"/>
            <w:tcBorders>
              <w:bottom w:val="single" w:sz="6" w:space="0" w:color="000000"/>
            </w:tcBorders>
            <w:vAlign w:val="center"/>
            <w:hideMark/>
          </w:tcPr>
          <w:p w14:paraId="296D611B" w14:textId="77777777" w:rsidR="00000000" w:rsidRDefault="007E65A2">
            <w:pPr>
              <w:jc w:val="center"/>
              <w:rPr>
                <w:rFonts w:eastAsia="Times New Roman"/>
                <w:sz w:val="20"/>
                <w:szCs w:val="20"/>
              </w:rPr>
            </w:pPr>
            <w:r>
              <w:rPr>
                <w:rFonts w:eastAsia="Times New Roman"/>
                <w:sz w:val="20"/>
                <w:szCs w:val="20"/>
              </w:rPr>
              <w:t>17</w:t>
            </w:r>
          </w:p>
        </w:tc>
      </w:tr>
      <w:tr w:rsidR="00000000" w14:paraId="319ECE1F" w14:textId="77777777">
        <w:trPr>
          <w:divId w:val="911279972"/>
          <w:tblCellSpacing w:w="0" w:type="dxa"/>
        </w:trPr>
        <w:tc>
          <w:tcPr>
            <w:tcW w:w="0" w:type="auto"/>
            <w:vAlign w:val="center"/>
            <w:hideMark/>
          </w:tcPr>
          <w:p w14:paraId="1563D2E8" w14:textId="77777777" w:rsidR="00000000" w:rsidRDefault="007E65A2">
            <w:pPr>
              <w:rPr>
                <w:rFonts w:eastAsia="Times New Roman"/>
                <w:sz w:val="20"/>
                <w:szCs w:val="20"/>
              </w:rPr>
            </w:pPr>
            <w:r>
              <w:rPr>
                <w:rFonts w:eastAsia="Times New Roman"/>
                <w:sz w:val="20"/>
                <w:szCs w:val="20"/>
              </w:rPr>
              <w:t> </w:t>
            </w:r>
          </w:p>
        </w:tc>
      </w:tr>
      <w:tr w:rsidR="00000000" w14:paraId="6DA72827" w14:textId="77777777">
        <w:trPr>
          <w:divId w:val="911279972"/>
          <w:tblCellSpacing w:w="0" w:type="dxa"/>
        </w:trPr>
        <w:tc>
          <w:tcPr>
            <w:tcW w:w="0" w:type="auto"/>
            <w:vAlign w:val="center"/>
            <w:hideMark/>
          </w:tcPr>
          <w:p w14:paraId="34564BD0"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40BC45D9" w14:textId="77777777" w:rsidR="00000000" w:rsidRDefault="007E65A2">
      <w:pPr>
        <w:pStyle w:val="a3"/>
        <w:spacing w:before="0" w:beforeAutospacing="0" w:after="0" w:afterAutospacing="0"/>
        <w:jc w:val="both"/>
        <w:divId w:val="911279972"/>
        <w:rPr>
          <w:sz w:val="20"/>
          <w:szCs w:val="20"/>
        </w:rPr>
      </w:pPr>
      <w:r>
        <w:rPr>
          <w:sz w:val="20"/>
          <w:szCs w:val="20"/>
        </w:rPr>
        <w:t> </w:t>
      </w:r>
    </w:p>
    <w:p w14:paraId="11D05C0B" w14:textId="77777777" w:rsidR="00000000" w:rsidRDefault="007E65A2">
      <w:pPr>
        <w:pStyle w:val="a3"/>
        <w:spacing w:before="0" w:beforeAutospacing="0" w:after="0" w:afterAutospacing="0"/>
        <w:jc w:val="both"/>
        <w:divId w:val="911279972"/>
        <w:rPr>
          <w:sz w:val="20"/>
          <w:szCs w:val="20"/>
        </w:rPr>
      </w:pPr>
      <w:bookmarkStart w:id="26" w:name="ITEM_11._EXECUTIVE_COMPENSATION"/>
      <w:r>
        <w:rPr>
          <w:b/>
          <w:bCs/>
          <w:sz w:val="20"/>
          <w:szCs w:val="20"/>
        </w:rPr>
        <w:t>ITEM 11. EXECUTIVE COMPENSATION</w:t>
      </w:r>
      <w:bookmarkEnd w:id="26"/>
    </w:p>
    <w:p w14:paraId="0167CD0B" w14:textId="77777777" w:rsidR="00000000" w:rsidRDefault="007E65A2">
      <w:pPr>
        <w:pStyle w:val="a3"/>
        <w:spacing w:before="0" w:beforeAutospacing="0" w:after="0" w:afterAutospacing="0"/>
        <w:jc w:val="both"/>
        <w:divId w:val="911279972"/>
        <w:rPr>
          <w:sz w:val="20"/>
          <w:szCs w:val="20"/>
        </w:rPr>
      </w:pPr>
      <w:r>
        <w:rPr>
          <w:sz w:val="20"/>
          <w:szCs w:val="20"/>
        </w:rPr>
        <w:t> </w:t>
      </w:r>
    </w:p>
    <w:p w14:paraId="0631D792" w14:textId="77777777" w:rsidR="00000000" w:rsidRDefault="007E65A2">
      <w:pPr>
        <w:pStyle w:val="a3"/>
        <w:spacing w:before="0" w:beforeAutospacing="0" w:after="0" w:afterAutospacing="0"/>
        <w:ind w:left="675"/>
        <w:jc w:val="both"/>
        <w:divId w:val="911279972"/>
        <w:rPr>
          <w:sz w:val="20"/>
          <w:szCs w:val="20"/>
        </w:rPr>
      </w:pPr>
      <w:r>
        <w:rPr>
          <w:sz w:val="20"/>
          <w:szCs w:val="20"/>
        </w:rPr>
        <w:t>The particulars of the compensation paid to the following persons:</w:t>
      </w:r>
    </w:p>
    <w:p w14:paraId="4127B4D6"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26F7C3DE" w14:textId="77777777">
        <w:trPr>
          <w:divId w:val="911279972"/>
          <w:tblCellSpacing w:w="0" w:type="dxa"/>
        </w:trPr>
        <w:tc>
          <w:tcPr>
            <w:tcW w:w="200" w:type="pct"/>
            <w:hideMark/>
          </w:tcPr>
          <w:p w14:paraId="2B514EF1"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694E3BEE" w14:textId="77777777" w:rsidR="00000000" w:rsidRDefault="007E65A2">
            <w:pPr>
              <w:jc w:val="both"/>
              <w:rPr>
                <w:rFonts w:eastAsia="Times New Roman"/>
                <w:sz w:val="20"/>
                <w:szCs w:val="20"/>
              </w:rPr>
            </w:pPr>
            <w:r>
              <w:rPr>
                <w:rFonts w:eastAsia="Times New Roman"/>
                <w:sz w:val="20"/>
                <w:szCs w:val="20"/>
              </w:rPr>
              <w:t>(a)</w:t>
            </w:r>
          </w:p>
        </w:tc>
        <w:tc>
          <w:tcPr>
            <w:tcW w:w="0" w:type="auto"/>
            <w:hideMark/>
          </w:tcPr>
          <w:p w14:paraId="795E0521" w14:textId="77777777" w:rsidR="00000000" w:rsidRDefault="007E65A2">
            <w:pPr>
              <w:jc w:val="both"/>
              <w:rPr>
                <w:rFonts w:eastAsia="Times New Roman"/>
                <w:sz w:val="20"/>
                <w:szCs w:val="20"/>
              </w:rPr>
            </w:pPr>
            <w:r>
              <w:rPr>
                <w:rFonts w:eastAsia="Times New Roman"/>
                <w:sz w:val="20"/>
                <w:szCs w:val="20"/>
              </w:rPr>
              <w:t>our principal executive officer;</w:t>
            </w:r>
          </w:p>
        </w:tc>
      </w:tr>
      <w:tr w:rsidR="00000000" w14:paraId="726AF305" w14:textId="77777777">
        <w:trPr>
          <w:divId w:val="911279972"/>
          <w:tblCellSpacing w:w="0" w:type="dxa"/>
        </w:trPr>
        <w:tc>
          <w:tcPr>
            <w:tcW w:w="0" w:type="auto"/>
            <w:vAlign w:val="center"/>
            <w:hideMark/>
          </w:tcPr>
          <w:p w14:paraId="0A21DF50"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5080B45D"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74942561" w14:textId="77777777" w:rsidR="00000000" w:rsidRDefault="007E65A2">
            <w:pPr>
              <w:pStyle w:val="a3"/>
              <w:spacing w:before="0" w:beforeAutospacing="0" w:after="0" w:afterAutospacing="0"/>
              <w:jc w:val="both"/>
              <w:rPr>
                <w:sz w:val="20"/>
                <w:szCs w:val="20"/>
              </w:rPr>
            </w:pPr>
            <w:r>
              <w:rPr>
                <w:sz w:val="20"/>
                <w:szCs w:val="20"/>
              </w:rPr>
              <w:t> </w:t>
            </w:r>
          </w:p>
        </w:tc>
      </w:tr>
      <w:tr w:rsidR="00000000" w14:paraId="11215C51" w14:textId="77777777">
        <w:trPr>
          <w:divId w:val="911279972"/>
          <w:tblCellSpacing w:w="0" w:type="dxa"/>
        </w:trPr>
        <w:tc>
          <w:tcPr>
            <w:tcW w:w="0" w:type="auto"/>
            <w:hideMark/>
          </w:tcPr>
          <w:p w14:paraId="0BF9FF88"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10CCA980" w14:textId="77777777" w:rsidR="00000000" w:rsidRDefault="007E65A2">
            <w:pPr>
              <w:jc w:val="both"/>
              <w:rPr>
                <w:rFonts w:eastAsia="Times New Roman"/>
                <w:sz w:val="20"/>
                <w:szCs w:val="20"/>
              </w:rPr>
            </w:pPr>
            <w:r>
              <w:rPr>
                <w:rFonts w:eastAsia="Times New Roman"/>
                <w:sz w:val="20"/>
                <w:szCs w:val="20"/>
              </w:rPr>
              <w:t>(b)</w:t>
            </w:r>
          </w:p>
        </w:tc>
        <w:tc>
          <w:tcPr>
            <w:tcW w:w="0" w:type="auto"/>
            <w:hideMark/>
          </w:tcPr>
          <w:p w14:paraId="168F439B" w14:textId="77777777" w:rsidR="00000000" w:rsidRDefault="007E65A2">
            <w:pPr>
              <w:jc w:val="both"/>
              <w:rPr>
                <w:rFonts w:eastAsia="Times New Roman"/>
                <w:sz w:val="20"/>
                <w:szCs w:val="20"/>
              </w:rPr>
            </w:pPr>
            <w:r>
              <w:rPr>
                <w:rFonts w:eastAsia="Times New Roman"/>
                <w:sz w:val="20"/>
                <w:szCs w:val="20"/>
              </w:rPr>
              <w:t>each of our two most highly compensated executive officers who were serving as executive officers at the end of the years ended June 30, 2019 and 2018; and</w:t>
            </w:r>
          </w:p>
        </w:tc>
      </w:tr>
      <w:tr w:rsidR="00000000" w14:paraId="76127FA8" w14:textId="77777777">
        <w:trPr>
          <w:divId w:val="911279972"/>
          <w:tblCellSpacing w:w="0" w:type="dxa"/>
        </w:trPr>
        <w:tc>
          <w:tcPr>
            <w:tcW w:w="0" w:type="auto"/>
            <w:vAlign w:val="center"/>
            <w:hideMark/>
          </w:tcPr>
          <w:p w14:paraId="47DF3C15"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5A10D55B"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52D5FB32" w14:textId="77777777" w:rsidR="00000000" w:rsidRDefault="007E65A2">
            <w:pPr>
              <w:pStyle w:val="a3"/>
              <w:spacing w:before="0" w:beforeAutospacing="0" w:after="0" w:afterAutospacing="0"/>
              <w:jc w:val="both"/>
              <w:rPr>
                <w:sz w:val="20"/>
                <w:szCs w:val="20"/>
              </w:rPr>
            </w:pPr>
            <w:r>
              <w:rPr>
                <w:sz w:val="20"/>
                <w:szCs w:val="20"/>
              </w:rPr>
              <w:t> </w:t>
            </w:r>
          </w:p>
        </w:tc>
      </w:tr>
      <w:tr w:rsidR="00000000" w14:paraId="68D37B5A" w14:textId="77777777">
        <w:trPr>
          <w:divId w:val="911279972"/>
          <w:tblCellSpacing w:w="0" w:type="dxa"/>
        </w:trPr>
        <w:tc>
          <w:tcPr>
            <w:tcW w:w="0" w:type="auto"/>
            <w:hideMark/>
          </w:tcPr>
          <w:p w14:paraId="3EB84FB6"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3FD6C060" w14:textId="77777777" w:rsidR="00000000" w:rsidRDefault="007E65A2">
            <w:pPr>
              <w:jc w:val="both"/>
              <w:rPr>
                <w:rFonts w:eastAsia="Times New Roman"/>
                <w:sz w:val="20"/>
                <w:szCs w:val="20"/>
              </w:rPr>
            </w:pPr>
            <w:r>
              <w:rPr>
                <w:rFonts w:eastAsia="Times New Roman"/>
                <w:sz w:val="20"/>
                <w:szCs w:val="20"/>
              </w:rPr>
              <w:t>(c)</w:t>
            </w:r>
          </w:p>
        </w:tc>
        <w:tc>
          <w:tcPr>
            <w:tcW w:w="0" w:type="auto"/>
            <w:hideMark/>
          </w:tcPr>
          <w:p w14:paraId="2C9EF2C0" w14:textId="77777777" w:rsidR="00000000" w:rsidRDefault="007E65A2">
            <w:pPr>
              <w:jc w:val="both"/>
              <w:rPr>
                <w:rFonts w:eastAsia="Times New Roman"/>
                <w:sz w:val="20"/>
                <w:szCs w:val="20"/>
              </w:rPr>
            </w:pPr>
            <w:r>
              <w:rPr>
                <w:rFonts w:eastAsia="Times New Roman"/>
                <w:sz w:val="20"/>
                <w:szCs w:val="20"/>
              </w:rPr>
              <w:t>up to two additional individuals for whom disclosure would have been provided under (b</w:t>
            </w:r>
            <w:r>
              <w:rPr>
                <w:rFonts w:eastAsia="Times New Roman"/>
                <w:sz w:val="20"/>
                <w:szCs w:val="20"/>
              </w:rPr>
              <w:t>) but for the fact that the individual was not serving as our executive officer at the end of the years ended June, 2019 and 2018, who we will collectively refer to as the named executive officers of our company, are set out in the following summary compen</w:t>
            </w:r>
            <w:r>
              <w:rPr>
                <w:rFonts w:eastAsia="Times New Roman"/>
                <w:sz w:val="20"/>
                <w:szCs w:val="20"/>
              </w:rPr>
              <w:t>sation table, except that no disclosure is provided for any named executive officer, other than our principal executive officers, whose total compensation did not exceed $100,000 for the respective fiscal year:</w:t>
            </w:r>
          </w:p>
        </w:tc>
      </w:tr>
    </w:tbl>
    <w:p w14:paraId="1430101A" w14:textId="77777777" w:rsidR="00000000" w:rsidRDefault="007E65A2">
      <w:pPr>
        <w:pStyle w:val="a3"/>
        <w:spacing w:before="0" w:beforeAutospacing="0" w:after="0" w:afterAutospacing="0"/>
        <w:jc w:val="both"/>
        <w:divId w:val="911279972"/>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1019"/>
        <w:gridCol w:w="50"/>
        <w:gridCol w:w="50"/>
        <w:gridCol w:w="400"/>
        <w:gridCol w:w="50"/>
        <w:gridCol w:w="50"/>
        <w:gridCol w:w="113"/>
        <w:gridCol w:w="674"/>
        <w:gridCol w:w="50"/>
        <w:gridCol w:w="50"/>
        <w:gridCol w:w="113"/>
        <w:gridCol w:w="674"/>
        <w:gridCol w:w="50"/>
        <w:gridCol w:w="50"/>
        <w:gridCol w:w="113"/>
        <w:gridCol w:w="675"/>
        <w:gridCol w:w="50"/>
        <w:gridCol w:w="50"/>
        <w:gridCol w:w="113"/>
        <w:gridCol w:w="675"/>
        <w:gridCol w:w="50"/>
        <w:gridCol w:w="50"/>
        <w:gridCol w:w="139"/>
        <w:gridCol w:w="828"/>
        <w:gridCol w:w="50"/>
        <w:gridCol w:w="50"/>
        <w:gridCol w:w="159"/>
        <w:gridCol w:w="953"/>
        <w:gridCol w:w="50"/>
        <w:gridCol w:w="50"/>
        <w:gridCol w:w="139"/>
        <w:gridCol w:w="828"/>
        <w:gridCol w:w="50"/>
        <w:gridCol w:w="50"/>
        <w:gridCol w:w="113"/>
        <w:gridCol w:w="674"/>
        <w:gridCol w:w="50"/>
      </w:tblGrid>
      <w:tr w:rsidR="00000000" w14:paraId="7C1E669D" w14:textId="77777777">
        <w:trPr>
          <w:divId w:val="911279972"/>
          <w:tblCellSpacing w:w="0" w:type="dxa"/>
        </w:trPr>
        <w:tc>
          <w:tcPr>
            <w:tcW w:w="0" w:type="auto"/>
            <w:tcBorders>
              <w:bottom w:val="single" w:sz="6" w:space="0" w:color="auto"/>
            </w:tcBorders>
            <w:vAlign w:val="bottom"/>
            <w:hideMark/>
          </w:tcPr>
          <w:p w14:paraId="12E67836" w14:textId="77777777" w:rsidR="00000000" w:rsidRDefault="007E65A2">
            <w:pPr>
              <w:pStyle w:val="a3"/>
              <w:spacing w:before="0" w:beforeAutospacing="0" w:after="0" w:afterAutospacing="0"/>
              <w:rPr>
                <w:sz w:val="20"/>
                <w:szCs w:val="20"/>
              </w:rPr>
            </w:pPr>
            <w:r>
              <w:rPr>
                <w:b/>
                <w:bCs/>
                <w:sz w:val="20"/>
                <w:szCs w:val="20"/>
              </w:rPr>
              <w:t>Name and Principal Position</w:t>
            </w:r>
          </w:p>
        </w:tc>
        <w:tc>
          <w:tcPr>
            <w:tcW w:w="0" w:type="auto"/>
            <w:vAlign w:val="bottom"/>
            <w:hideMark/>
          </w:tcPr>
          <w:p w14:paraId="2E9E5D06"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tcBorders>
              <w:bottom w:val="single" w:sz="6" w:space="0" w:color="auto"/>
            </w:tcBorders>
            <w:vAlign w:val="bottom"/>
            <w:hideMark/>
          </w:tcPr>
          <w:p w14:paraId="0C638BDF" w14:textId="77777777" w:rsidR="00000000" w:rsidRDefault="007E65A2">
            <w:pPr>
              <w:pStyle w:val="a3"/>
              <w:spacing w:before="0" w:beforeAutospacing="0" w:after="0" w:afterAutospacing="0"/>
              <w:jc w:val="center"/>
              <w:rPr>
                <w:sz w:val="20"/>
                <w:szCs w:val="20"/>
              </w:rPr>
            </w:pPr>
            <w:r>
              <w:rPr>
                <w:b/>
                <w:bCs/>
                <w:sz w:val="20"/>
                <w:szCs w:val="20"/>
              </w:rPr>
              <w:t>Year</w:t>
            </w:r>
          </w:p>
        </w:tc>
        <w:tc>
          <w:tcPr>
            <w:tcW w:w="0" w:type="auto"/>
            <w:tcMar>
              <w:top w:w="0" w:type="dxa"/>
              <w:left w:w="0" w:type="dxa"/>
              <w:bottom w:w="15" w:type="dxa"/>
              <w:right w:w="0" w:type="dxa"/>
            </w:tcMar>
            <w:vAlign w:val="bottom"/>
            <w:hideMark/>
          </w:tcPr>
          <w:p w14:paraId="61F99192"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3E528AA5" w14:textId="77777777" w:rsidR="00000000" w:rsidRDefault="007E65A2">
            <w:pPr>
              <w:pStyle w:val="a3"/>
              <w:spacing w:before="0" w:beforeAutospacing="0" w:after="0" w:afterAutospacing="0"/>
              <w:jc w:val="center"/>
              <w:rPr>
                <w:sz w:val="20"/>
                <w:szCs w:val="20"/>
              </w:rPr>
            </w:pPr>
            <w:r>
              <w:rPr>
                <w:sz w:val="20"/>
                <w:szCs w:val="20"/>
              </w:rPr>
              <w:t> </w:t>
            </w:r>
          </w:p>
        </w:tc>
        <w:tc>
          <w:tcPr>
            <w:tcW w:w="0" w:type="auto"/>
            <w:gridSpan w:val="2"/>
            <w:tcBorders>
              <w:bottom w:val="single" w:sz="6" w:space="0" w:color="auto"/>
            </w:tcBorders>
            <w:vAlign w:val="bottom"/>
            <w:hideMark/>
          </w:tcPr>
          <w:p w14:paraId="7F9DB866" w14:textId="77777777" w:rsidR="00000000" w:rsidRDefault="007E65A2">
            <w:pPr>
              <w:pStyle w:val="a3"/>
              <w:spacing w:before="0" w:beforeAutospacing="0" w:after="0" w:afterAutospacing="0"/>
              <w:jc w:val="center"/>
              <w:rPr>
                <w:sz w:val="20"/>
                <w:szCs w:val="20"/>
              </w:rPr>
            </w:pPr>
            <w:r>
              <w:rPr>
                <w:b/>
                <w:bCs/>
                <w:sz w:val="20"/>
                <w:szCs w:val="20"/>
              </w:rPr>
              <w:t>S</w:t>
            </w:r>
            <w:r>
              <w:rPr>
                <w:b/>
                <w:bCs/>
                <w:sz w:val="20"/>
                <w:szCs w:val="20"/>
              </w:rPr>
              <w:t>alary</w:t>
            </w:r>
          </w:p>
          <w:p w14:paraId="60B826CD" w14:textId="77777777" w:rsidR="00000000" w:rsidRDefault="007E65A2">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15" w:type="dxa"/>
              <w:right w:w="0" w:type="dxa"/>
            </w:tcMar>
            <w:vAlign w:val="bottom"/>
            <w:hideMark/>
          </w:tcPr>
          <w:p w14:paraId="13B56928"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318FDF7A" w14:textId="77777777" w:rsidR="00000000" w:rsidRDefault="007E65A2">
            <w:pPr>
              <w:pStyle w:val="a3"/>
              <w:spacing w:before="0" w:beforeAutospacing="0" w:after="0" w:afterAutospacing="0"/>
              <w:jc w:val="center"/>
              <w:rPr>
                <w:sz w:val="20"/>
                <w:szCs w:val="20"/>
              </w:rPr>
            </w:pPr>
            <w:r>
              <w:rPr>
                <w:sz w:val="20"/>
                <w:szCs w:val="20"/>
              </w:rPr>
              <w:t> </w:t>
            </w:r>
          </w:p>
        </w:tc>
        <w:tc>
          <w:tcPr>
            <w:tcW w:w="0" w:type="auto"/>
            <w:gridSpan w:val="2"/>
            <w:tcBorders>
              <w:bottom w:val="single" w:sz="6" w:space="0" w:color="auto"/>
            </w:tcBorders>
            <w:vAlign w:val="bottom"/>
            <w:hideMark/>
          </w:tcPr>
          <w:p w14:paraId="777D0AC8" w14:textId="77777777" w:rsidR="00000000" w:rsidRDefault="007E65A2">
            <w:pPr>
              <w:pStyle w:val="a3"/>
              <w:spacing w:before="0" w:beforeAutospacing="0" w:after="0" w:afterAutospacing="0"/>
              <w:jc w:val="center"/>
              <w:rPr>
                <w:sz w:val="20"/>
                <w:szCs w:val="20"/>
              </w:rPr>
            </w:pPr>
            <w:r>
              <w:rPr>
                <w:b/>
                <w:bCs/>
                <w:sz w:val="20"/>
                <w:szCs w:val="20"/>
              </w:rPr>
              <w:t>Bonus</w:t>
            </w:r>
          </w:p>
          <w:p w14:paraId="13139518" w14:textId="77777777" w:rsidR="00000000" w:rsidRDefault="007E65A2">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15" w:type="dxa"/>
              <w:right w:w="0" w:type="dxa"/>
            </w:tcMar>
            <w:vAlign w:val="bottom"/>
            <w:hideMark/>
          </w:tcPr>
          <w:p w14:paraId="714B65B3"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748975C4" w14:textId="77777777" w:rsidR="00000000" w:rsidRDefault="007E65A2">
            <w:pPr>
              <w:pStyle w:val="a3"/>
              <w:spacing w:before="0" w:beforeAutospacing="0" w:after="0" w:afterAutospacing="0"/>
              <w:jc w:val="center"/>
              <w:rPr>
                <w:sz w:val="20"/>
                <w:szCs w:val="20"/>
              </w:rPr>
            </w:pPr>
            <w:r>
              <w:rPr>
                <w:sz w:val="20"/>
                <w:szCs w:val="20"/>
              </w:rPr>
              <w:t> </w:t>
            </w:r>
          </w:p>
        </w:tc>
        <w:tc>
          <w:tcPr>
            <w:tcW w:w="0" w:type="auto"/>
            <w:gridSpan w:val="2"/>
            <w:tcBorders>
              <w:bottom w:val="single" w:sz="6" w:space="0" w:color="auto"/>
            </w:tcBorders>
            <w:vAlign w:val="bottom"/>
            <w:hideMark/>
          </w:tcPr>
          <w:p w14:paraId="5877D637" w14:textId="77777777" w:rsidR="00000000" w:rsidRDefault="007E65A2">
            <w:pPr>
              <w:pStyle w:val="a3"/>
              <w:spacing w:before="0" w:beforeAutospacing="0" w:after="0" w:afterAutospacing="0"/>
              <w:jc w:val="center"/>
              <w:rPr>
                <w:sz w:val="20"/>
                <w:szCs w:val="20"/>
              </w:rPr>
            </w:pPr>
            <w:r>
              <w:rPr>
                <w:b/>
                <w:bCs/>
                <w:sz w:val="20"/>
                <w:szCs w:val="20"/>
              </w:rPr>
              <w:t>Stock Awards</w:t>
            </w:r>
          </w:p>
          <w:p w14:paraId="0861D91F" w14:textId="77777777" w:rsidR="00000000" w:rsidRDefault="007E65A2">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15" w:type="dxa"/>
              <w:right w:w="0" w:type="dxa"/>
            </w:tcMar>
            <w:vAlign w:val="bottom"/>
            <w:hideMark/>
          </w:tcPr>
          <w:p w14:paraId="2CD32546"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3B49ABF2" w14:textId="77777777" w:rsidR="00000000" w:rsidRDefault="007E65A2">
            <w:pPr>
              <w:pStyle w:val="a3"/>
              <w:spacing w:before="0" w:beforeAutospacing="0" w:after="0" w:afterAutospacing="0"/>
              <w:jc w:val="center"/>
              <w:rPr>
                <w:sz w:val="20"/>
                <w:szCs w:val="20"/>
              </w:rPr>
            </w:pPr>
            <w:r>
              <w:rPr>
                <w:sz w:val="20"/>
                <w:szCs w:val="20"/>
              </w:rPr>
              <w:t> </w:t>
            </w:r>
          </w:p>
        </w:tc>
        <w:tc>
          <w:tcPr>
            <w:tcW w:w="0" w:type="auto"/>
            <w:gridSpan w:val="2"/>
            <w:tcBorders>
              <w:bottom w:val="single" w:sz="6" w:space="0" w:color="auto"/>
            </w:tcBorders>
            <w:vAlign w:val="bottom"/>
            <w:hideMark/>
          </w:tcPr>
          <w:p w14:paraId="145641A0" w14:textId="77777777" w:rsidR="00000000" w:rsidRDefault="007E65A2">
            <w:pPr>
              <w:pStyle w:val="a3"/>
              <w:spacing w:before="0" w:beforeAutospacing="0" w:after="0" w:afterAutospacing="0"/>
              <w:jc w:val="center"/>
              <w:rPr>
                <w:sz w:val="20"/>
                <w:szCs w:val="20"/>
              </w:rPr>
            </w:pPr>
            <w:r>
              <w:rPr>
                <w:b/>
                <w:bCs/>
                <w:sz w:val="20"/>
                <w:szCs w:val="20"/>
              </w:rPr>
              <w:t>Option Awards</w:t>
            </w:r>
          </w:p>
          <w:p w14:paraId="4C206161" w14:textId="77777777" w:rsidR="00000000" w:rsidRDefault="007E65A2">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15" w:type="dxa"/>
              <w:right w:w="0" w:type="dxa"/>
            </w:tcMar>
            <w:vAlign w:val="bottom"/>
            <w:hideMark/>
          </w:tcPr>
          <w:p w14:paraId="1144A04E"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10C6908D" w14:textId="77777777" w:rsidR="00000000" w:rsidRDefault="007E65A2">
            <w:pPr>
              <w:pStyle w:val="a3"/>
              <w:spacing w:before="0" w:beforeAutospacing="0" w:after="0" w:afterAutospacing="0"/>
              <w:jc w:val="center"/>
              <w:rPr>
                <w:sz w:val="20"/>
                <w:szCs w:val="20"/>
              </w:rPr>
            </w:pPr>
            <w:r>
              <w:rPr>
                <w:sz w:val="20"/>
                <w:szCs w:val="20"/>
              </w:rPr>
              <w:t> </w:t>
            </w:r>
          </w:p>
        </w:tc>
        <w:tc>
          <w:tcPr>
            <w:tcW w:w="0" w:type="auto"/>
            <w:gridSpan w:val="2"/>
            <w:tcBorders>
              <w:bottom w:val="single" w:sz="6" w:space="0" w:color="auto"/>
            </w:tcBorders>
            <w:vAlign w:val="bottom"/>
            <w:hideMark/>
          </w:tcPr>
          <w:p w14:paraId="2CA43E40" w14:textId="77777777" w:rsidR="00000000" w:rsidRDefault="007E65A2">
            <w:pPr>
              <w:pStyle w:val="a3"/>
              <w:spacing w:before="0" w:beforeAutospacing="0" w:after="0" w:afterAutospacing="0"/>
              <w:jc w:val="center"/>
              <w:rPr>
                <w:sz w:val="20"/>
                <w:szCs w:val="20"/>
              </w:rPr>
            </w:pPr>
            <w:r>
              <w:rPr>
                <w:b/>
                <w:bCs/>
                <w:sz w:val="20"/>
                <w:szCs w:val="20"/>
              </w:rPr>
              <w:t>Non-Equity Incentive Plan Compensa-tion</w:t>
            </w:r>
          </w:p>
          <w:p w14:paraId="33F4EC9A" w14:textId="77777777" w:rsidR="00000000" w:rsidRDefault="007E65A2">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15" w:type="dxa"/>
              <w:right w:w="0" w:type="dxa"/>
            </w:tcMar>
            <w:vAlign w:val="bottom"/>
            <w:hideMark/>
          </w:tcPr>
          <w:p w14:paraId="56259122"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7A3DA03D" w14:textId="77777777" w:rsidR="00000000" w:rsidRDefault="007E65A2">
            <w:pPr>
              <w:pStyle w:val="a3"/>
              <w:spacing w:before="0" w:beforeAutospacing="0" w:after="0" w:afterAutospacing="0"/>
              <w:jc w:val="center"/>
              <w:rPr>
                <w:sz w:val="20"/>
                <w:szCs w:val="20"/>
              </w:rPr>
            </w:pPr>
            <w:r>
              <w:rPr>
                <w:sz w:val="20"/>
                <w:szCs w:val="20"/>
              </w:rPr>
              <w:t> </w:t>
            </w:r>
          </w:p>
        </w:tc>
        <w:tc>
          <w:tcPr>
            <w:tcW w:w="0" w:type="auto"/>
            <w:gridSpan w:val="2"/>
            <w:tcBorders>
              <w:bottom w:val="single" w:sz="6" w:space="0" w:color="auto"/>
            </w:tcBorders>
            <w:vAlign w:val="bottom"/>
            <w:hideMark/>
          </w:tcPr>
          <w:p w14:paraId="29392AAA" w14:textId="77777777" w:rsidR="00000000" w:rsidRDefault="007E65A2">
            <w:pPr>
              <w:pStyle w:val="a3"/>
              <w:spacing w:before="0" w:beforeAutospacing="0" w:after="0" w:afterAutospacing="0"/>
              <w:jc w:val="center"/>
              <w:rPr>
                <w:sz w:val="20"/>
                <w:szCs w:val="20"/>
              </w:rPr>
            </w:pPr>
            <w:r>
              <w:rPr>
                <w:b/>
                <w:bCs/>
                <w:sz w:val="20"/>
                <w:szCs w:val="20"/>
              </w:rPr>
              <w:t>Change in Pension</w:t>
            </w:r>
          </w:p>
          <w:p w14:paraId="112681D2" w14:textId="77777777" w:rsidR="00000000" w:rsidRDefault="007E65A2">
            <w:pPr>
              <w:pStyle w:val="a3"/>
              <w:spacing w:before="0" w:beforeAutospacing="0" w:after="0" w:afterAutospacing="0"/>
              <w:jc w:val="center"/>
              <w:rPr>
                <w:sz w:val="20"/>
                <w:szCs w:val="20"/>
              </w:rPr>
            </w:pPr>
            <w:r>
              <w:rPr>
                <w:b/>
                <w:bCs/>
                <w:sz w:val="20"/>
                <w:szCs w:val="20"/>
              </w:rPr>
              <w:t>Value and Nonqualified Deferred Compensa-tion Earnings</w:t>
            </w:r>
          </w:p>
          <w:p w14:paraId="0D4F0266" w14:textId="77777777" w:rsidR="00000000" w:rsidRDefault="007E65A2">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15" w:type="dxa"/>
              <w:right w:w="0" w:type="dxa"/>
            </w:tcMar>
            <w:vAlign w:val="bottom"/>
            <w:hideMark/>
          </w:tcPr>
          <w:p w14:paraId="2B1BC3DF"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6335FA0E" w14:textId="77777777" w:rsidR="00000000" w:rsidRDefault="007E65A2">
            <w:pPr>
              <w:pStyle w:val="a3"/>
              <w:spacing w:before="0" w:beforeAutospacing="0" w:after="0" w:afterAutospacing="0"/>
              <w:jc w:val="center"/>
              <w:rPr>
                <w:sz w:val="20"/>
                <w:szCs w:val="20"/>
              </w:rPr>
            </w:pPr>
            <w:r>
              <w:rPr>
                <w:sz w:val="20"/>
                <w:szCs w:val="20"/>
              </w:rPr>
              <w:t> </w:t>
            </w:r>
          </w:p>
        </w:tc>
        <w:tc>
          <w:tcPr>
            <w:tcW w:w="0" w:type="auto"/>
            <w:gridSpan w:val="2"/>
            <w:tcBorders>
              <w:bottom w:val="single" w:sz="6" w:space="0" w:color="auto"/>
            </w:tcBorders>
            <w:vAlign w:val="bottom"/>
            <w:hideMark/>
          </w:tcPr>
          <w:p w14:paraId="28C6E632" w14:textId="77777777" w:rsidR="00000000" w:rsidRDefault="007E65A2">
            <w:pPr>
              <w:pStyle w:val="a3"/>
              <w:spacing w:before="0" w:beforeAutospacing="0" w:after="0" w:afterAutospacing="0"/>
              <w:jc w:val="center"/>
              <w:rPr>
                <w:sz w:val="20"/>
                <w:szCs w:val="20"/>
              </w:rPr>
            </w:pPr>
            <w:r>
              <w:rPr>
                <w:b/>
                <w:bCs/>
                <w:sz w:val="20"/>
                <w:szCs w:val="20"/>
              </w:rPr>
              <w:t>All</w:t>
            </w:r>
          </w:p>
          <w:p w14:paraId="7179D059" w14:textId="77777777" w:rsidR="00000000" w:rsidRDefault="007E65A2">
            <w:pPr>
              <w:pStyle w:val="a3"/>
              <w:spacing w:before="0" w:beforeAutospacing="0" w:after="0" w:afterAutospacing="0"/>
              <w:jc w:val="center"/>
              <w:rPr>
                <w:sz w:val="20"/>
                <w:szCs w:val="20"/>
              </w:rPr>
            </w:pPr>
            <w:r>
              <w:rPr>
                <w:b/>
                <w:bCs/>
                <w:sz w:val="20"/>
                <w:szCs w:val="20"/>
              </w:rPr>
              <w:t>Other Compensa-tion</w:t>
            </w:r>
          </w:p>
          <w:p w14:paraId="693ACB68" w14:textId="77777777" w:rsidR="00000000" w:rsidRDefault="007E65A2">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15" w:type="dxa"/>
              <w:right w:w="0" w:type="dxa"/>
            </w:tcMar>
            <w:vAlign w:val="bottom"/>
            <w:hideMark/>
          </w:tcPr>
          <w:p w14:paraId="0F9A5656"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2EEED6E4" w14:textId="77777777" w:rsidR="00000000" w:rsidRDefault="007E65A2">
            <w:pPr>
              <w:pStyle w:val="a3"/>
              <w:spacing w:before="0" w:beforeAutospacing="0" w:after="0" w:afterAutospacing="0"/>
              <w:jc w:val="center"/>
              <w:rPr>
                <w:sz w:val="20"/>
                <w:szCs w:val="20"/>
              </w:rPr>
            </w:pPr>
            <w:r>
              <w:rPr>
                <w:sz w:val="20"/>
                <w:szCs w:val="20"/>
              </w:rPr>
              <w:t> </w:t>
            </w:r>
          </w:p>
        </w:tc>
        <w:tc>
          <w:tcPr>
            <w:tcW w:w="0" w:type="auto"/>
            <w:gridSpan w:val="2"/>
            <w:tcBorders>
              <w:bottom w:val="single" w:sz="6" w:space="0" w:color="auto"/>
            </w:tcBorders>
            <w:vAlign w:val="bottom"/>
            <w:hideMark/>
          </w:tcPr>
          <w:p w14:paraId="1BB6C4C5" w14:textId="77777777" w:rsidR="00000000" w:rsidRDefault="007E65A2">
            <w:pPr>
              <w:pStyle w:val="a3"/>
              <w:spacing w:before="0" w:beforeAutospacing="0" w:after="0" w:afterAutospacing="0"/>
              <w:jc w:val="center"/>
              <w:rPr>
                <w:sz w:val="20"/>
                <w:szCs w:val="20"/>
              </w:rPr>
            </w:pPr>
            <w:r>
              <w:rPr>
                <w:b/>
                <w:bCs/>
                <w:sz w:val="20"/>
                <w:szCs w:val="20"/>
              </w:rPr>
              <w:t>Total</w:t>
            </w:r>
          </w:p>
          <w:p w14:paraId="4DA7682C" w14:textId="77777777" w:rsidR="00000000" w:rsidRDefault="007E65A2">
            <w:pPr>
              <w:pStyle w:val="a3"/>
              <w:spacing w:before="0" w:beforeAutospacing="0" w:after="0" w:afterAutospacing="0"/>
              <w:jc w:val="center"/>
              <w:rPr>
                <w:sz w:val="20"/>
                <w:szCs w:val="20"/>
              </w:rPr>
            </w:pPr>
            <w:r>
              <w:rPr>
                <w:b/>
                <w:bCs/>
                <w:sz w:val="20"/>
                <w:szCs w:val="20"/>
              </w:rPr>
              <w:t>($)</w:t>
            </w:r>
          </w:p>
        </w:tc>
        <w:tc>
          <w:tcPr>
            <w:tcW w:w="0" w:type="auto"/>
            <w:tcMar>
              <w:top w:w="0" w:type="dxa"/>
              <w:left w:w="0" w:type="dxa"/>
              <w:bottom w:w="15" w:type="dxa"/>
              <w:right w:w="0" w:type="dxa"/>
            </w:tcMar>
            <w:vAlign w:val="bottom"/>
            <w:hideMark/>
          </w:tcPr>
          <w:p w14:paraId="2A543913" w14:textId="77777777" w:rsidR="00000000" w:rsidRDefault="007E65A2">
            <w:pPr>
              <w:pStyle w:val="a3"/>
              <w:spacing w:before="0" w:beforeAutospacing="0" w:after="0" w:afterAutospacing="0"/>
              <w:jc w:val="center"/>
              <w:rPr>
                <w:sz w:val="20"/>
                <w:szCs w:val="20"/>
              </w:rPr>
            </w:pPr>
            <w:r>
              <w:rPr>
                <w:sz w:val="20"/>
                <w:szCs w:val="20"/>
              </w:rPr>
              <w:t> </w:t>
            </w:r>
          </w:p>
        </w:tc>
      </w:tr>
      <w:tr w:rsidR="007E65A2" w14:paraId="3ADC46B6" w14:textId="77777777">
        <w:trPr>
          <w:divId w:val="911279972"/>
          <w:tblCellSpacing w:w="0" w:type="dxa"/>
        </w:trPr>
        <w:tc>
          <w:tcPr>
            <w:tcW w:w="0" w:type="auto"/>
            <w:shd w:val="clear" w:color="auto" w:fill="CCEEFF"/>
            <w:hideMark/>
          </w:tcPr>
          <w:p w14:paraId="355397A3" w14:textId="77777777" w:rsidR="00000000" w:rsidRDefault="007E65A2">
            <w:pPr>
              <w:pStyle w:val="a3"/>
              <w:spacing w:before="0" w:beforeAutospacing="0" w:after="0" w:afterAutospacing="0"/>
              <w:jc w:val="both"/>
              <w:rPr>
                <w:sz w:val="20"/>
                <w:szCs w:val="20"/>
              </w:rPr>
            </w:pPr>
            <w:r>
              <w:rPr>
                <w:sz w:val="20"/>
                <w:szCs w:val="20"/>
              </w:rPr>
              <w:t>Douglas O. McKinnon</w:t>
            </w:r>
            <w:r>
              <w:rPr>
                <w:sz w:val="20"/>
                <w:szCs w:val="20"/>
                <w:vertAlign w:val="superscript"/>
              </w:rPr>
              <w:t>(1)</w:t>
            </w:r>
          </w:p>
        </w:tc>
        <w:tc>
          <w:tcPr>
            <w:tcW w:w="0" w:type="auto"/>
            <w:shd w:val="clear" w:color="auto" w:fill="CCEEFF"/>
            <w:vAlign w:val="bottom"/>
            <w:hideMark/>
          </w:tcPr>
          <w:p w14:paraId="62ED12C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BF5DF2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27E3E2B" w14:textId="77777777" w:rsidR="00000000" w:rsidRDefault="007E65A2">
            <w:pPr>
              <w:pStyle w:val="a3"/>
              <w:spacing w:before="0" w:beforeAutospacing="0" w:after="0" w:afterAutospacing="0"/>
              <w:jc w:val="center"/>
              <w:rPr>
                <w:sz w:val="20"/>
                <w:szCs w:val="20"/>
              </w:rPr>
            </w:pPr>
            <w:r>
              <w:rPr>
                <w:sz w:val="20"/>
                <w:szCs w:val="20"/>
              </w:rPr>
              <w:t xml:space="preserve">2019 </w:t>
            </w:r>
          </w:p>
        </w:tc>
        <w:tc>
          <w:tcPr>
            <w:tcW w:w="0" w:type="auto"/>
            <w:shd w:val="clear" w:color="auto" w:fill="CCEEFF"/>
            <w:vAlign w:val="bottom"/>
            <w:hideMark/>
          </w:tcPr>
          <w:p w14:paraId="2023EC8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D351ED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9ED730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5639C1A" w14:textId="77777777" w:rsidR="00000000" w:rsidRDefault="007E65A2">
            <w:pPr>
              <w:jc w:val="right"/>
              <w:rPr>
                <w:rFonts w:eastAsia="Times New Roman"/>
                <w:sz w:val="20"/>
                <w:szCs w:val="20"/>
              </w:rPr>
            </w:pPr>
            <w:r>
              <w:rPr>
                <w:rFonts w:eastAsia="Times New Roman"/>
                <w:sz w:val="20"/>
                <w:szCs w:val="20"/>
              </w:rPr>
              <w:t xml:space="preserve">96,000 </w:t>
            </w:r>
          </w:p>
        </w:tc>
        <w:tc>
          <w:tcPr>
            <w:tcW w:w="0" w:type="auto"/>
            <w:shd w:val="clear" w:color="auto" w:fill="CCEEFF"/>
            <w:vAlign w:val="bottom"/>
            <w:hideMark/>
          </w:tcPr>
          <w:p w14:paraId="19687E3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8BFE079"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54135487"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049E9F5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4531CA7"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137F02EB"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0A9FB97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C9A66F1"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3A6BF030"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59EA239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6648D56"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5A8ECD2B"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3361DBE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C3E6C0F"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11C4634E"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3622515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D987F87"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3E614BF7"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35AC081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3C0220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CE5D95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8D05319" w14:textId="77777777" w:rsidR="00000000" w:rsidRDefault="007E65A2">
            <w:pPr>
              <w:jc w:val="right"/>
              <w:rPr>
                <w:rFonts w:eastAsia="Times New Roman"/>
                <w:sz w:val="20"/>
                <w:szCs w:val="20"/>
              </w:rPr>
            </w:pPr>
            <w:r>
              <w:rPr>
                <w:rFonts w:eastAsia="Times New Roman"/>
                <w:sz w:val="20"/>
                <w:szCs w:val="20"/>
              </w:rPr>
              <w:t xml:space="preserve">96,000 </w:t>
            </w:r>
          </w:p>
        </w:tc>
        <w:tc>
          <w:tcPr>
            <w:tcW w:w="0" w:type="auto"/>
            <w:shd w:val="clear" w:color="auto" w:fill="CCEEFF"/>
            <w:vAlign w:val="bottom"/>
            <w:hideMark/>
          </w:tcPr>
          <w:p w14:paraId="2B10B429" w14:textId="77777777" w:rsidR="00000000" w:rsidRDefault="007E65A2">
            <w:pPr>
              <w:pStyle w:val="a3"/>
              <w:spacing w:before="0" w:beforeAutospacing="0" w:after="0" w:afterAutospacing="0"/>
              <w:jc w:val="both"/>
              <w:rPr>
                <w:sz w:val="20"/>
                <w:szCs w:val="20"/>
              </w:rPr>
            </w:pPr>
            <w:r>
              <w:rPr>
                <w:sz w:val="20"/>
                <w:szCs w:val="20"/>
              </w:rPr>
              <w:t> </w:t>
            </w:r>
          </w:p>
        </w:tc>
      </w:tr>
      <w:tr w:rsidR="007E65A2" w14:paraId="259B372A" w14:textId="77777777">
        <w:trPr>
          <w:divId w:val="911279972"/>
          <w:tblCellSpacing w:w="0" w:type="dxa"/>
        </w:trPr>
        <w:tc>
          <w:tcPr>
            <w:tcW w:w="0" w:type="auto"/>
            <w:shd w:val="clear" w:color="auto" w:fill="CCEEFF"/>
            <w:hideMark/>
          </w:tcPr>
          <w:p w14:paraId="2F918857" w14:textId="77777777" w:rsidR="00000000" w:rsidRDefault="007E65A2">
            <w:pPr>
              <w:pStyle w:val="a3"/>
              <w:spacing w:before="0" w:beforeAutospacing="0" w:after="0" w:afterAutospacing="0"/>
              <w:jc w:val="both"/>
              <w:rPr>
                <w:sz w:val="20"/>
                <w:szCs w:val="20"/>
              </w:rPr>
            </w:pPr>
            <w:r>
              <w:rPr>
                <w:i/>
                <w:iCs/>
                <w:sz w:val="20"/>
                <w:szCs w:val="20"/>
              </w:rPr>
              <w:t>CEO and CFO</w:t>
            </w:r>
          </w:p>
        </w:tc>
        <w:tc>
          <w:tcPr>
            <w:tcW w:w="50" w:type="pct"/>
            <w:shd w:val="clear" w:color="auto" w:fill="CCEEFF"/>
            <w:vAlign w:val="bottom"/>
            <w:hideMark/>
          </w:tcPr>
          <w:p w14:paraId="7D282B5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center"/>
            <w:hideMark/>
          </w:tcPr>
          <w:p w14:paraId="0914DD71" w14:textId="77777777" w:rsidR="00000000" w:rsidRDefault="007E65A2">
            <w:pPr>
              <w:rPr>
                <w:sz w:val="20"/>
                <w:szCs w:val="20"/>
              </w:rPr>
            </w:pPr>
          </w:p>
        </w:tc>
        <w:tc>
          <w:tcPr>
            <w:tcW w:w="300" w:type="pct"/>
            <w:shd w:val="clear" w:color="auto" w:fill="CCEEFF"/>
            <w:vAlign w:val="center"/>
            <w:hideMark/>
          </w:tcPr>
          <w:p w14:paraId="007FEA55" w14:textId="77777777" w:rsidR="00000000" w:rsidRDefault="007E65A2">
            <w:pPr>
              <w:pStyle w:val="a3"/>
              <w:spacing w:before="0" w:beforeAutospacing="0" w:after="0" w:afterAutospacing="0"/>
              <w:jc w:val="center"/>
              <w:rPr>
                <w:sz w:val="20"/>
                <w:szCs w:val="20"/>
              </w:rPr>
            </w:pPr>
            <w:r>
              <w:rPr>
                <w:sz w:val="20"/>
                <w:szCs w:val="20"/>
              </w:rPr>
              <w:t>2018</w:t>
            </w:r>
          </w:p>
        </w:tc>
        <w:tc>
          <w:tcPr>
            <w:tcW w:w="50" w:type="pct"/>
            <w:shd w:val="clear" w:color="auto" w:fill="CCEEFF"/>
            <w:vAlign w:val="bottom"/>
            <w:hideMark/>
          </w:tcPr>
          <w:p w14:paraId="464D6DC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79869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82E5576" w14:textId="77777777" w:rsidR="00000000" w:rsidRDefault="007E65A2">
            <w:pPr>
              <w:pStyle w:val="a3"/>
              <w:spacing w:before="0" w:beforeAutospacing="0" w:after="0" w:afterAutospacing="0"/>
              <w:jc w:val="both"/>
              <w:rPr>
                <w:sz w:val="20"/>
                <w:szCs w:val="20"/>
              </w:rPr>
            </w:pPr>
            <w:r>
              <w:rPr>
                <w:sz w:val="20"/>
                <w:szCs w:val="20"/>
              </w:rPr>
              <w:t> </w:t>
            </w:r>
          </w:p>
        </w:tc>
        <w:tc>
          <w:tcPr>
            <w:tcW w:w="300" w:type="pct"/>
            <w:shd w:val="clear" w:color="auto" w:fill="CCEEFF"/>
            <w:vAlign w:val="bottom"/>
            <w:hideMark/>
          </w:tcPr>
          <w:p w14:paraId="74913F38" w14:textId="77777777" w:rsidR="00000000" w:rsidRDefault="007E65A2">
            <w:pPr>
              <w:jc w:val="right"/>
              <w:rPr>
                <w:rFonts w:eastAsia="Times New Roman"/>
                <w:sz w:val="20"/>
                <w:szCs w:val="20"/>
              </w:rPr>
            </w:pPr>
            <w:r>
              <w:rPr>
                <w:rFonts w:eastAsia="Times New Roman"/>
                <w:sz w:val="20"/>
                <w:szCs w:val="20"/>
              </w:rPr>
              <w:t>96,000</w:t>
            </w:r>
          </w:p>
        </w:tc>
        <w:tc>
          <w:tcPr>
            <w:tcW w:w="50" w:type="pct"/>
            <w:shd w:val="clear" w:color="auto" w:fill="CCEEFF"/>
            <w:vAlign w:val="bottom"/>
            <w:hideMark/>
          </w:tcPr>
          <w:p w14:paraId="03333FC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21A50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5C5F10B" w14:textId="77777777" w:rsidR="00000000" w:rsidRDefault="007E65A2">
            <w:pPr>
              <w:pStyle w:val="a3"/>
              <w:spacing w:before="0" w:beforeAutospacing="0" w:after="0" w:afterAutospacing="0"/>
              <w:jc w:val="both"/>
              <w:rPr>
                <w:sz w:val="20"/>
                <w:szCs w:val="20"/>
              </w:rPr>
            </w:pPr>
            <w:r>
              <w:rPr>
                <w:sz w:val="20"/>
                <w:szCs w:val="20"/>
              </w:rPr>
              <w:t> </w:t>
            </w:r>
          </w:p>
        </w:tc>
        <w:tc>
          <w:tcPr>
            <w:tcW w:w="300" w:type="pct"/>
            <w:shd w:val="clear" w:color="auto" w:fill="CCEEFF"/>
            <w:vAlign w:val="bottom"/>
            <w:hideMark/>
          </w:tcPr>
          <w:p w14:paraId="15BCED25"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BE2561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50EA72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2F2603" w14:textId="77777777" w:rsidR="00000000" w:rsidRDefault="007E65A2">
            <w:pPr>
              <w:pStyle w:val="a3"/>
              <w:spacing w:before="0" w:beforeAutospacing="0" w:after="0" w:afterAutospacing="0"/>
              <w:jc w:val="both"/>
              <w:rPr>
                <w:sz w:val="20"/>
                <w:szCs w:val="20"/>
              </w:rPr>
            </w:pPr>
            <w:r>
              <w:rPr>
                <w:sz w:val="20"/>
                <w:szCs w:val="20"/>
              </w:rPr>
              <w:t> </w:t>
            </w:r>
          </w:p>
        </w:tc>
        <w:tc>
          <w:tcPr>
            <w:tcW w:w="300" w:type="pct"/>
            <w:shd w:val="clear" w:color="auto" w:fill="CCEEFF"/>
            <w:vAlign w:val="bottom"/>
            <w:hideMark/>
          </w:tcPr>
          <w:p w14:paraId="11D20654"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14971B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99BA7C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818A7D" w14:textId="77777777" w:rsidR="00000000" w:rsidRDefault="007E65A2">
            <w:pPr>
              <w:pStyle w:val="a3"/>
              <w:spacing w:before="0" w:beforeAutospacing="0" w:after="0" w:afterAutospacing="0"/>
              <w:jc w:val="both"/>
              <w:rPr>
                <w:sz w:val="20"/>
                <w:szCs w:val="20"/>
              </w:rPr>
            </w:pPr>
            <w:r>
              <w:rPr>
                <w:sz w:val="20"/>
                <w:szCs w:val="20"/>
              </w:rPr>
              <w:t> </w:t>
            </w:r>
          </w:p>
        </w:tc>
        <w:tc>
          <w:tcPr>
            <w:tcW w:w="300" w:type="pct"/>
            <w:shd w:val="clear" w:color="auto" w:fill="CCEEFF"/>
            <w:vAlign w:val="bottom"/>
            <w:hideMark/>
          </w:tcPr>
          <w:p w14:paraId="3BAAB287"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E8FCC1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D949F0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9A51314" w14:textId="77777777" w:rsidR="00000000" w:rsidRDefault="007E65A2">
            <w:pPr>
              <w:pStyle w:val="a3"/>
              <w:spacing w:before="0" w:beforeAutospacing="0" w:after="0" w:afterAutospacing="0"/>
              <w:jc w:val="both"/>
              <w:rPr>
                <w:sz w:val="20"/>
                <w:szCs w:val="20"/>
              </w:rPr>
            </w:pPr>
            <w:r>
              <w:rPr>
                <w:sz w:val="20"/>
                <w:szCs w:val="20"/>
              </w:rPr>
              <w:t> </w:t>
            </w:r>
          </w:p>
        </w:tc>
        <w:tc>
          <w:tcPr>
            <w:tcW w:w="300" w:type="pct"/>
            <w:shd w:val="clear" w:color="auto" w:fill="CCEEFF"/>
            <w:vAlign w:val="bottom"/>
            <w:hideMark/>
          </w:tcPr>
          <w:p w14:paraId="6CD9A9B3"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550242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87A3D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4A54772" w14:textId="77777777" w:rsidR="00000000" w:rsidRDefault="007E65A2">
            <w:pPr>
              <w:pStyle w:val="a3"/>
              <w:spacing w:before="0" w:beforeAutospacing="0" w:after="0" w:afterAutospacing="0"/>
              <w:jc w:val="both"/>
              <w:rPr>
                <w:sz w:val="20"/>
                <w:szCs w:val="20"/>
              </w:rPr>
            </w:pPr>
            <w:r>
              <w:rPr>
                <w:sz w:val="20"/>
                <w:szCs w:val="20"/>
              </w:rPr>
              <w:t> </w:t>
            </w:r>
          </w:p>
        </w:tc>
        <w:tc>
          <w:tcPr>
            <w:tcW w:w="300" w:type="pct"/>
            <w:shd w:val="clear" w:color="auto" w:fill="CCEEFF"/>
            <w:vAlign w:val="bottom"/>
            <w:hideMark/>
          </w:tcPr>
          <w:p w14:paraId="63B2C02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B83371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3E4744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E4D66E2" w14:textId="77777777" w:rsidR="00000000" w:rsidRDefault="007E65A2">
            <w:pPr>
              <w:pStyle w:val="a3"/>
              <w:spacing w:before="0" w:beforeAutospacing="0" w:after="0" w:afterAutospacing="0"/>
              <w:jc w:val="both"/>
              <w:rPr>
                <w:sz w:val="20"/>
                <w:szCs w:val="20"/>
              </w:rPr>
            </w:pPr>
            <w:r>
              <w:rPr>
                <w:sz w:val="20"/>
                <w:szCs w:val="20"/>
              </w:rPr>
              <w:t> </w:t>
            </w:r>
          </w:p>
        </w:tc>
        <w:tc>
          <w:tcPr>
            <w:tcW w:w="300" w:type="pct"/>
            <w:shd w:val="clear" w:color="auto" w:fill="CCEEFF"/>
            <w:vAlign w:val="bottom"/>
            <w:hideMark/>
          </w:tcPr>
          <w:p w14:paraId="7A70FAE9"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B56C4F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CE149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EF99451" w14:textId="77777777" w:rsidR="00000000" w:rsidRDefault="007E65A2">
            <w:pPr>
              <w:pStyle w:val="a3"/>
              <w:spacing w:before="0" w:beforeAutospacing="0" w:after="0" w:afterAutospacing="0"/>
              <w:jc w:val="both"/>
              <w:rPr>
                <w:sz w:val="20"/>
                <w:szCs w:val="20"/>
              </w:rPr>
            </w:pPr>
            <w:r>
              <w:rPr>
                <w:sz w:val="20"/>
                <w:szCs w:val="20"/>
              </w:rPr>
              <w:t> </w:t>
            </w:r>
          </w:p>
        </w:tc>
        <w:tc>
          <w:tcPr>
            <w:tcW w:w="300" w:type="pct"/>
            <w:shd w:val="clear" w:color="auto" w:fill="CCEEFF"/>
            <w:vAlign w:val="bottom"/>
            <w:hideMark/>
          </w:tcPr>
          <w:p w14:paraId="07BBB3A2" w14:textId="77777777" w:rsidR="00000000" w:rsidRDefault="007E65A2">
            <w:pPr>
              <w:jc w:val="right"/>
              <w:rPr>
                <w:rFonts w:eastAsia="Times New Roman"/>
                <w:sz w:val="20"/>
                <w:szCs w:val="20"/>
              </w:rPr>
            </w:pPr>
            <w:r>
              <w:rPr>
                <w:rFonts w:eastAsia="Times New Roman"/>
                <w:sz w:val="20"/>
                <w:szCs w:val="20"/>
              </w:rPr>
              <w:t>96,000</w:t>
            </w:r>
          </w:p>
        </w:tc>
        <w:tc>
          <w:tcPr>
            <w:tcW w:w="50" w:type="pct"/>
            <w:shd w:val="clear" w:color="auto" w:fill="CCEEFF"/>
            <w:vAlign w:val="bottom"/>
            <w:hideMark/>
          </w:tcPr>
          <w:p w14:paraId="46E6F6EA" w14:textId="77777777" w:rsidR="00000000" w:rsidRDefault="007E65A2">
            <w:pPr>
              <w:pStyle w:val="a3"/>
              <w:spacing w:before="0" w:beforeAutospacing="0" w:after="0" w:afterAutospacing="0"/>
              <w:jc w:val="both"/>
              <w:rPr>
                <w:sz w:val="20"/>
                <w:szCs w:val="20"/>
              </w:rPr>
            </w:pPr>
            <w:r>
              <w:rPr>
                <w:sz w:val="20"/>
                <w:szCs w:val="20"/>
              </w:rPr>
              <w:t> </w:t>
            </w:r>
          </w:p>
        </w:tc>
      </w:tr>
      <w:tr w:rsidR="007E65A2" w14:paraId="735D34FB" w14:textId="77777777">
        <w:trPr>
          <w:divId w:val="911279972"/>
          <w:tblCellSpacing w:w="0" w:type="dxa"/>
        </w:trPr>
        <w:tc>
          <w:tcPr>
            <w:tcW w:w="0" w:type="auto"/>
            <w:shd w:val="clear" w:color="auto" w:fill="FFFFFF"/>
            <w:vAlign w:val="center"/>
            <w:hideMark/>
          </w:tcPr>
          <w:p w14:paraId="4EA01D0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F86560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FA03FF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1C38BC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5D613F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0C950F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5634B45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EF7D49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A43E70"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6BFC196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166EED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4E57BF5"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12D1354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EF5C55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5A1D2E3"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1C240E3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E42B70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073D62A"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06EBEE9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42BD3F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06F99C6"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146B221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D087C9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99F8BD5"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78C45D6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03FBEA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881500D"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23E8DE9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7AFEE7E" w14:textId="77777777" w:rsidR="00000000" w:rsidRDefault="007E65A2">
            <w:pPr>
              <w:pStyle w:val="a3"/>
              <w:spacing w:before="0" w:beforeAutospacing="0" w:after="0" w:afterAutospacing="0"/>
              <w:jc w:val="both"/>
              <w:rPr>
                <w:sz w:val="20"/>
                <w:szCs w:val="20"/>
              </w:rPr>
            </w:pPr>
            <w:r>
              <w:rPr>
                <w:sz w:val="20"/>
                <w:szCs w:val="20"/>
              </w:rPr>
              <w:t> </w:t>
            </w:r>
          </w:p>
        </w:tc>
      </w:tr>
      <w:tr w:rsidR="007E65A2" w14:paraId="6CC79DD2" w14:textId="77777777">
        <w:trPr>
          <w:divId w:val="911279972"/>
          <w:tblCellSpacing w:w="0" w:type="dxa"/>
        </w:trPr>
        <w:tc>
          <w:tcPr>
            <w:tcW w:w="0" w:type="auto"/>
            <w:shd w:val="clear" w:color="auto" w:fill="CCEEFF"/>
            <w:hideMark/>
          </w:tcPr>
          <w:p w14:paraId="59C67FE3" w14:textId="77777777" w:rsidR="00000000" w:rsidRDefault="007E65A2">
            <w:pPr>
              <w:pStyle w:val="a3"/>
              <w:spacing w:before="0" w:beforeAutospacing="0" w:after="0" w:afterAutospacing="0"/>
              <w:jc w:val="both"/>
              <w:rPr>
                <w:sz w:val="20"/>
                <w:szCs w:val="20"/>
              </w:rPr>
            </w:pPr>
            <w:r>
              <w:rPr>
                <w:sz w:val="20"/>
                <w:szCs w:val="20"/>
              </w:rPr>
              <w:t>Keri Williams</w:t>
            </w:r>
            <w:r>
              <w:rPr>
                <w:sz w:val="20"/>
                <w:szCs w:val="20"/>
                <w:vertAlign w:val="superscript"/>
              </w:rPr>
              <w:t>(2)</w:t>
            </w:r>
          </w:p>
        </w:tc>
        <w:tc>
          <w:tcPr>
            <w:tcW w:w="0" w:type="auto"/>
            <w:shd w:val="clear" w:color="auto" w:fill="CCEEFF"/>
            <w:vAlign w:val="bottom"/>
            <w:hideMark/>
          </w:tcPr>
          <w:p w14:paraId="2F25074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A95D4A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10C405F" w14:textId="77777777" w:rsidR="00000000" w:rsidRDefault="007E65A2">
            <w:pPr>
              <w:pStyle w:val="a3"/>
              <w:spacing w:before="0" w:beforeAutospacing="0" w:after="0" w:afterAutospacing="0"/>
              <w:jc w:val="center"/>
              <w:rPr>
                <w:sz w:val="20"/>
                <w:szCs w:val="20"/>
              </w:rPr>
            </w:pPr>
            <w:r>
              <w:rPr>
                <w:sz w:val="20"/>
                <w:szCs w:val="20"/>
              </w:rPr>
              <w:t xml:space="preserve">2019 </w:t>
            </w:r>
          </w:p>
        </w:tc>
        <w:tc>
          <w:tcPr>
            <w:tcW w:w="0" w:type="auto"/>
            <w:shd w:val="clear" w:color="auto" w:fill="CCEEFF"/>
            <w:vAlign w:val="bottom"/>
            <w:hideMark/>
          </w:tcPr>
          <w:p w14:paraId="6E0E425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4140EE6"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008C5ACF"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2384751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B8CCE8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53DC9202"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4FDA415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3086F7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75A99E38"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0727B0B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8B2923B"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15A094B0"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4C74E0B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ADD3F25"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54CC3B8B"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3A1519D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68C23FE"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594DA289"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126144C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8975191"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2020FD05"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2C977E6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AD86013"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69EA9703"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67B02D52" w14:textId="77777777" w:rsidR="00000000" w:rsidRDefault="007E65A2">
            <w:pPr>
              <w:pStyle w:val="a3"/>
              <w:spacing w:before="0" w:beforeAutospacing="0" w:after="0" w:afterAutospacing="0"/>
              <w:jc w:val="both"/>
              <w:rPr>
                <w:sz w:val="20"/>
                <w:szCs w:val="20"/>
              </w:rPr>
            </w:pPr>
            <w:r>
              <w:rPr>
                <w:sz w:val="20"/>
                <w:szCs w:val="20"/>
              </w:rPr>
              <w:t> </w:t>
            </w:r>
          </w:p>
        </w:tc>
      </w:tr>
      <w:tr w:rsidR="007E65A2" w14:paraId="4863F0EB" w14:textId="77777777">
        <w:trPr>
          <w:divId w:val="911279972"/>
          <w:tblCellSpacing w:w="0" w:type="dxa"/>
        </w:trPr>
        <w:tc>
          <w:tcPr>
            <w:tcW w:w="0" w:type="auto"/>
            <w:shd w:val="clear" w:color="auto" w:fill="CCEEFF"/>
            <w:hideMark/>
          </w:tcPr>
          <w:p w14:paraId="40FE64DE" w14:textId="77777777" w:rsidR="00000000" w:rsidRDefault="007E65A2">
            <w:pPr>
              <w:pStyle w:val="a3"/>
              <w:spacing w:before="0" w:beforeAutospacing="0" w:after="0" w:afterAutospacing="0"/>
              <w:jc w:val="both"/>
              <w:rPr>
                <w:sz w:val="20"/>
                <w:szCs w:val="20"/>
              </w:rPr>
            </w:pPr>
            <w:r>
              <w:rPr>
                <w:i/>
                <w:iCs/>
                <w:sz w:val="20"/>
                <w:szCs w:val="20"/>
              </w:rPr>
              <w:t>Secretary and Director</w:t>
            </w:r>
          </w:p>
        </w:tc>
        <w:tc>
          <w:tcPr>
            <w:tcW w:w="0" w:type="auto"/>
            <w:shd w:val="clear" w:color="auto" w:fill="CCEEFF"/>
            <w:vAlign w:val="bottom"/>
            <w:hideMark/>
          </w:tcPr>
          <w:p w14:paraId="7A7081E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49351C71" w14:textId="77777777" w:rsidR="00000000" w:rsidRDefault="007E65A2">
            <w:pPr>
              <w:rPr>
                <w:sz w:val="20"/>
                <w:szCs w:val="20"/>
              </w:rPr>
            </w:pPr>
          </w:p>
        </w:tc>
        <w:tc>
          <w:tcPr>
            <w:tcW w:w="0" w:type="auto"/>
            <w:shd w:val="clear" w:color="auto" w:fill="CCEEFF"/>
            <w:vAlign w:val="center"/>
            <w:hideMark/>
          </w:tcPr>
          <w:p w14:paraId="1590EF7F" w14:textId="77777777" w:rsidR="00000000" w:rsidRDefault="007E65A2">
            <w:pPr>
              <w:pStyle w:val="a3"/>
              <w:spacing w:before="0" w:beforeAutospacing="0" w:after="0" w:afterAutospacing="0"/>
              <w:jc w:val="center"/>
              <w:rPr>
                <w:sz w:val="20"/>
                <w:szCs w:val="20"/>
              </w:rPr>
            </w:pPr>
            <w:r>
              <w:rPr>
                <w:sz w:val="20"/>
                <w:szCs w:val="20"/>
              </w:rPr>
              <w:t>2018</w:t>
            </w:r>
          </w:p>
        </w:tc>
        <w:tc>
          <w:tcPr>
            <w:tcW w:w="0" w:type="auto"/>
            <w:shd w:val="clear" w:color="auto" w:fill="CCEEFF"/>
            <w:vAlign w:val="bottom"/>
            <w:hideMark/>
          </w:tcPr>
          <w:p w14:paraId="7440A9C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FBF5FC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BC9958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F7A4638"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0E4949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C24E17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DEB253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0FFA0A7"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9C2C8D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09F8CF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3F0A3A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1C2D3C6"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A431CD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BB50EC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C0509D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8574842"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77BECF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83D685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6D7969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7B8C3F2"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641F16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AD6079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FEE985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F56B23E"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C00EBA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A5D850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0C5B7F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C2F1E6C"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6AF0F2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4E4C64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79832D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4E43FA5" w14:textId="77777777" w:rsidR="00000000" w:rsidRDefault="007E65A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36A8458" w14:textId="77777777" w:rsidR="00000000" w:rsidRDefault="007E65A2">
            <w:pPr>
              <w:pStyle w:val="a3"/>
              <w:spacing w:before="0" w:beforeAutospacing="0" w:after="0" w:afterAutospacing="0"/>
              <w:jc w:val="both"/>
              <w:rPr>
                <w:sz w:val="20"/>
                <w:szCs w:val="20"/>
              </w:rPr>
            </w:pPr>
            <w:r>
              <w:rPr>
                <w:sz w:val="20"/>
                <w:szCs w:val="20"/>
              </w:rPr>
              <w:t> </w:t>
            </w:r>
          </w:p>
        </w:tc>
      </w:tr>
      <w:tr w:rsidR="007E65A2" w14:paraId="35193ACC" w14:textId="77777777">
        <w:trPr>
          <w:divId w:val="911279972"/>
          <w:trHeight w:val="180"/>
          <w:tblCellSpacing w:w="0" w:type="dxa"/>
        </w:trPr>
        <w:tc>
          <w:tcPr>
            <w:tcW w:w="0" w:type="auto"/>
            <w:shd w:val="clear" w:color="auto" w:fill="FFFFFF"/>
            <w:vAlign w:val="center"/>
            <w:hideMark/>
          </w:tcPr>
          <w:p w14:paraId="3D1E561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FDA823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CC205C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A641A3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D4EFDB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A68E6E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56EB19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2A0A66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81BC8F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CFA14A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0F84CB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0A341A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21B4AB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C0EF3A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4A7047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6635A8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C945B8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287773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1F690B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B1B8F3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B52ABD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D97360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D00FCD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9F1A55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5FF80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ABA279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28C9A0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6FEBD4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5B08E2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14B73C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6A620F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E4B84F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39AEE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9F7E1A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599C38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6EEDA6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43E4CE9" w14:textId="77777777" w:rsidR="00000000" w:rsidRDefault="007E65A2">
            <w:pPr>
              <w:pStyle w:val="a3"/>
              <w:spacing w:before="0" w:beforeAutospacing="0" w:after="0" w:afterAutospacing="0"/>
              <w:jc w:val="both"/>
              <w:rPr>
                <w:sz w:val="20"/>
                <w:szCs w:val="20"/>
              </w:rPr>
            </w:pPr>
            <w:r>
              <w:rPr>
                <w:sz w:val="20"/>
                <w:szCs w:val="20"/>
              </w:rPr>
              <w:t> </w:t>
            </w:r>
          </w:p>
        </w:tc>
      </w:tr>
      <w:tr w:rsidR="007E65A2" w14:paraId="4870BC7D" w14:textId="77777777">
        <w:trPr>
          <w:divId w:val="911279972"/>
          <w:tblCellSpacing w:w="0" w:type="dxa"/>
        </w:trPr>
        <w:tc>
          <w:tcPr>
            <w:tcW w:w="0" w:type="auto"/>
            <w:shd w:val="clear" w:color="auto" w:fill="CCEEFF"/>
            <w:hideMark/>
          </w:tcPr>
          <w:p w14:paraId="23F167C6" w14:textId="77777777" w:rsidR="00000000" w:rsidRDefault="007E65A2">
            <w:pPr>
              <w:pStyle w:val="a3"/>
              <w:spacing w:before="0" w:beforeAutospacing="0" w:after="0" w:afterAutospacing="0"/>
              <w:jc w:val="both"/>
              <w:rPr>
                <w:sz w:val="20"/>
                <w:szCs w:val="20"/>
              </w:rPr>
            </w:pPr>
            <w:r>
              <w:rPr>
                <w:sz w:val="20"/>
                <w:szCs w:val="20"/>
              </w:rPr>
              <w:t>Devin Beavers</w:t>
            </w:r>
            <w:r>
              <w:rPr>
                <w:sz w:val="20"/>
                <w:szCs w:val="20"/>
                <w:vertAlign w:val="superscript"/>
              </w:rPr>
              <w:t>(3)</w:t>
            </w:r>
          </w:p>
        </w:tc>
        <w:tc>
          <w:tcPr>
            <w:tcW w:w="0" w:type="auto"/>
            <w:shd w:val="clear" w:color="auto" w:fill="CCEEFF"/>
            <w:vAlign w:val="bottom"/>
            <w:hideMark/>
          </w:tcPr>
          <w:p w14:paraId="7F26CB3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E4F680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756CD68" w14:textId="77777777" w:rsidR="00000000" w:rsidRDefault="007E65A2">
            <w:pPr>
              <w:pStyle w:val="a3"/>
              <w:spacing w:before="0" w:beforeAutospacing="0" w:after="0" w:afterAutospacing="0"/>
              <w:jc w:val="center"/>
              <w:rPr>
                <w:sz w:val="20"/>
                <w:szCs w:val="20"/>
              </w:rPr>
            </w:pPr>
            <w:r>
              <w:rPr>
                <w:sz w:val="20"/>
                <w:szCs w:val="20"/>
              </w:rPr>
              <w:t xml:space="preserve">2019 </w:t>
            </w:r>
          </w:p>
        </w:tc>
        <w:tc>
          <w:tcPr>
            <w:tcW w:w="0" w:type="auto"/>
            <w:shd w:val="clear" w:color="auto" w:fill="CCEEFF"/>
            <w:vAlign w:val="bottom"/>
            <w:hideMark/>
          </w:tcPr>
          <w:p w14:paraId="7812C1BB"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29F108F"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2B4AE789"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73A1455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CEE11E5"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24313843"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0F48336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FE93183"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101D5DC9"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51A3B0C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FC18415"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0DF4DF8A"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063076A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0C45472E"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58C86702"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1B24938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53BF5F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4858A5E1"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0BE080B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EB65CA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750DFFCF"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351B936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DF36D5F"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7EB7DF3A"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6EFBAEE0" w14:textId="77777777" w:rsidR="00000000" w:rsidRDefault="007E65A2">
            <w:pPr>
              <w:pStyle w:val="a3"/>
              <w:spacing w:before="0" w:beforeAutospacing="0" w:after="0" w:afterAutospacing="0"/>
              <w:jc w:val="both"/>
              <w:rPr>
                <w:sz w:val="20"/>
                <w:szCs w:val="20"/>
              </w:rPr>
            </w:pPr>
            <w:r>
              <w:rPr>
                <w:sz w:val="20"/>
                <w:szCs w:val="20"/>
              </w:rPr>
              <w:t> </w:t>
            </w:r>
          </w:p>
        </w:tc>
      </w:tr>
      <w:tr w:rsidR="007E65A2" w14:paraId="0AD3A0E9" w14:textId="77777777">
        <w:trPr>
          <w:divId w:val="911279972"/>
          <w:tblCellSpacing w:w="0" w:type="dxa"/>
        </w:trPr>
        <w:tc>
          <w:tcPr>
            <w:tcW w:w="0" w:type="auto"/>
            <w:shd w:val="clear" w:color="auto" w:fill="CCEEFF"/>
            <w:hideMark/>
          </w:tcPr>
          <w:p w14:paraId="27FBDDA8" w14:textId="77777777" w:rsidR="00000000" w:rsidRDefault="007E65A2">
            <w:pPr>
              <w:pStyle w:val="a3"/>
              <w:spacing w:before="0" w:beforeAutospacing="0" w:after="0" w:afterAutospacing="0"/>
              <w:jc w:val="both"/>
              <w:rPr>
                <w:sz w:val="20"/>
                <w:szCs w:val="20"/>
              </w:rPr>
            </w:pPr>
            <w:r>
              <w:rPr>
                <w:i/>
                <w:iCs/>
                <w:sz w:val="20"/>
                <w:szCs w:val="20"/>
              </w:rPr>
              <w:t>Director</w:t>
            </w:r>
          </w:p>
        </w:tc>
        <w:tc>
          <w:tcPr>
            <w:tcW w:w="0" w:type="auto"/>
            <w:shd w:val="clear" w:color="auto" w:fill="CCEEFF"/>
            <w:vAlign w:val="bottom"/>
            <w:hideMark/>
          </w:tcPr>
          <w:p w14:paraId="04732C2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170CD5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F83981D" w14:textId="77777777" w:rsidR="00000000" w:rsidRDefault="007E65A2">
            <w:pPr>
              <w:pStyle w:val="a3"/>
              <w:spacing w:before="0" w:beforeAutospacing="0" w:after="0" w:afterAutospacing="0"/>
              <w:jc w:val="center"/>
              <w:rPr>
                <w:sz w:val="20"/>
                <w:szCs w:val="20"/>
              </w:rPr>
            </w:pPr>
            <w:r>
              <w:rPr>
                <w:sz w:val="20"/>
                <w:szCs w:val="20"/>
              </w:rPr>
              <w:t>2018</w:t>
            </w:r>
          </w:p>
        </w:tc>
        <w:tc>
          <w:tcPr>
            <w:tcW w:w="0" w:type="auto"/>
            <w:shd w:val="clear" w:color="auto" w:fill="CCEEFF"/>
            <w:vAlign w:val="bottom"/>
            <w:hideMark/>
          </w:tcPr>
          <w:p w14:paraId="266F923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149F1D3"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2CCEDFF4"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1772653E"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AA2A795"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6D03D179"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468800B3"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A8FA2AD"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2360A3E9"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4D7CEC0C"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C78705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437B57C2"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6DE27B4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249F34E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0ABE0027"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36189769"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6875564F"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787CF341"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6C8D0DA8"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7A51C869"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2E825104"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586ADD72"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6BE33D6"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19D74EEB" w14:textId="77777777" w:rsidR="00000000" w:rsidRDefault="007E65A2">
            <w:pPr>
              <w:pStyle w:val="a3"/>
              <w:spacing w:before="0" w:beforeAutospacing="0" w:after="0" w:afterAutospacing="0"/>
              <w:ind w:left="720"/>
              <w:jc w:val="right"/>
              <w:rPr>
                <w:sz w:val="20"/>
                <w:szCs w:val="20"/>
              </w:rPr>
            </w:pPr>
            <w:r>
              <w:rPr>
                <w:sz w:val="20"/>
                <w:szCs w:val="20"/>
              </w:rPr>
              <w:t>-</w:t>
            </w:r>
          </w:p>
        </w:tc>
        <w:tc>
          <w:tcPr>
            <w:tcW w:w="0" w:type="auto"/>
            <w:shd w:val="clear" w:color="auto" w:fill="CCEEFF"/>
            <w:vAlign w:val="bottom"/>
            <w:hideMark/>
          </w:tcPr>
          <w:p w14:paraId="73FB4D5B" w14:textId="77777777" w:rsidR="00000000" w:rsidRDefault="007E65A2">
            <w:pPr>
              <w:pStyle w:val="a3"/>
              <w:spacing w:before="0" w:beforeAutospacing="0" w:after="0" w:afterAutospacing="0"/>
              <w:jc w:val="both"/>
              <w:rPr>
                <w:sz w:val="20"/>
                <w:szCs w:val="20"/>
              </w:rPr>
            </w:pPr>
            <w:r>
              <w:rPr>
                <w:sz w:val="20"/>
                <w:szCs w:val="20"/>
              </w:rPr>
              <w:t> </w:t>
            </w:r>
          </w:p>
        </w:tc>
      </w:tr>
    </w:tbl>
    <w:p w14:paraId="73D0C011" w14:textId="77777777" w:rsidR="00000000" w:rsidRDefault="007E65A2">
      <w:pPr>
        <w:pStyle w:val="a3"/>
        <w:spacing w:before="0" w:beforeAutospacing="0" w:after="0" w:afterAutospacing="0"/>
        <w:jc w:val="both"/>
        <w:divId w:val="911279972"/>
        <w:rPr>
          <w:sz w:val="20"/>
          <w:szCs w:val="20"/>
        </w:rPr>
      </w:pPr>
      <w:r>
        <w:rPr>
          <w:sz w:val="20"/>
          <w:szCs w:val="20"/>
        </w:rPr>
        <w:t> </w:t>
      </w:r>
    </w:p>
    <w:p w14:paraId="2A653993" w14:textId="77777777" w:rsidR="00000000" w:rsidRDefault="007E65A2">
      <w:pPr>
        <w:pStyle w:val="a3"/>
        <w:spacing w:before="0" w:beforeAutospacing="0" w:after="0" w:afterAutospacing="0"/>
        <w:jc w:val="both"/>
        <w:divId w:val="911279972"/>
        <w:rPr>
          <w:sz w:val="20"/>
          <w:szCs w:val="20"/>
        </w:rPr>
      </w:pPr>
      <w:r>
        <w:rPr>
          <w:sz w:val="20"/>
          <w:szCs w:val="20"/>
        </w:rPr>
        <w:t>Note: </w:t>
      </w:r>
    </w:p>
    <w:p w14:paraId="085E7760" w14:textId="77777777" w:rsidR="00000000" w:rsidRDefault="007E65A2">
      <w:pPr>
        <w:pStyle w:val="a3"/>
        <w:spacing w:before="0" w:beforeAutospacing="0" w:after="0" w:afterAutospacing="0"/>
        <w:jc w:val="both"/>
        <w:divId w:val="911279972"/>
        <w:rPr>
          <w:sz w:val="20"/>
          <w:szCs w:val="20"/>
        </w:rPr>
      </w:pPr>
      <w:r>
        <w:rPr>
          <w:sz w:val="20"/>
          <w:szCs w:val="20"/>
        </w:rPr>
        <w:t>________ </w:t>
      </w:r>
    </w:p>
    <w:tbl>
      <w:tblPr>
        <w:tblW w:w="5000" w:type="pct"/>
        <w:tblCellSpacing w:w="0" w:type="dxa"/>
        <w:tblCellMar>
          <w:left w:w="0" w:type="dxa"/>
          <w:right w:w="0" w:type="dxa"/>
        </w:tblCellMar>
        <w:tblLook w:val="04A0" w:firstRow="1" w:lastRow="0" w:firstColumn="1" w:lastColumn="0" w:noHBand="0" w:noVBand="1"/>
      </w:tblPr>
      <w:tblGrid>
        <w:gridCol w:w="332"/>
        <w:gridCol w:w="7974"/>
      </w:tblGrid>
      <w:tr w:rsidR="00000000" w14:paraId="53AF8745" w14:textId="77777777">
        <w:trPr>
          <w:divId w:val="911279972"/>
          <w:trHeight w:val="180"/>
          <w:tblCellSpacing w:w="0" w:type="dxa"/>
        </w:trPr>
        <w:tc>
          <w:tcPr>
            <w:tcW w:w="200" w:type="pct"/>
            <w:hideMark/>
          </w:tcPr>
          <w:p w14:paraId="2B164F7B" w14:textId="77777777" w:rsidR="00000000" w:rsidRDefault="007E65A2">
            <w:pPr>
              <w:pStyle w:val="a3"/>
              <w:spacing w:before="0" w:beforeAutospacing="0" w:after="0" w:afterAutospacing="0"/>
              <w:jc w:val="both"/>
              <w:rPr>
                <w:sz w:val="20"/>
                <w:szCs w:val="20"/>
              </w:rPr>
            </w:pPr>
            <w:r>
              <w:rPr>
                <w:sz w:val="20"/>
                <w:szCs w:val="20"/>
              </w:rPr>
              <w:t>(1)</w:t>
            </w:r>
          </w:p>
        </w:tc>
        <w:tc>
          <w:tcPr>
            <w:tcW w:w="0" w:type="auto"/>
            <w:hideMark/>
          </w:tcPr>
          <w:p w14:paraId="11F3DE9A" w14:textId="77777777" w:rsidR="00000000" w:rsidRDefault="007E65A2">
            <w:pPr>
              <w:pStyle w:val="a3"/>
              <w:spacing w:before="0" w:beforeAutospacing="0" w:after="0" w:afterAutospacing="0"/>
              <w:jc w:val="both"/>
              <w:rPr>
                <w:sz w:val="20"/>
                <w:szCs w:val="20"/>
              </w:rPr>
            </w:pPr>
            <w:r>
              <w:rPr>
                <w:sz w:val="20"/>
                <w:szCs w:val="20"/>
              </w:rPr>
              <w:t>Mr. McKinnon was appointed as our chief executive officer and chief financial officer on March 7, 2016. Salary has been accrued but not paid in cash as of the filing of this Proxy Statement.</w:t>
            </w:r>
          </w:p>
        </w:tc>
      </w:tr>
      <w:tr w:rsidR="00000000" w14:paraId="37F2D4AA" w14:textId="77777777">
        <w:trPr>
          <w:divId w:val="911279972"/>
          <w:trHeight w:val="180"/>
          <w:tblCellSpacing w:w="0" w:type="dxa"/>
        </w:trPr>
        <w:tc>
          <w:tcPr>
            <w:tcW w:w="0" w:type="auto"/>
            <w:hideMark/>
          </w:tcPr>
          <w:p w14:paraId="0FE54D4B" w14:textId="77777777" w:rsidR="00000000" w:rsidRDefault="007E65A2">
            <w:pPr>
              <w:rPr>
                <w:sz w:val="20"/>
                <w:szCs w:val="20"/>
              </w:rPr>
            </w:pPr>
          </w:p>
        </w:tc>
        <w:tc>
          <w:tcPr>
            <w:tcW w:w="0" w:type="auto"/>
            <w:hideMark/>
          </w:tcPr>
          <w:p w14:paraId="6AD2E6F2" w14:textId="77777777" w:rsidR="00000000" w:rsidRDefault="007E65A2">
            <w:pPr>
              <w:jc w:val="both"/>
              <w:rPr>
                <w:rFonts w:eastAsia="Times New Roman"/>
                <w:sz w:val="20"/>
                <w:szCs w:val="20"/>
              </w:rPr>
            </w:pPr>
          </w:p>
        </w:tc>
      </w:tr>
      <w:tr w:rsidR="00000000" w14:paraId="1735D6F9" w14:textId="77777777">
        <w:trPr>
          <w:divId w:val="911279972"/>
          <w:trHeight w:val="180"/>
          <w:tblCellSpacing w:w="0" w:type="dxa"/>
        </w:trPr>
        <w:tc>
          <w:tcPr>
            <w:tcW w:w="0" w:type="auto"/>
            <w:hideMark/>
          </w:tcPr>
          <w:p w14:paraId="79D5563F" w14:textId="77777777" w:rsidR="00000000" w:rsidRDefault="007E65A2">
            <w:pPr>
              <w:pStyle w:val="a3"/>
              <w:spacing w:before="0" w:beforeAutospacing="0" w:after="0" w:afterAutospacing="0"/>
              <w:jc w:val="both"/>
              <w:rPr>
                <w:sz w:val="20"/>
                <w:szCs w:val="20"/>
              </w:rPr>
            </w:pPr>
            <w:r>
              <w:rPr>
                <w:sz w:val="20"/>
                <w:szCs w:val="20"/>
              </w:rPr>
              <w:t>(2)</w:t>
            </w:r>
          </w:p>
        </w:tc>
        <w:tc>
          <w:tcPr>
            <w:tcW w:w="0" w:type="auto"/>
            <w:hideMark/>
          </w:tcPr>
          <w:p w14:paraId="085A9C96" w14:textId="77777777" w:rsidR="00000000" w:rsidRDefault="007E65A2">
            <w:pPr>
              <w:pStyle w:val="a3"/>
              <w:spacing w:before="0" w:beforeAutospacing="0" w:after="0" w:afterAutospacing="0"/>
              <w:jc w:val="both"/>
              <w:rPr>
                <w:sz w:val="20"/>
                <w:szCs w:val="20"/>
              </w:rPr>
            </w:pPr>
            <w:r>
              <w:rPr>
                <w:sz w:val="20"/>
                <w:szCs w:val="20"/>
              </w:rPr>
              <w:t>Mrs. Williams was appointed as secretary on January 8, 20</w:t>
            </w:r>
            <w:r>
              <w:rPr>
                <w:sz w:val="20"/>
                <w:szCs w:val="20"/>
              </w:rPr>
              <w:t>14.</w:t>
            </w:r>
          </w:p>
        </w:tc>
      </w:tr>
      <w:tr w:rsidR="00000000" w14:paraId="1FFFB556" w14:textId="77777777">
        <w:trPr>
          <w:divId w:val="911279972"/>
          <w:trHeight w:val="180"/>
          <w:tblCellSpacing w:w="0" w:type="dxa"/>
        </w:trPr>
        <w:tc>
          <w:tcPr>
            <w:tcW w:w="0" w:type="auto"/>
            <w:vAlign w:val="center"/>
            <w:hideMark/>
          </w:tcPr>
          <w:p w14:paraId="0784D5F1" w14:textId="77777777" w:rsidR="00000000" w:rsidRDefault="007E65A2">
            <w:pPr>
              <w:rPr>
                <w:sz w:val="20"/>
                <w:szCs w:val="20"/>
              </w:rPr>
            </w:pPr>
          </w:p>
        </w:tc>
        <w:tc>
          <w:tcPr>
            <w:tcW w:w="0" w:type="auto"/>
            <w:vAlign w:val="center"/>
            <w:hideMark/>
          </w:tcPr>
          <w:p w14:paraId="0E103CF8" w14:textId="77777777" w:rsidR="00000000" w:rsidRDefault="007E65A2">
            <w:pPr>
              <w:jc w:val="both"/>
              <w:rPr>
                <w:rFonts w:eastAsia="Times New Roman"/>
                <w:sz w:val="20"/>
                <w:szCs w:val="20"/>
              </w:rPr>
            </w:pPr>
          </w:p>
        </w:tc>
      </w:tr>
      <w:tr w:rsidR="00000000" w14:paraId="53C8CB49" w14:textId="77777777">
        <w:trPr>
          <w:divId w:val="911279972"/>
          <w:trHeight w:val="180"/>
          <w:tblCellSpacing w:w="0" w:type="dxa"/>
        </w:trPr>
        <w:tc>
          <w:tcPr>
            <w:tcW w:w="0" w:type="auto"/>
            <w:hideMark/>
          </w:tcPr>
          <w:p w14:paraId="2FDC6368" w14:textId="77777777" w:rsidR="00000000" w:rsidRDefault="007E65A2">
            <w:pPr>
              <w:pStyle w:val="a3"/>
              <w:spacing w:before="0" w:beforeAutospacing="0" w:after="0" w:afterAutospacing="0"/>
              <w:jc w:val="both"/>
              <w:rPr>
                <w:sz w:val="20"/>
                <w:szCs w:val="20"/>
              </w:rPr>
            </w:pPr>
            <w:r>
              <w:rPr>
                <w:sz w:val="20"/>
                <w:szCs w:val="20"/>
              </w:rPr>
              <w:t>(3)</w:t>
            </w:r>
          </w:p>
        </w:tc>
        <w:tc>
          <w:tcPr>
            <w:tcW w:w="0" w:type="auto"/>
            <w:hideMark/>
          </w:tcPr>
          <w:p w14:paraId="34DE6B57" w14:textId="77777777" w:rsidR="00000000" w:rsidRDefault="007E65A2">
            <w:pPr>
              <w:pStyle w:val="a3"/>
              <w:spacing w:before="0" w:beforeAutospacing="0" w:after="0" w:afterAutospacing="0"/>
              <w:jc w:val="both"/>
              <w:rPr>
                <w:sz w:val="20"/>
                <w:szCs w:val="20"/>
              </w:rPr>
            </w:pPr>
            <w:r>
              <w:rPr>
                <w:sz w:val="20"/>
                <w:szCs w:val="20"/>
              </w:rPr>
              <w:t>Mr. Beavers was appointed director, interim chief executive officer and interim chief financial officer on February 16, 2016 and resigned as interim chief executive officer and interim chief financial officer on March 7, 2016.</w:t>
            </w:r>
          </w:p>
        </w:tc>
      </w:tr>
    </w:tbl>
    <w:p w14:paraId="592B91D3" w14:textId="77777777" w:rsidR="00000000" w:rsidRDefault="007E65A2">
      <w:pPr>
        <w:pStyle w:val="a3"/>
        <w:spacing w:before="0" w:beforeAutospacing="0" w:after="0" w:afterAutospacing="0"/>
        <w:jc w:val="both"/>
        <w:divId w:val="911279972"/>
        <w:rPr>
          <w:sz w:val="20"/>
          <w:szCs w:val="20"/>
        </w:rPr>
      </w:pPr>
      <w:r>
        <w:rPr>
          <w:sz w:val="20"/>
          <w:szCs w:val="20"/>
        </w:rPr>
        <w:t> </w:t>
      </w:r>
    </w:p>
    <w:p w14:paraId="7786317A" w14:textId="77777777" w:rsidR="00000000" w:rsidRDefault="007E65A2">
      <w:pPr>
        <w:pStyle w:val="a3"/>
        <w:spacing w:before="0" w:beforeAutospacing="0" w:after="0" w:afterAutospacing="0"/>
        <w:jc w:val="both"/>
        <w:divId w:val="911279972"/>
        <w:rPr>
          <w:sz w:val="20"/>
          <w:szCs w:val="20"/>
        </w:rPr>
      </w:pPr>
      <w:r>
        <w:rPr>
          <w:sz w:val="20"/>
          <w:szCs w:val="20"/>
        </w:rPr>
        <w:t>There are no arrangements or plans in which we provide pension, retirement or similar benefits for directors or executive officers. Our directors and executive officers may receive share options at the discretion of our board of directors in the future. We</w:t>
      </w:r>
      <w:r>
        <w:rPr>
          <w:sz w:val="20"/>
          <w:szCs w:val="20"/>
        </w:rPr>
        <w:t xml:space="preserve"> do not have any material bonus or profit sharing plans pursuant to which cash or non-cash compensation is or may be paid to our directors or executive officers, except that share options may be granted at the discretion of our board of directors.</w:t>
      </w:r>
    </w:p>
    <w:p w14:paraId="72250FC0"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7A84752" w14:textId="77777777">
        <w:trPr>
          <w:divId w:val="911279972"/>
          <w:tblCellSpacing w:w="0" w:type="dxa"/>
        </w:trPr>
        <w:tc>
          <w:tcPr>
            <w:tcW w:w="0" w:type="auto"/>
            <w:vAlign w:val="center"/>
            <w:hideMark/>
          </w:tcPr>
          <w:p w14:paraId="12DA3176" w14:textId="77777777" w:rsidR="00000000" w:rsidRDefault="007E65A2">
            <w:pPr>
              <w:rPr>
                <w:rFonts w:eastAsia="Times New Roman"/>
                <w:sz w:val="20"/>
                <w:szCs w:val="20"/>
              </w:rPr>
            </w:pPr>
            <w:r>
              <w:rPr>
                <w:rFonts w:eastAsia="Times New Roman"/>
                <w:sz w:val="20"/>
                <w:szCs w:val="20"/>
              </w:rPr>
              <w:t> </w:t>
            </w:r>
          </w:p>
        </w:tc>
      </w:tr>
      <w:tr w:rsidR="00000000" w14:paraId="36820DFB" w14:textId="77777777">
        <w:trPr>
          <w:divId w:val="911279972"/>
          <w:tblCellSpacing w:w="0" w:type="dxa"/>
        </w:trPr>
        <w:tc>
          <w:tcPr>
            <w:tcW w:w="0" w:type="auto"/>
            <w:tcBorders>
              <w:bottom w:val="single" w:sz="6" w:space="0" w:color="000000"/>
            </w:tcBorders>
            <w:vAlign w:val="center"/>
            <w:hideMark/>
          </w:tcPr>
          <w:p w14:paraId="6DC4EB41" w14:textId="77777777" w:rsidR="00000000" w:rsidRDefault="007E65A2">
            <w:pPr>
              <w:jc w:val="center"/>
              <w:rPr>
                <w:rFonts w:eastAsia="Times New Roman"/>
                <w:sz w:val="20"/>
                <w:szCs w:val="20"/>
              </w:rPr>
            </w:pPr>
            <w:r>
              <w:rPr>
                <w:rFonts w:eastAsia="Times New Roman"/>
                <w:sz w:val="20"/>
                <w:szCs w:val="20"/>
              </w:rPr>
              <w:t>18</w:t>
            </w:r>
          </w:p>
        </w:tc>
      </w:tr>
      <w:tr w:rsidR="00000000" w14:paraId="7BBF737D" w14:textId="77777777">
        <w:trPr>
          <w:divId w:val="911279972"/>
          <w:tblCellSpacing w:w="0" w:type="dxa"/>
        </w:trPr>
        <w:tc>
          <w:tcPr>
            <w:tcW w:w="0" w:type="auto"/>
            <w:vAlign w:val="center"/>
            <w:hideMark/>
          </w:tcPr>
          <w:p w14:paraId="365F2948" w14:textId="77777777" w:rsidR="00000000" w:rsidRDefault="007E65A2">
            <w:pPr>
              <w:rPr>
                <w:rFonts w:eastAsia="Times New Roman"/>
                <w:sz w:val="20"/>
                <w:szCs w:val="20"/>
              </w:rPr>
            </w:pPr>
            <w:r>
              <w:rPr>
                <w:rFonts w:eastAsia="Times New Roman"/>
                <w:sz w:val="20"/>
                <w:szCs w:val="20"/>
              </w:rPr>
              <w:t> </w:t>
            </w:r>
          </w:p>
        </w:tc>
      </w:tr>
      <w:tr w:rsidR="00000000" w14:paraId="77ABA98A" w14:textId="77777777">
        <w:trPr>
          <w:divId w:val="911279972"/>
          <w:tblCellSpacing w:w="0" w:type="dxa"/>
        </w:trPr>
        <w:tc>
          <w:tcPr>
            <w:tcW w:w="0" w:type="auto"/>
            <w:vAlign w:val="center"/>
            <w:hideMark/>
          </w:tcPr>
          <w:p w14:paraId="7ABE756C"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0F941656" w14:textId="77777777" w:rsidR="00000000" w:rsidRDefault="007E65A2">
      <w:pPr>
        <w:pStyle w:val="a3"/>
        <w:spacing w:before="0" w:beforeAutospacing="0" w:after="0" w:afterAutospacing="0"/>
        <w:jc w:val="both"/>
        <w:divId w:val="911279972"/>
        <w:rPr>
          <w:sz w:val="20"/>
          <w:szCs w:val="20"/>
        </w:rPr>
      </w:pPr>
      <w:r>
        <w:rPr>
          <w:sz w:val="20"/>
          <w:szCs w:val="20"/>
        </w:rPr>
        <w:t> </w:t>
      </w:r>
    </w:p>
    <w:p w14:paraId="3F2996D1" w14:textId="77777777" w:rsidR="00000000" w:rsidRDefault="007E65A2">
      <w:pPr>
        <w:pStyle w:val="a3"/>
        <w:spacing w:before="0" w:beforeAutospacing="0" w:after="0" w:afterAutospacing="0"/>
        <w:jc w:val="both"/>
        <w:divId w:val="911279972"/>
        <w:rPr>
          <w:sz w:val="20"/>
          <w:szCs w:val="20"/>
        </w:rPr>
      </w:pPr>
      <w:bookmarkStart w:id="27" w:name="Item12"/>
      <w:r>
        <w:rPr>
          <w:b/>
          <w:bCs/>
          <w:sz w:val="20"/>
          <w:szCs w:val="20"/>
        </w:rPr>
        <w:t>ITEM 12. SECURITY OWNERSHIP OF CERTAIN BENEFICIAL OWNERS AND MANAGEMENT AND RELATED STOCKHOLDER MATTERS</w:t>
      </w:r>
      <w:bookmarkEnd w:id="27"/>
    </w:p>
    <w:p w14:paraId="398BA4E5" w14:textId="77777777" w:rsidR="00000000" w:rsidRDefault="007E65A2">
      <w:pPr>
        <w:pStyle w:val="a3"/>
        <w:spacing w:before="0" w:beforeAutospacing="0" w:after="0" w:afterAutospacing="0"/>
        <w:jc w:val="both"/>
        <w:divId w:val="911279972"/>
        <w:rPr>
          <w:sz w:val="20"/>
          <w:szCs w:val="20"/>
        </w:rPr>
      </w:pPr>
      <w:r>
        <w:rPr>
          <w:sz w:val="20"/>
          <w:szCs w:val="20"/>
        </w:rPr>
        <w:t> </w:t>
      </w:r>
    </w:p>
    <w:p w14:paraId="3D41BE48" w14:textId="77777777" w:rsidR="00000000" w:rsidRDefault="007E65A2">
      <w:pPr>
        <w:pStyle w:val="a3"/>
        <w:spacing w:before="0" w:beforeAutospacing="0" w:after="0" w:afterAutospacing="0"/>
        <w:jc w:val="both"/>
        <w:divId w:val="911279972"/>
        <w:rPr>
          <w:sz w:val="20"/>
          <w:szCs w:val="20"/>
        </w:rPr>
      </w:pPr>
      <w:r>
        <w:rPr>
          <w:sz w:val="20"/>
          <w:szCs w:val="20"/>
        </w:rPr>
        <w:t>The following table sets forth certain information concerning the number of shares of our common st</w:t>
      </w:r>
      <w:r>
        <w:rPr>
          <w:sz w:val="20"/>
          <w:szCs w:val="20"/>
        </w:rPr>
        <w:t>ock owned beneficially as of October 15, 2019 by: (i) each person (including any group) known to us to own more than five percent (5%) of any class of our voting securities, (ii) members of our Board of Directors, and or (iii) our executive officers. Unles</w:t>
      </w:r>
      <w:r>
        <w:rPr>
          <w:sz w:val="20"/>
          <w:szCs w:val="20"/>
        </w:rPr>
        <w:t>s otherwise indicated, the stockholder listed possesses sole voting and investment power with respect to the shares shown.</w:t>
      </w:r>
    </w:p>
    <w:p w14:paraId="1E2DA8E0"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7"/>
        <w:gridCol w:w="54"/>
        <w:gridCol w:w="54"/>
        <w:gridCol w:w="900"/>
        <w:gridCol w:w="54"/>
        <w:gridCol w:w="54"/>
        <w:gridCol w:w="820"/>
        <w:gridCol w:w="54"/>
        <w:gridCol w:w="54"/>
        <w:gridCol w:w="800"/>
        <w:gridCol w:w="50"/>
        <w:gridCol w:w="50"/>
        <w:gridCol w:w="84"/>
        <w:gridCol w:w="749"/>
        <w:gridCol w:w="200"/>
        <w:gridCol w:w="50"/>
        <w:gridCol w:w="50"/>
        <w:gridCol w:w="1150"/>
        <w:gridCol w:w="50"/>
        <w:gridCol w:w="50"/>
        <w:gridCol w:w="82"/>
        <w:gridCol w:w="750"/>
        <w:gridCol w:w="200"/>
      </w:tblGrid>
      <w:tr w:rsidR="00000000" w14:paraId="56857F62" w14:textId="77777777">
        <w:trPr>
          <w:divId w:val="911279972"/>
          <w:tblCellSpacing w:w="0" w:type="dxa"/>
        </w:trPr>
        <w:tc>
          <w:tcPr>
            <w:tcW w:w="0" w:type="auto"/>
            <w:tcBorders>
              <w:bottom w:val="single" w:sz="6" w:space="0" w:color="auto"/>
            </w:tcBorders>
            <w:vAlign w:val="bottom"/>
            <w:hideMark/>
          </w:tcPr>
          <w:p w14:paraId="58B44F3F" w14:textId="77777777" w:rsidR="00000000" w:rsidRDefault="007E65A2">
            <w:pPr>
              <w:pStyle w:val="a3"/>
              <w:spacing w:before="0" w:beforeAutospacing="0" w:after="0" w:afterAutospacing="0"/>
              <w:rPr>
                <w:sz w:val="20"/>
                <w:szCs w:val="20"/>
              </w:rPr>
            </w:pPr>
            <w:r>
              <w:rPr>
                <w:b/>
                <w:bCs/>
                <w:sz w:val="20"/>
                <w:szCs w:val="20"/>
              </w:rPr>
              <w:t>Name</w:t>
            </w:r>
          </w:p>
        </w:tc>
        <w:tc>
          <w:tcPr>
            <w:tcW w:w="0" w:type="auto"/>
            <w:vAlign w:val="bottom"/>
            <w:hideMark/>
          </w:tcPr>
          <w:p w14:paraId="185114BB"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79951289" w14:textId="77777777" w:rsidR="00000000" w:rsidRDefault="007E65A2">
            <w:pPr>
              <w:pStyle w:val="a3"/>
              <w:spacing w:before="0" w:beforeAutospacing="0" w:after="0" w:afterAutospacing="0"/>
              <w:jc w:val="center"/>
              <w:rPr>
                <w:sz w:val="20"/>
                <w:szCs w:val="20"/>
              </w:rPr>
            </w:pPr>
            <w:r>
              <w:rPr>
                <w:b/>
                <w:bCs/>
                <w:sz w:val="20"/>
                <w:szCs w:val="20"/>
              </w:rPr>
              <w:t>Number of</w:t>
            </w:r>
          </w:p>
          <w:p w14:paraId="66F51258" w14:textId="77777777" w:rsidR="00000000" w:rsidRDefault="007E65A2">
            <w:pPr>
              <w:pStyle w:val="a3"/>
              <w:spacing w:before="0" w:beforeAutospacing="0" w:after="0" w:afterAutospacing="0"/>
              <w:jc w:val="center"/>
              <w:rPr>
                <w:sz w:val="20"/>
                <w:szCs w:val="20"/>
              </w:rPr>
            </w:pPr>
            <w:r>
              <w:rPr>
                <w:b/>
                <w:bCs/>
                <w:sz w:val="20"/>
                <w:szCs w:val="20"/>
              </w:rPr>
              <w:t>Shares of</w:t>
            </w:r>
          </w:p>
          <w:p w14:paraId="62CDAE7B" w14:textId="77777777" w:rsidR="00000000" w:rsidRDefault="007E65A2">
            <w:pPr>
              <w:pStyle w:val="a3"/>
              <w:spacing w:before="0" w:beforeAutospacing="0" w:after="0" w:afterAutospacing="0"/>
              <w:jc w:val="center"/>
              <w:rPr>
                <w:sz w:val="20"/>
                <w:szCs w:val="20"/>
              </w:rPr>
            </w:pPr>
            <w:r>
              <w:rPr>
                <w:b/>
                <w:bCs/>
                <w:sz w:val="20"/>
                <w:szCs w:val="20"/>
              </w:rPr>
              <w:t>Common</w:t>
            </w:r>
          </w:p>
          <w:p w14:paraId="07AB8FD6" w14:textId="77777777" w:rsidR="00000000" w:rsidRDefault="007E65A2">
            <w:pPr>
              <w:pStyle w:val="a3"/>
              <w:spacing w:before="0" w:beforeAutospacing="0" w:after="0" w:afterAutospacing="0"/>
              <w:jc w:val="center"/>
              <w:rPr>
                <w:sz w:val="20"/>
                <w:szCs w:val="20"/>
              </w:rPr>
            </w:pPr>
            <w:r>
              <w:rPr>
                <w:b/>
                <w:bCs/>
                <w:sz w:val="20"/>
                <w:szCs w:val="20"/>
              </w:rPr>
              <w:t>Stock</w:t>
            </w:r>
            <w:r>
              <w:rPr>
                <w:b/>
                <w:bCs/>
                <w:sz w:val="20"/>
                <w:szCs w:val="20"/>
                <w:vertAlign w:val="superscript"/>
              </w:rPr>
              <w:t>(a)</w:t>
            </w:r>
          </w:p>
        </w:tc>
        <w:tc>
          <w:tcPr>
            <w:tcW w:w="0" w:type="auto"/>
            <w:tcMar>
              <w:top w:w="0" w:type="dxa"/>
              <w:left w:w="0" w:type="dxa"/>
              <w:bottom w:w="15" w:type="dxa"/>
              <w:right w:w="0" w:type="dxa"/>
            </w:tcMar>
            <w:vAlign w:val="bottom"/>
            <w:hideMark/>
          </w:tcPr>
          <w:p w14:paraId="5BB9AE7A"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7D675ED3" w14:textId="77777777" w:rsidR="00000000" w:rsidRDefault="007E65A2">
            <w:pPr>
              <w:pStyle w:val="a3"/>
              <w:spacing w:before="0" w:beforeAutospacing="0" w:after="0" w:afterAutospacing="0"/>
              <w:jc w:val="center"/>
              <w:rPr>
                <w:sz w:val="20"/>
                <w:szCs w:val="20"/>
              </w:rPr>
            </w:pPr>
            <w:r>
              <w:rPr>
                <w:sz w:val="20"/>
                <w:szCs w:val="20"/>
              </w:rPr>
              <w:t> </w:t>
            </w:r>
          </w:p>
        </w:tc>
        <w:tc>
          <w:tcPr>
            <w:tcW w:w="450" w:type="pct"/>
            <w:tcBorders>
              <w:bottom w:val="single" w:sz="6" w:space="0" w:color="auto"/>
            </w:tcBorders>
            <w:vAlign w:val="bottom"/>
            <w:hideMark/>
          </w:tcPr>
          <w:p w14:paraId="01ADC30F" w14:textId="77777777" w:rsidR="00000000" w:rsidRDefault="007E65A2">
            <w:pPr>
              <w:pStyle w:val="a3"/>
              <w:spacing w:before="0" w:beforeAutospacing="0" w:after="0" w:afterAutospacing="0"/>
              <w:jc w:val="center"/>
              <w:rPr>
                <w:sz w:val="20"/>
                <w:szCs w:val="20"/>
              </w:rPr>
            </w:pPr>
            <w:r>
              <w:rPr>
                <w:b/>
                <w:bCs/>
                <w:sz w:val="20"/>
                <w:szCs w:val="20"/>
              </w:rPr>
              <w:t>Percent of</w:t>
            </w:r>
          </w:p>
          <w:p w14:paraId="0220DA6A" w14:textId="77777777" w:rsidR="00000000" w:rsidRDefault="007E65A2">
            <w:pPr>
              <w:pStyle w:val="a3"/>
              <w:spacing w:before="0" w:beforeAutospacing="0" w:after="0" w:afterAutospacing="0"/>
              <w:jc w:val="center"/>
              <w:rPr>
                <w:sz w:val="20"/>
                <w:szCs w:val="20"/>
              </w:rPr>
            </w:pPr>
            <w:r>
              <w:rPr>
                <w:b/>
                <w:bCs/>
                <w:sz w:val="20"/>
                <w:szCs w:val="20"/>
              </w:rPr>
              <w:t>Common</w:t>
            </w:r>
          </w:p>
          <w:p w14:paraId="4167BE52" w14:textId="77777777" w:rsidR="00000000" w:rsidRDefault="007E65A2">
            <w:pPr>
              <w:pStyle w:val="a3"/>
              <w:spacing w:before="0" w:beforeAutospacing="0" w:after="0" w:afterAutospacing="0"/>
              <w:jc w:val="center"/>
              <w:rPr>
                <w:sz w:val="20"/>
                <w:szCs w:val="20"/>
              </w:rPr>
            </w:pPr>
            <w:r>
              <w:rPr>
                <w:b/>
                <w:bCs/>
                <w:sz w:val="20"/>
                <w:szCs w:val="20"/>
              </w:rPr>
              <w:t>Stock</w:t>
            </w:r>
          </w:p>
        </w:tc>
        <w:tc>
          <w:tcPr>
            <w:tcW w:w="0" w:type="auto"/>
            <w:vAlign w:val="bottom"/>
            <w:hideMark/>
          </w:tcPr>
          <w:p w14:paraId="43FD27E6" w14:textId="77777777" w:rsidR="00000000" w:rsidRDefault="007E65A2">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14:paraId="61F08C20" w14:textId="77777777" w:rsidR="00000000" w:rsidRDefault="007E65A2">
            <w:pPr>
              <w:pStyle w:val="a3"/>
              <w:spacing w:before="0" w:beforeAutospacing="0" w:after="0" w:afterAutospacing="0"/>
              <w:jc w:val="center"/>
              <w:rPr>
                <w:sz w:val="20"/>
                <w:szCs w:val="20"/>
              </w:rPr>
            </w:pPr>
            <w:r>
              <w:rPr>
                <w:b/>
                <w:bCs/>
                <w:sz w:val="20"/>
                <w:szCs w:val="20"/>
              </w:rPr>
              <w:t>Number of Shares of Series A Preferred Stock</w:t>
            </w:r>
            <w:r>
              <w:rPr>
                <w:b/>
                <w:bCs/>
                <w:sz w:val="20"/>
                <w:szCs w:val="20"/>
                <w:vertAlign w:val="superscript"/>
              </w:rPr>
              <w:t>(b)</w:t>
            </w:r>
          </w:p>
        </w:tc>
        <w:tc>
          <w:tcPr>
            <w:tcW w:w="0" w:type="auto"/>
            <w:tcMar>
              <w:top w:w="0" w:type="dxa"/>
              <w:left w:w="0" w:type="dxa"/>
              <w:bottom w:w="15" w:type="dxa"/>
              <w:right w:w="0" w:type="dxa"/>
            </w:tcMar>
            <w:vAlign w:val="bottom"/>
            <w:hideMark/>
          </w:tcPr>
          <w:p w14:paraId="643CA534"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059AA638" w14:textId="77777777" w:rsidR="00000000" w:rsidRDefault="007E65A2">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14:paraId="18E75C28" w14:textId="77777777" w:rsidR="00000000" w:rsidRDefault="007E65A2">
            <w:pPr>
              <w:pStyle w:val="a3"/>
              <w:spacing w:before="0" w:beforeAutospacing="0" w:after="0" w:afterAutospacing="0"/>
              <w:jc w:val="center"/>
              <w:rPr>
                <w:sz w:val="20"/>
                <w:szCs w:val="20"/>
              </w:rPr>
            </w:pPr>
            <w:r>
              <w:rPr>
                <w:b/>
                <w:bCs/>
                <w:sz w:val="20"/>
                <w:szCs w:val="20"/>
              </w:rPr>
              <w:t>Percent of</w:t>
            </w:r>
          </w:p>
          <w:p w14:paraId="7EC72BA4" w14:textId="77777777" w:rsidR="00000000" w:rsidRDefault="007E65A2">
            <w:pPr>
              <w:pStyle w:val="a3"/>
              <w:spacing w:before="0" w:beforeAutospacing="0" w:after="0" w:afterAutospacing="0"/>
              <w:jc w:val="center"/>
              <w:rPr>
                <w:sz w:val="20"/>
                <w:szCs w:val="20"/>
              </w:rPr>
            </w:pPr>
            <w:r>
              <w:rPr>
                <w:b/>
                <w:bCs/>
                <w:sz w:val="20"/>
                <w:szCs w:val="20"/>
              </w:rPr>
              <w:t>Series A</w:t>
            </w:r>
          </w:p>
          <w:p w14:paraId="39E22CDD" w14:textId="77777777" w:rsidR="00000000" w:rsidRDefault="007E65A2">
            <w:pPr>
              <w:pStyle w:val="a3"/>
              <w:spacing w:before="0" w:beforeAutospacing="0" w:after="0" w:afterAutospacing="0"/>
              <w:jc w:val="center"/>
              <w:rPr>
                <w:sz w:val="20"/>
                <w:szCs w:val="20"/>
              </w:rPr>
            </w:pPr>
            <w:r>
              <w:rPr>
                <w:b/>
                <w:bCs/>
                <w:sz w:val="20"/>
                <w:szCs w:val="20"/>
              </w:rPr>
              <w:t>Preferred Stock</w:t>
            </w:r>
          </w:p>
        </w:tc>
        <w:tc>
          <w:tcPr>
            <w:tcW w:w="0" w:type="auto"/>
            <w:tcMar>
              <w:top w:w="0" w:type="dxa"/>
              <w:left w:w="0" w:type="dxa"/>
              <w:bottom w:w="15" w:type="dxa"/>
              <w:right w:w="0" w:type="dxa"/>
            </w:tcMar>
            <w:vAlign w:val="bottom"/>
            <w:hideMark/>
          </w:tcPr>
          <w:p w14:paraId="34DFDE8C"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0B69668C" w14:textId="77777777" w:rsidR="00000000" w:rsidRDefault="007E65A2">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14:paraId="658FB97C" w14:textId="77777777" w:rsidR="00000000" w:rsidRDefault="007E65A2">
            <w:pPr>
              <w:pStyle w:val="a3"/>
              <w:spacing w:before="0" w:beforeAutospacing="0" w:after="0" w:afterAutospacing="0"/>
              <w:jc w:val="center"/>
              <w:rPr>
                <w:sz w:val="20"/>
                <w:szCs w:val="20"/>
              </w:rPr>
            </w:pPr>
            <w:r>
              <w:rPr>
                <w:b/>
                <w:bCs/>
                <w:sz w:val="20"/>
                <w:szCs w:val="20"/>
              </w:rPr>
              <w:t>Total Voting</w:t>
            </w:r>
          </w:p>
          <w:p w14:paraId="55CBC5D4" w14:textId="77777777" w:rsidR="00000000" w:rsidRDefault="007E65A2">
            <w:pPr>
              <w:pStyle w:val="a3"/>
              <w:spacing w:before="0" w:beforeAutospacing="0" w:after="0" w:afterAutospacing="0"/>
              <w:jc w:val="center"/>
              <w:rPr>
                <w:sz w:val="20"/>
                <w:szCs w:val="20"/>
              </w:rPr>
            </w:pPr>
            <w:r>
              <w:rPr>
                <w:b/>
                <w:bCs/>
                <w:sz w:val="20"/>
                <w:szCs w:val="20"/>
              </w:rPr>
              <w:t>Shares</w:t>
            </w:r>
            <w:r>
              <w:rPr>
                <w:b/>
                <w:bCs/>
                <w:sz w:val="20"/>
                <w:szCs w:val="20"/>
                <w:vertAlign w:val="superscript"/>
              </w:rPr>
              <w:t>(b)</w:t>
            </w:r>
          </w:p>
        </w:tc>
        <w:tc>
          <w:tcPr>
            <w:tcW w:w="0" w:type="auto"/>
            <w:tcMar>
              <w:top w:w="0" w:type="dxa"/>
              <w:left w:w="0" w:type="dxa"/>
              <w:bottom w:w="15" w:type="dxa"/>
              <w:right w:w="0" w:type="dxa"/>
            </w:tcMar>
            <w:vAlign w:val="bottom"/>
            <w:hideMark/>
          </w:tcPr>
          <w:p w14:paraId="0571328E" w14:textId="77777777" w:rsidR="00000000" w:rsidRDefault="007E65A2">
            <w:pPr>
              <w:pStyle w:val="a3"/>
              <w:spacing w:before="0" w:beforeAutospacing="0" w:after="0" w:afterAutospacing="0"/>
              <w:jc w:val="center"/>
              <w:rPr>
                <w:sz w:val="20"/>
                <w:szCs w:val="20"/>
              </w:rPr>
            </w:pPr>
            <w:r>
              <w:rPr>
                <w:sz w:val="20"/>
                <w:szCs w:val="20"/>
              </w:rPr>
              <w:t> </w:t>
            </w:r>
          </w:p>
        </w:tc>
        <w:tc>
          <w:tcPr>
            <w:tcW w:w="0" w:type="auto"/>
            <w:vAlign w:val="bottom"/>
            <w:hideMark/>
          </w:tcPr>
          <w:p w14:paraId="62AD3193" w14:textId="77777777" w:rsidR="00000000" w:rsidRDefault="007E65A2">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14:paraId="2953B2E3" w14:textId="77777777" w:rsidR="00000000" w:rsidRDefault="007E65A2">
            <w:pPr>
              <w:pStyle w:val="a3"/>
              <w:spacing w:before="0" w:beforeAutospacing="0" w:after="0" w:afterAutospacing="0"/>
              <w:jc w:val="center"/>
              <w:rPr>
                <w:sz w:val="20"/>
                <w:szCs w:val="20"/>
              </w:rPr>
            </w:pPr>
            <w:r>
              <w:rPr>
                <w:b/>
                <w:bCs/>
                <w:sz w:val="20"/>
                <w:szCs w:val="20"/>
              </w:rPr>
              <w:t>Percent of Total</w:t>
            </w:r>
          </w:p>
          <w:p w14:paraId="0B028A2E" w14:textId="77777777" w:rsidR="00000000" w:rsidRDefault="007E65A2">
            <w:pPr>
              <w:pStyle w:val="a3"/>
              <w:spacing w:before="0" w:beforeAutospacing="0" w:after="0" w:afterAutospacing="0"/>
              <w:jc w:val="center"/>
              <w:rPr>
                <w:sz w:val="20"/>
                <w:szCs w:val="20"/>
              </w:rPr>
            </w:pPr>
            <w:r>
              <w:rPr>
                <w:b/>
                <w:bCs/>
                <w:sz w:val="20"/>
                <w:szCs w:val="20"/>
              </w:rPr>
              <w:t>Voting Shares</w:t>
            </w:r>
            <w:r>
              <w:rPr>
                <w:b/>
                <w:bCs/>
                <w:sz w:val="20"/>
                <w:szCs w:val="20"/>
                <w:vertAlign w:val="superscript"/>
              </w:rPr>
              <w:t>(c)</w:t>
            </w:r>
          </w:p>
        </w:tc>
        <w:tc>
          <w:tcPr>
            <w:tcW w:w="0" w:type="auto"/>
            <w:tcMar>
              <w:top w:w="0" w:type="dxa"/>
              <w:left w:w="0" w:type="dxa"/>
              <w:bottom w:w="15" w:type="dxa"/>
              <w:right w:w="0" w:type="dxa"/>
            </w:tcMar>
            <w:vAlign w:val="bottom"/>
            <w:hideMark/>
          </w:tcPr>
          <w:p w14:paraId="7B7BC6C5" w14:textId="77777777" w:rsidR="00000000" w:rsidRDefault="007E65A2">
            <w:pPr>
              <w:pStyle w:val="a3"/>
              <w:spacing w:before="0" w:beforeAutospacing="0" w:after="0" w:afterAutospacing="0"/>
              <w:jc w:val="both"/>
              <w:rPr>
                <w:sz w:val="20"/>
                <w:szCs w:val="20"/>
              </w:rPr>
            </w:pPr>
            <w:r>
              <w:rPr>
                <w:sz w:val="20"/>
                <w:szCs w:val="20"/>
              </w:rPr>
              <w:t> </w:t>
            </w:r>
          </w:p>
        </w:tc>
      </w:tr>
      <w:tr w:rsidR="00000000" w14:paraId="149B4D3F" w14:textId="77777777">
        <w:trPr>
          <w:divId w:val="911279972"/>
          <w:tblCellSpacing w:w="0" w:type="dxa"/>
        </w:trPr>
        <w:tc>
          <w:tcPr>
            <w:tcW w:w="0" w:type="auto"/>
            <w:shd w:val="clear" w:color="auto" w:fill="CCEEFF"/>
            <w:hideMark/>
          </w:tcPr>
          <w:p w14:paraId="5A74AA57" w14:textId="77777777" w:rsidR="00000000" w:rsidRDefault="007E65A2">
            <w:pPr>
              <w:pStyle w:val="a3"/>
              <w:spacing w:before="0" w:beforeAutospacing="0" w:after="0" w:afterAutospacing="0"/>
              <w:jc w:val="both"/>
              <w:rPr>
                <w:sz w:val="20"/>
                <w:szCs w:val="20"/>
              </w:rPr>
            </w:pPr>
            <w:r>
              <w:rPr>
                <w:sz w:val="20"/>
                <w:szCs w:val="20"/>
              </w:rPr>
              <w:t>Douglas O. McKinnon</w:t>
            </w:r>
          </w:p>
        </w:tc>
        <w:tc>
          <w:tcPr>
            <w:tcW w:w="50" w:type="pct"/>
            <w:shd w:val="clear" w:color="auto" w:fill="CCEEFF"/>
            <w:vAlign w:val="bottom"/>
            <w:hideMark/>
          </w:tcPr>
          <w:p w14:paraId="48B7C058"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4C5AC9A8" w14:textId="77777777" w:rsidR="00000000" w:rsidRDefault="007E65A2">
            <w:pPr>
              <w:pStyle w:val="a3"/>
              <w:spacing w:before="0" w:beforeAutospacing="0" w:after="0" w:afterAutospacing="0"/>
              <w:ind w:left="720"/>
              <w:jc w:val="right"/>
              <w:rPr>
                <w:sz w:val="20"/>
                <w:szCs w:val="20"/>
              </w:rPr>
            </w:pPr>
            <w:r>
              <w:rPr>
                <w:sz w:val="20"/>
                <w:szCs w:val="20"/>
              </w:rPr>
              <w:t>-</w:t>
            </w:r>
          </w:p>
        </w:tc>
        <w:tc>
          <w:tcPr>
            <w:tcW w:w="50" w:type="pct"/>
            <w:shd w:val="clear" w:color="auto" w:fill="CCEEFF"/>
            <w:vAlign w:val="bottom"/>
            <w:hideMark/>
          </w:tcPr>
          <w:p w14:paraId="51F71C2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FFEFFA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44A1443D"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79C3AAF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28247D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B0A6D27" w14:textId="77777777" w:rsidR="00000000" w:rsidRDefault="007E65A2">
            <w:pPr>
              <w:jc w:val="right"/>
              <w:rPr>
                <w:rFonts w:eastAsia="Times New Roman"/>
                <w:sz w:val="20"/>
                <w:szCs w:val="20"/>
              </w:rPr>
            </w:pPr>
            <w:r>
              <w:rPr>
                <w:rFonts w:eastAsia="Times New Roman"/>
                <w:sz w:val="20"/>
                <w:szCs w:val="20"/>
              </w:rPr>
              <w:t>6,416,667</w:t>
            </w:r>
          </w:p>
        </w:tc>
        <w:tc>
          <w:tcPr>
            <w:tcW w:w="50" w:type="pct"/>
            <w:shd w:val="clear" w:color="auto" w:fill="CCEEFF"/>
            <w:vAlign w:val="bottom"/>
            <w:hideMark/>
          </w:tcPr>
          <w:p w14:paraId="1A0A428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6A78C0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4B32DC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8F0DBBA" w14:textId="77777777" w:rsidR="00000000" w:rsidRDefault="007E65A2">
            <w:pPr>
              <w:jc w:val="right"/>
              <w:rPr>
                <w:rFonts w:eastAsia="Times New Roman"/>
                <w:sz w:val="20"/>
                <w:szCs w:val="20"/>
              </w:rPr>
            </w:pPr>
            <w:r>
              <w:rPr>
                <w:rFonts w:eastAsia="Times New Roman"/>
                <w:sz w:val="20"/>
                <w:szCs w:val="20"/>
              </w:rPr>
              <w:t xml:space="preserve">65.8 </w:t>
            </w:r>
          </w:p>
        </w:tc>
        <w:tc>
          <w:tcPr>
            <w:tcW w:w="50" w:type="pct"/>
            <w:shd w:val="clear" w:color="auto" w:fill="CCEEFF"/>
            <w:vAlign w:val="bottom"/>
            <w:hideMark/>
          </w:tcPr>
          <w:p w14:paraId="2B2A48A3"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1031556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FA729FD"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B029E42" w14:textId="77777777" w:rsidR="00000000" w:rsidRDefault="007E65A2">
            <w:pPr>
              <w:jc w:val="right"/>
              <w:rPr>
                <w:rFonts w:eastAsia="Times New Roman"/>
                <w:sz w:val="20"/>
                <w:szCs w:val="20"/>
              </w:rPr>
            </w:pPr>
            <w:r>
              <w:rPr>
                <w:rFonts w:eastAsia="Times New Roman"/>
                <w:sz w:val="20"/>
                <w:szCs w:val="20"/>
              </w:rPr>
              <w:t>6,416,667,000</w:t>
            </w:r>
          </w:p>
        </w:tc>
        <w:tc>
          <w:tcPr>
            <w:tcW w:w="50" w:type="pct"/>
            <w:shd w:val="clear" w:color="auto" w:fill="CCEEFF"/>
            <w:vAlign w:val="bottom"/>
            <w:hideMark/>
          </w:tcPr>
          <w:p w14:paraId="0E7E318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A3EE2E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994AAF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76F8BCA" w14:textId="77777777" w:rsidR="00000000" w:rsidRDefault="007E65A2">
            <w:pPr>
              <w:pStyle w:val="a3"/>
              <w:spacing w:before="0" w:beforeAutospacing="0" w:after="0" w:afterAutospacing="0"/>
              <w:jc w:val="right"/>
              <w:rPr>
                <w:sz w:val="20"/>
                <w:szCs w:val="20"/>
              </w:rPr>
            </w:pPr>
            <w:r>
              <w:rPr>
                <w:sz w:val="20"/>
                <w:szCs w:val="20"/>
              </w:rPr>
              <w:t>43.0</w:t>
            </w:r>
          </w:p>
        </w:tc>
        <w:tc>
          <w:tcPr>
            <w:tcW w:w="50" w:type="pct"/>
            <w:shd w:val="clear" w:color="auto" w:fill="CCEEFF"/>
            <w:vAlign w:val="bottom"/>
            <w:hideMark/>
          </w:tcPr>
          <w:p w14:paraId="6D5297ED" w14:textId="77777777" w:rsidR="00000000" w:rsidRDefault="007E65A2">
            <w:pPr>
              <w:jc w:val="both"/>
              <w:rPr>
                <w:rFonts w:eastAsia="Times New Roman"/>
                <w:sz w:val="20"/>
                <w:szCs w:val="20"/>
              </w:rPr>
            </w:pPr>
            <w:r>
              <w:rPr>
                <w:rFonts w:eastAsia="Times New Roman"/>
                <w:sz w:val="20"/>
                <w:szCs w:val="20"/>
              </w:rPr>
              <w:t>%</w:t>
            </w:r>
          </w:p>
        </w:tc>
      </w:tr>
      <w:tr w:rsidR="00000000" w14:paraId="574D13EA" w14:textId="77777777">
        <w:trPr>
          <w:divId w:val="911279972"/>
          <w:tblCellSpacing w:w="0" w:type="dxa"/>
        </w:trPr>
        <w:tc>
          <w:tcPr>
            <w:tcW w:w="0" w:type="auto"/>
            <w:shd w:val="clear" w:color="auto" w:fill="FFFFFF"/>
            <w:hideMark/>
          </w:tcPr>
          <w:p w14:paraId="24EF1DF7" w14:textId="77777777" w:rsidR="00000000" w:rsidRDefault="007E65A2">
            <w:pPr>
              <w:pStyle w:val="a3"/>
              <w:spacing w:before="0" w:beforeAutospacing="0" w:after="0" w:afterAutospacing="0"/>
              <w:jc w:val="both"/>
              <w:rPr>
                <w:sz w:val="20"/>
                <w:szCs w:val="20"/>
              </w:rPr>
            </w:pPr>
            <w:r>
              <w:rPr>
                <w:sz w:val="20"/>
                <w:szCs w:val="20"/>
              </w:rPr>
              <w:t>Keri Williams</w:t>
            </w:r>
          </w:p>
        </w:tc>
        <w:tc>
          <w:tcPr>
            <w:tcW w:w="50" w:type="pct"/>
            <w:shd w:val="clear" w:color="auto" w:fill="FFFFFF"/>
            <w:vAlign w:val="bottom"/>
            <w:hideMark/>
          </w:tcPr>
          <w:p w14:paraId="045D496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9D6930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7D2F80B" w14:textId="77777777" w:rsidR="00000000" w:rsidRDefault="007E65A2">
            <w:pPr>
              <w:jc w:val="right"/>
              <w:rPr>
                <w:rFonts w:eastAsia="Times New Roman"/>
                <w:sz w:val="20"/>
                <w:szCs w:val="20"/>
              </w:rPr>
            </w:pPr>
            <w:r>
              <w:rPr>
                <w:rFonts w:eastAsia="Times New Roman"/>
                <w:sz w:val="20"/>
                <w:szCs w:val="20"/>
              </w:rPr>
              <w:t>24,000,000</w:t>
            </w:r>
          </w:p>
        </w:tc>
        <w:tc>
          <w:tcPr>
            <w:tcW w:w="50" w:type="pct"/>
            <w:shd w:val="clear" w:color="auto" w:fill="FFFFFF"/>
            <w:vAlign w:val="bottom"/>
            <w:hideMark/>
          </w:tcPr>
          <w:p w14:paraId="43826D9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B2875A"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FF7790" w14:textId="77777777" w:rsidR="00000000" w:rsidRDefault="007E65A2">
            <w:pPr>
              <w:pStyle w:val="a3"/>
              <w:spacing w:before="0" w:beforeAutospacing="0" w:after="0" w:afterAutospacing="0"/>
              <w:ind w:left="720"/>
              <w:jc w:val="right"/>
              <w:rPr>
                <w:sz w:val="20"/>
                <w:szCs w:val="20"/>
              </w:rPr>
            </w:pPr>
            <w:r>
              <w:rPr>
                <w:sz w:val="20"/>
                <w:szCs w:val="20"/>
              </w:rPr>
              <w:t>*</w:t>
            </w:r>
          </w:p>
        </w:tc>
        <w:tc>
          <w:tcPr>
            <w:tcW w:w="50" w:type="pct"/>
            <w:shd w:val="clear" w:color="auto" w:fill="FFFFFF"/>
            <w:vAlign w:val="bottom"/>
            <w:hideMark/>
          </w:tcPr>
          <w:p w14:paraId="179AB07F"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2471C22B" w14:textId="77777777" w:rsidR="00000000" w:rsidRDefault="007E65A2">
            <w:pPr>
              <w:pStyle w:val="a3"/>
              <w:spacing w:before="0" w:beforeAutospacing="0" w:after="0" w:afterAutospacing="0"/>
              <w:ind w:left="720"/>
              <w:jc w:val="right"/>
              <w:rPr>
                <w:sz w:val="20"/>
                <w:szCs w:val="20"/>
              </w:rPr>
            </w:pPr>
            <w:r>
              <w:rPr>
                <w:sz w:val="20"/>
                <w:szCs w:val="20"/>
              </w:rPr>
              <w:t>-</w:t>
            </w:r>
          </w:p>
        </w:tc>
        <w:tc>
          <w:tcPr>
            <w:tcW w:w="50" w:type="pct"/>
            <w:shd w:val="clear" w:color="auto" w:fill="FFFFFF"/>
            <w:vAlign w:val="bottom"/>
            <w:hideMark/>
          </w:tcPr>
          <w:p w14:paraId="3B32B0C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2B4B53C"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09998AB4" w14:textId="77777777" w:rsidR="00000000" w:rsidRDefault="007E65A2">
            <w:pPr>
              <w:pStyle w:val="a3"/>
              <w:spacing w:before="0" w:beforeAutospacing="0" w:after="0" w:afterAutospacing="0"/>
              <w:ind w:left="720"/>
              <w:jc w:val="right"/>
              <w:rPr>
                <w:sz w:val="20"/>
                <w:szCs w:val="20"/>
              </w:rPr>
            </w:pPr>
            <w:r>
              <w:rPr>
                <w:sz w:val="20"/>
                <w:szCs w:val="20"/>
              </w:rPr>
              <w:t>-</w:t>
            </w:r>
          </w:p>
        </w:tc>
        <w:tc>
          <w:tcPr>
            <w:tcW w:w="50" w:type="pct"/>
            <w:shd w:val="clear" w:color="auto" w:fill="FFFFFF"/>
            <w:vAlign w:val="bottom"/>
            <w:hideMark/>
          </w:tcPr>
          <w:p w14:paraId="626ACEF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691CC3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253491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0270624" w14:textId="77777777" w:rsidR="00000000" w:rsidRDefault="007E65A2">
            <w:pPr>
              <w:jc w:val="right"/>
              <w:rPr>
                <w:rFonts w:eastAsia="Times New Roman"/>
                <w:sz w:val="20"/>
                <w:szCs w:val="20"/>
              </w:rPr>
            </w:pPr>
            <w:r>
              <w:rPr>
                <w:rFonts w:eastAsia="Times New Roman"/>
                <w:sz w:val="20"/>
                <w:szCs w:val="20"/>
              </w:rPr>
              <w:t>24,000,000</w:t>
            </w:r>
          </w:p>
        </w:tc>
        <w:tc>
          <w:tcPr>
            <w:tcW w:w="50" w:type="pct"/>
            <w:shd w:val="clear" w:color="auto" w:fill="FFFFFF"/>
            <w:vAlign w:val="bottom"/>
            <w:hideMark/>
          </w:tcPr>
          <w:p w14:paraId="14235B5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72C370"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6CC05C14" w14:textId="77777777" w:rsidR="00000000" w:rsidRDefault="007E65A2">
            <w:pPr>
              <w:pStyle w:val="a3"/>
              <w:spacing w:before="0" w:beforeAutospacing="0" w:after="0" w:afterAutospacing="0"/>
              <w:ind w:left="720"/>
              <w:jc w:val="right"/>
              <w:rPr>
                <w:sz w:val="20"/>
                <w:szCs w:val="20"/>
              </w:rPr>
            </w:pPr>
            <w:r>
              <w:rPr>
                <w:sz w:val="20"/>
                <w:szCs w:val="20"/>
              </w:rPr>
              <w:t>*</w:t>
            </w:r>
          </w:p>
        </w:tc>
        <w:tc>
          <w:tcPr>
            <w:tcW w:w="50" w:type="pct"/>
            <w:shd w:val="clear" w:color="auto" w:fill="FFFFFF"/>
            <w:vAlign w:val="bottom"/>
            <w:hideMark/>
          </w:tcPr>
          <w:p w14:paraId="2A99548B" w14:textId="77777777" w:rsidR="00000000" w:rsidRDefault="007E65A2">
            <w:pPr>
              <w:pStyle w:val="a3"/>
              <w:spacing w:before="0" w:beforeAutospacing="0" w:after="0" w:afterAutospacing="0"/>
              <w:jc w:val="both"/>
              <w:rPr>
                <w:sz w:val="20"/>
                <w:szCs w:val="20"/>
              </w:rPr>
            </w:pPr>
            <w:r>
              <w:rPr>
                <w:sz w:val="20"/>
                <w:szCs w:val="20"/>
              </w:rPr>
              <w:t> </w:t>
            </w:r>
          </w:p>
        </w:tc>
      </w:tr>
      <w:tr w:rsidR="00000000" w14:paraId="02A4AD0A" w14:textId="77777777">
        <w:trPr>
          <w:divId w:val="911279972"/>
          <w:tblCellSpacing w:w="0" w:type="dxa"/>
        </w:trPr>
        <w:tc>
          <w:tcPr>
            <w:tcW w:w="0" w:type="auto"/>
            <w:shd w:val="clear" w:color="auto" w:fill="CCEEFF"/>
            <w:hideMark/>
          </w:tcPr>
          <w:p w14:paraId="4301D36C" w14:textId="77777777" w:rsidR="00000000" w:rsidRDefault="007E65A2">
            <w:pPr>
              <w:pStyle w:val="a3"/>
              <w:spacing w:before="0" w:beforeAutospacing="0" w:after="0" w:afterAutospacing="0"/>
              <w:jc w:val="both"/>
              <w:rPr>
                <w:sz w:val="20"/>
                <w:szCs w:val="20"/>
              </w:rPr>
            </w:pPr>
            <w:r>
              <w:rPr>
                <w:sz w:val="20"/>
                <w:szCs w:val="20"/>
              </w:rPr>
              <w:t>Devin Beavers</w:t>
            </w:r>
          </w:p>
        </w:tc>
        <w:tc>
          <w:tcPr>
            <w:tcW w:w="50" w:type="pct"/>
            <w:shd w:val="clear" w:color="auto" w:fill="CCEEFF"/>
            <w:vAlign w:val="bottom"/>
            <w:hideMark/>
          </w:tcPr>
          <w:p w14:paraId="3818A0C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DD34F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8457118" w14:textId="77777777" w:rsidR="00000000" w:rsidRDefault="007E65A2">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14:paraId="1B109A9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70813E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3BF199AE" w14:textId="77777777" w:rsidR="00000000" w:rsidRDefault="007E65A2">
            <w:pPr>
              <w:pStyle w:val="a3"/>
              <w:spacing w:before="0" w:beforeAutospacing="0" w:after="0" w:afterAutospacing="0"/>
              <w:ind w:left="720"/>
              <w:jc w:val="right"/>
              <w:rPr>
                <w:sz w:val="20"/>
                <w:szCs w:val="20"/>
              </w:rPr>
            </w:pPr>
            <w:r>
              <w:rPr>
                <w:sz w:val="20"/>
                <w:szCs w:val="20"/>
              </w:rPr>
              <w:t>*</w:t>
            </w:r>
          </w:p>
        </w:tc>
        <w:tc>
          <w:tcPr>
            <w:tcW w:w="50" w:type="pct"/>
            <w:shd w:val="clear" w:color="auto" w:fill="CCEEFF"/>
            <w:vAlign w:val="bottom"/>
            <w:hideMark/>
          </w:tcPr>
          <w:p w14:paraId="3EA18A98"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564EAFA6" w14:textId="77777777" w:rsidR="00000000" w:rsidRDefault="007E65A2">
            <w:pPr>
              <w:pStyle w:val="a3"/>
              <w:spacing w:before="0" w:beforeAutospacing="0" w:after="0" w:afterAutospacing="0"/>
              <w:ind w:left="720"/>
              <w:jc w:val="right"/>
              <w:rPr>
                <w:sz w:val="20"/>
                <w:szCs w:val="20"/>
              </w:rPr>
            </w:pPr>
            <w:r>
              <w:rPr>
                <w:sz w:val="20"/>
                <w:szCs w:val="20"/>
              </w:rPr>
              <w:t>-</w:t>
            </w:r>
          </w:p>
        </w:tc>
        <w:tc>
          <w:tcPr>
            <w:tcW w:w="50" w:type="pct"/>
            <w:shd w:val="clear" w:color="auto" w:fill="CCEEFF"/>
            <w:vAlign w:val="bottom"/>
            <w:hideMark/>
          </w:tcPr>
          <w:p w14:paraId="23B5699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1A1A4F9"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31429E61" w14:textId="77777777" w:rsidR="00000000" w:rsidRDefault="007E65A2">
            <w:pPr>
              <w:pStyle w:val="a3"/>
              <w:spacing w:before="0" w:beforeAutospacing="0" w:after="0" w:afterAutospacing="0"/>
              <w:ind w:left="720"/>
              <w:jc w:val="right"/>
              <w:rPr>
                <w:sz w:val="20"/>
                <w:szCs w:val="20"/>
              </w:rPr>
            </w:pPr>
            <w:r>
              <w:rPr>
                <w:sz w:val="20"/>
                <w:szCs w:val="20"/>
              </w:rPr>
              <w:t>-</w:t>
            </w:r>
          </w:p>
        </w:tc>
        <w:tc>
          <w:tcPr>
            <w:tcW w:w="50" w:type="pct"/>
            <w:shd w:val="clear" w:color="auto" w:fill="CCEEFF"/>
            <w:vAlign w:val="bottom"/>
            <w:hideMark/>
          </w:tcPr>
          <w:p w14:paraId="63C2B26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F41E8A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E8618E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975C9B4" w14:textId="77777777" w:rsidR="00000000" w:rsidRDefault="007E65A2">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14:paraId="16C7E74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E00E71D" w14:textId="77777777" w:rsidR="00000000" w:rsidRDefault="007E65A2">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center"/>
            <w:hideMark/>
          </w:tcPr>
          <w:p w14:paraId="53AF0638" w14:textId="77777777" w:rsidR="00000000" w:rsidRDefault="007E65A2">
            <w:pPr>
              <w:pStyle w:val="a3"/>
              <w:spacing w:before="0" w:beforeAutospacing="0" w:after="0" w:afterAutospacing="0"/>
              <w:ind w:left="720"/>
              <w:jc w:val="right"/>
              <w:rPr>
                <w:sz w:val="20"/>
                <w:szCs w:val="20"/>
              </w:rPr>
            </w:pPr>
            <w:r>
              <w:rPr>
                <w:sz w:val="20"/>
                <w:szCs w:val="20"/>
              </w:rPr>
              <w:t>*</w:t>
            </w:r>
          </w:p>
        </w:tc>
        <w:tc>
          <w:tcPr>
            <w:tcW w:w="50" w:type="pct"/>
            <w:shd w:val="clear" w:color="auto" w:fill="CCEEFF"/>
            <w:vAlign w:val="bottom"/>
            <w:hideMark/>
          </w:tcPr>
          <w:p w14:paraId="7C8E8581" w14:textId="77777777" w:rsidR="00000000" w:rsidRDefault="007E65A2">
            <w:pPr>
              <w:pStyle w:val="a3"/>
              <w:spacing w:before="0" w:beforeAutospacing="0" w:after="0" w:afterAutospacing="0"/>
              <w:jc w:val="both"/>
              <w:rPr>
                <w:sz w:val="20"/>
                <w:szCs w:val="20"/>
              </w:rPr>
            </w:pPr>
            <w:r>
              <w:rPr>
                <w:sz w:val="20"/>
                <w:szCs w:val="20"/>
              </w:rPr>
              <w:t> </w:t>
            </w:r>
          </w:p>
        </w:tc>
      </w:tr>
      <w:tr w:rsidR="00000000" w14:paraId="38CA30C7" w14:textId="77777777">
        <w:trPr>
          <w:divId w:val="911279972"/>
          <w:tblCellSpacing w:w="0" w:type="dxa"/>
        </w:trPr>
        <w:tc>
          <w:tcPr>
            <w:tcW w:w="0" w:type="auto"/>
            <w:shd w:val="clear" w:color="auto" w:fill="FFFFFF"/>
            <w:hideMark/>
          </w:tcPr>
          <w:p w14:paraId="028EFFD3" w14:textId="77777777" w:rsidR="00000000" w:rsidRDefault="007E65A2">
            <w:pPr>
              <w:pStyle w:val="a3"/>
              <w:spacing w:before="0" w:beforeAutospacing="0" w:after="0" w:afterAutospacing="0"/>
              <w:jc w:val="both"/>
              <w:rPr>
                <w:sz w:val="20"/>
                <w:szCs w:val="20"/>
              </w:rPr>
            </w:pPr>
            <w:r>
              <w:rPr>
                <w:b/>
                <w:bCs/>
                <w:i/>
                <w:iCs/>
                <w:sz w:val="20"/>
                <w:szCs w:val="20"/>
              </w:rPr>
              <w:t>Directors and Executive Officers as a Group (3 persons)</w:t>
            </w:r>
          </w:p>
        </w:tc>
        <w:tc>
          <w:tcPr>
            <w:tcW w:w="50" w:type="pct"/>
            <w:shd w:val="clear" w:color="auto" w:fill="FFFFFF"/>
            <w:vAlign w:val="bottom"/>
            <w:hideMark/>
          </w:tcPr>
          <w:p w14:paraId="42F8F50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3DDFBC9" w14:textId="77777777" w:rsidR="00000000" w:rsidRDefault="007E65A2">
            <w:pPr>
              <w:pStyle w:val="a3"/>
              <w:spacing w:before="0" w:beforeAutospacing="0" w:after="0" w:afterAutospacing="0"/>
              <w:jc w:val="both"/>
              <w:rPr>
                <w:b/>
                <w:bCs/>
                <w:sz w:val="20"/>
                <w:szCs w:val="20"/>
              </w:rPr>
            </w:pPr>
            <w:r>
              <w:rPr>
                <w:b/>
                <w:bCs/>
                <w:sz w:val="20"/>
                <w:szCs w:val="20"/>
              </w:rPr>
              <w:t> </w:t>
            </w:r>
          </w:p>
        </w:tc>
        <w:tc>
          <w:tcPr>
            <w:tcW w:w="450" w:type="pct"/>
            <w:shd w:val="clear" w:color="auto" w:fill="FFFFFF"/>
            <w:vAlign w:val="bottom"/>
            <w:hideMark/>
          </w:tcPr>
          <w:p w14:paraId="5611412F" w14:textId="77777777" w:rsidR="00000000" w:rsidRDefault="007E65A2">
            <w:pPr>
              <w:jc w:val="right"/>
              <w:rPr>
                <w:rFonts w:eastAsia="Times New Roman"/>
                <w:sz w:val="20"/>
                <w:szCs w:val="20"/>
              </w:rPr>
            </w:pPr>
            <w:r>
              <w:rPr>
                <w:rFonts w:eastAsia="Times New Roman"/>
                <w:b/>
                <w:bCs/>
                <w:sz w:val="20"/>
                <w:szCs w:val="20"/>
              </w:rPr>
              <w:t>29,000,000</w:t>
            </w:r>
          </w:p>
        </w:tc>
        <w:tc>
          <w:tcPr>
            <w:tcW w:w="50" w:type="pct"/>
            <w:shd w:val="clear" w:color="auto" w:fill="FFFFFF"/>
            <w:vAlign w:val="bottom"/>
            <w:hideMark/>
          </w:tcPr>
          <w:p w14:paraId="6EFE88E1" w14:textId="77777777" w:rsidR="00000000" w:rsidRDefault="007E65A2">
            <w:pPr>
              <w:pStyle w:val="a3"/>
              <w:spacing w:before="0" w:beforeAutospacing="0" w:after="0" w:afterAutospacing="0"/>
              <w:jc w:val="both"/>
              <w:rPr>
                <w:b/>
                <w:bCs/>
                <w:sz w:val="20"/>
                <w:szCs w:val="20"/>
              </w:rPr>
            </w:pPr>
            <w:r>
              <w:rPr>
                <w:b/>
                <w:bCs/>
                <w:sz w:val="20"/>
                <w:szCs w:val="20"/>
              </w:rPr>
              <w:t> </w:t>
            </w:r>
          </w:p>
        </w:tc>
        <w:tc>
          <w:tcPr>
            <w:tcW w:w="50" w:type="pct"/>
            <w:shd w:val="clear" w:color="auto" w:fill="FFFFFF"/>
            <w:vAlign w:val="bottom"/>
            <w:hideMark/>
          </w:tcPr>
          <w:p w14:paraId="35D613A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0BCC781" w14:textId="77777777" w:rsidR="00000000" w:rsidRDefault="007E65A2">
            <w:pPr>
              <w:pStyle w:val="a3"/>
              <w:spacing w:before="0" w:beforeAutospacing="0" w:after="0" w:afterAutospacing="0"/>
              <w:ind w:left="720"/>
              <w:jc w:val="right"/>
              <w:rPr>
                <w:sz w:val="20"/>
                <w:szCs w:val="20"/>
              </w:rPr>
            </w:pPr>
            <w:r>
              <w:rPr>
                <w:b/>
                <w:bCs/>
                <w:sz w:val="20"/>
                <w:szCs w:val="20"/>
              </w:rPr>
              <w:t>*</w:t>
            </w:r>
          </w:p>
        </w:tc>
        <w:tc>
          <w:tcPr>
            <w:tcW w:w="50" w:type="pct"/>
            <w:shd w:val="clear" w:color="auto" w:fill="FFFFFF"/>
            <w:vAlign w:val="bottom"/>
            <w:hideMark/>
          </w:tcPr>
          <w:p w14:paraId="153E97E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D562C19"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DE670E2" w14:textId="77777777" w:rsidR="00000000" w:rsidRDefault="007E65A2">
            <w:pPr>
              <w:jc w:val="right"/>
              <w:rPr>
                <w:rFonts w:eastAsia="Times New Roman"/>
                <w:sz w:val="20"/>
                <w:szCs w:val="20"/>
              </w:rPr>
            </w:pPr>
            <w:r>
              <w:rPr>
                <w:rFonts w:eastAsia="Times New Roman"/>
                <w:sz w:val="20"/>
                <w:szCs w:val="20"/>
              </w:rPr>
              <w:t>6,416,667</w:t>
            </w:r>
          </w:p>
        </w:tc>
        <w:tc>
          <w:tcPr>
            <w:tcW w:w="50" w:type="pct"/>
            <w:shd w:val="clear" w:color="auto" w:fill="FFFFFF"/>
            <w:vAlign w:val="bottom"/>
            <w:hideMark/>
          </w:tcPr>
          <w:p w14:paraId="5C85519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198C0C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C27D2AD" w14:textId="77777777" w:rsidR="00000000" w:rsidRDefault="007E65A2">
            <w:pPr>
              <w:pStyle w:val="a3"/>
              <w:spacing w:before="0" w:beforeAutospacing="0" w:after="0" w:afterAutospacing="0"/>
              <w:jc w:val="both"/>
              <w:rPr>
                <w:b/>
                <w:bCs/>
                <w:sz w:val="20"/>
                <w:szCs w:val="20"/>
              </w:rPr>
            </w:pPr>
            <w:r>
              <w:rPr>
                <w:b/>
                <w:bCs/>
                <w:sz w:val="20"/>
                <w:szCs w:val="20"/>
              </w:rPr>
              <w:t> </w:t>
            </w:r>
          </w:p>
        </w:tc>
        <w:tc>
          <w:tcPr>
            <w:tcW w:w="450" w:type="pct"/>
            <w:shd w:val="clear" w:color="auto" w:fill="FFFFFF"/>
            <w:vAlign w:val="bottom"/>
            <w:hideMark/>
          </w:tcPr>
          <w:p w14:paraId="7ECA2EE1" w14:textId="77777777" w:rsidR="00000000" w:rsidRDefault="007E65A2">
            <w:pPr>
              <w:jc w:val="right"/>
              <w:rPr>
                <w:rFonts w:eastAsia="Times New Roman"/>
                <w:sz w:val="20"/>
                <w:szCs w:val="20"/>
              </w:rPr>
            </w:pPr>
            <w:r>
              <w:rPr>
                <w:rFonts w:eastAsia="Times New Roman"/>
                <w:b/>
                <w:bCs/>
                <w:sz w:val="20"/>
                <w:szCs w:val="20"/>
              </w:rPr>
              <w:t xml:space="preserve">65.8 </w:t>
            </w:r>
          </w:p>
        </w:tc>
        <w:tc>
          <w:tcPr>
            <w:tcW w:w="50" w:type="pct"/>
            <w:shd w:val="clear" w:color="auto" w:fill="FFFFFF"/>
            <w:vAlign w:val="bottom"/>
            <w:hideMark/>
          </w:tcPr>
          <w:p w14:paraId="2D7578F5" w14:textId="77777777" w:rsidR="00000000" w:rsidRDefault="007E65A2">
            <w:pPr>
              <w:jc w:val="both"/>
              <w:rPr>
                <w:rFonts w:eastAsia="Times New Roman"/>
                <w:sz w:val="20"/>
                <w:szCs w:val="20"/>
              </w:rPr>
            </w:pPr>
            <w:r>
              <w:rPr>
                <w:rFonts w:eastAsia="Times New Roman"/>
                <w:b/>
                <w:bCs/>
                <w:sz w:val="20"/>
                <w:szCs w:val="20"/>
              </w:rPr>
              <w:t>%</w:t>
            </w:r>
          </w:p>
        </w:tc>
        <w:tc>
          <w:tcPr>
            <w:tcW w:w="50" w:type="pct"/>
            <w:shd w:val="clear" w:color="auto" w:fill="FFFFFF"/>
            <w:vAlign w:val="bottom"/>
            <w:hideMark/>
          </w:tcPr>
          <w:p w14:paraId="0EAE155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77659C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25E8AE6" w14:textId="77777777" w:rsidR="00000000" w:rsidRDefault="007E65A2">
            <w:pPr>
              <w:jc w:val="right"/>
              <w:rPr>
                <w:rFonts w:eastAsia="Times New Roman"/>
                <w:sz w:val="20"/>
                <w:szCs w:val="20"/>
              </w:rPr>
            </w:pPr>
            <w:r>
              <w:rPr>
                <w:rFonts w:eastAsia="Times New Roman"/>
                <w:sz w:val="20"/>
                <w:szCs w:val="20"/>
              </w:rPr>
              <w:t>6,445,667,000</w:t>
            </w:r>
          </w:p>
        </w:tc>
        <w:tc>
          <w:tcPr>
            <w:tcW w:w="50" w:type="pct"/>
            <w:shd w:val="clear" w:color="auto" w:fill="FFFFFF"/>
            <w:vAlign w:val="bottom"/>
            <w:hideMark/>
          </w:tcPr>
          <w:p w14:paraId="2003531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A97D31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D8A714C" w14:textId="77777777" w:rsidR="00000000" w:rsidRDefault="007E65A2">
            <w:pPr>
              <w:pStyle w:val="a3"/>
              <w:spacing w:before="0" w:beforeAutospacing="0" w:after="0" w:afterAutospacing="0"/>
              <w:jc w:val="both"/>
              <w:rPr>
                <w:b/>
                <w:bCs/>
                <w:sz w:val="20"/>
                <w:szCs w:val="20"/>
              </w:rPr>
            </w:pPr>
            <w:r>
              <w:rPr>
                <w:b/>
                <w:bCs/>
                <w:sz w:val="20"/>
                <w:szCs w:val="20"/>
              </w:rPr>
              <w:t> </w:t>
            </w:r>
          </w:p>
        </w:tc>
        <w:tc>
          <w:tcPr>
            <w:tcW w:w="450" w:type="pct"/>
            <w:shd w:val="clear" w:color="auto" w:fill="FFFFFF"/>
            <w:vAlign w:val="bottom"/>
            <w:hideMark/>
          </w:tcPr>
          <w:p w14:paraId="73295D2D" w14:textId="77777777" w:rsidR="00000000" w:rsidRDefault="007E65A2">
            <w:pPr>
              <w:jc w:val="right"/>
              <w:rPr>
                <w:rFonts w:eastAsia="Times New Roman"/>
                <w:sz w:val="20"/>
                <w:szCs w:val="20"/>
              </w:rPr>
            </w:pPr>
            <w:r>
              <w:rPr>
                <w:rFonts w:eastAsia="Times New Roman"/>
                <w:b/>
                <w:bCs/>
                <w:sz w:val="20"/>
                <w:szCs w:val="20"/>
              </w:rPr>
              <w:t xml:space="preserve">43.2 </w:t>
            </w:r>
          </w:p>
        </w:tc>
        <w:tc>
          <w:tcPr>
            <w:tcW w:w="50" w:type="pct"/>
            <w:shd w:val="clear" w:color="auto" w:fill="FFFFFF"/>
            <w:vAlign w:val="bottom"/>
            <w:hideMark/>
          </w:tcPr>
          <w:p w14:paraId="14E88F32" w14:textId="77777777" w:rsidR="00000000" w:rsidRDefault="007E65A2">
            <w:pPr>
              <w:jc w:val="both"/>
              <w:rPr>
                <w:rFonts w:eastAsia="Times New Roman"/>
                <w:sz w:val="20"/>
                <w:szCs w:val="20"/>
              </w:rPr>
            </w:pPr>
            <w:r>
              <w:rPr>
                <w:rFonts w:eastAsia="Times New Roman"/>
                <w:b/>
                <w:bCs/>
                <w:sz w:val="20"/>
                <w:szCs w:val="20"/>
              </w:rPr>
              <w:t>%</w:t>
            </w:r>
          </w:p>
        </w:tc>
      </w:tr>
      <w:tr w:rsidR="00000000" w14:paraId="0C1D9E48" w14:textId="77777777">
        <w:trPr>
          <w:divId w:val="911279972"/>
          <w:tblCellSpacing w:w="0" w:type="dxa"/>
        </w:trPr>
        <w:tc>
          <w:tcPr>
            <w:tcW w:w="0" w:type="auto"/>
            <w:shd w:val="clear" w:color="auto" w:fill="CCEEFF"/>
            <w:vAlign w:val="center"/>
            <w:hideMark/>
          </w:tcPr>
          <w:p w14:paraId="3FBE244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C8367E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836D3A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A627E84"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3F9C676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E38491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057D8D0"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4525498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283839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A5BDFCB"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41A54178"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BCD607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0F9FD0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16D136A"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308EBED9"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F3C4F8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7C4509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155EEC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8B539D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B7954E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8BC2E8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65141C3"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5654BE83" w14:textId="77777777" w:rsidR="00000000" w:rsidRDefault="007E65A2">
            <w:pPr>
              <w:pStyle w:val="a3"/>
              <w:spacing w:before="0" w:beforeAutospacing="0" w:after="0" w:afterAutospacing="0"/>
              <w:jc w:val="both"/>
              <w:rPr>
                <w:sz w:val="20"/>
                <w:szCs w:val="20"/>
              </w:rPr>
            </w:pPr>
            <w:r>
              <w:rPr>
                <w:sz w:val="20"/>
                <w:szCs w:val="20"/>
              </w:rPr>
              <w:t> </w:t>
            </w:r>
          </w:p>
        </w:tc>
      </w:tr>
      <w:tr w:rsidR="00000000" w14:paraId="4536CCC1" w14:textId="77777777">
        <w:trPr>
          <w:divId w:val="911279972"/>
          <w:tblCellSpacing w:w="0" w:type="dxa"/>
        </w:trPr>
        <w:tc>
          <w:tcPr>
            <w:tcW w:w="0" w:type="auto"/>
            <w:shd w:val="clear" w:color="auto" w:fill="FFFFFF"/>
            <w:hideMark/>
          </w:tcPr>
          <w:p w14:paraId="674DD8D7" w14:textId="77777777" w:rsidR="00000000" w:rsidRDefault="007E65A2">
            <w:pPr>
              <w:pStyle w:val="a3"/>
              <w:spacing w:before="0" w:beforeAutospacing="0" w:after="0" w:afterAutospacing="0"/>
              <w:jc w:val="both"/>
              <w:rPr>
                <w:sz w:val="20"/>
                <w:szCs w:val="20"/>
              </w:rPr>
            </w:pPr>
            <w:r>
              <w:rPr>
                <w:b/>
                <w:bCs/>
                <w:i/>
                <w:iCs/>
                <w:sz w:val="20"/>
                <w:szCs w:val="20"/>
              </w:rPr>
              <w:t>5% Stockholders</w:t>
            </w:r>
          </w:p>
        </w:tc>
        <w:tc>
          <w:tcPr>
            <w:tcW w:w="50" w:type="pct"/>
            <w:shd w:val="clear" w:color="auto" w:fill="FFFFFF"/>
            <w:vAlign w:val="bottom"/>
            <w:hideMark/>
          </w:tcPr>
          <w:p w14:paraId="3084A22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B4D50D0"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0222092"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8482ED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4390774"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ADFCCD3"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6C192C4"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285A6C"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621A65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3F65D6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D69E213"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212F2CF"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BF9A512"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33E9462"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2CF3C5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34B5735"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C5D7887"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8E5AF9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E8DA71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B510862"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EBB7363"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8468A5B" w14:textId="77777777" w:rsidR="00000000" w:rsidRDefault="007E65A2">
            <w:pPr>
              <w:pStyle w:val="a3"/>
              <w:spacing w:before="0" w:beforeAutospacing="0" w:after="0" w:afterAutospacing="0"/>
              <w:jc w:val="both"/>
              <w:rPr>
                <w:sz w:val="20"/>
                <w:szCs w:val="20"/>
              </w:rPr>
            </w:pPr>
            <w:r>
              <w:rPr>
                <w:sz w:val="20"/>
                <w:szCs w:val="20"/>
              </w:rPr>
              <w:t> </w:t>
            </w:r>
          </w:p>
        </w:tc>
      </w:tr>
      <w:tr w:rsidR="00000000" w14:paraId="2D7284F7" w14:textId="77777777">
        <w:trPr>
          <w:divId w:val="911279972"/>
          <w:tblCellSpacing w:w="0" w:type="dxa"/>
        </w:trPr>
        <w:tc>
          <w:tcPr>
            <w:tcW w:w="0" w:type="auto"/>
            <w:shd w:val="clear" w:color="auto" w:fill="CCEEFF"/>
            <w:hideMark/>
          </w:tcPr>
          <w:p w14:paraId="6259E027" w14:textId="77777777" w:rsidR="00000000" w:rsidRDefault="007E65A2">
            <w:pPr>
              <w:pStyle w:val="a3"/>
              <w:spacing w:before="0" w:beforeAutospacing="0" w:after="0" w:afterAutospacing="0"/>
              <w:jc w:val="both"/>
              <w:rPr>
                <w:sz w:val="20"/>
                <w:szCs w:val="20"/>
              </w:rPr>
            </w:pPr>
            <w:r>
              <w:rPr>
                <w:sz w:val="20"/>
                <w:szCs w:val="20"/>
              </w:rPr>
              <w:t>BBBY, Ltd</w:t>
            </w:r>
            <w:r>
              <w:rPr>
                <w:sz w:val="20"/>
                <w:szCs w:val="20"/>
                <w:vertAlign w:val="superscript"/>
              </w:rPr>
              <w:t>(1)</w:t>
            </w:r>
          </w:p>
        </w:tc>
        <w:tc>
          <w:tcPr>
            <w:tcW w:w="50" w:type="pct"/>
            <w:shd w:val="clear" w:color="auto" w:fill="CCEEFF"/>
            <w:vAlign w:val="bottom"/>
            <w:hideMark/>
          </w:tcPr>
          <w:p w14:paraId="2CF9226B"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CAA2C13"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769C080"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F0AC20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C30E2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1802555F" w14:textId="77777777" w:rsidR="00000000" w:rsidRDefault="007E65A2">
            <w:pPr>
              <w:pStyle w:val="a3"/>
              <w:spacing w:before="0" w:beforeAutospacing="0" w:after="0" w:afterAutospacing="0"/>
              <w:ind w:left="720"/>
              <w:jc w:val="right"/>
              <w:rPr>
                <w:sz w:val="20"/>
                <w:szCs w:val="20"/>
              </w:rPr>
            </w:pPr>
            <w:r>
              <w:rPr>
                <w:b/>
                <w:bCs/>
                <w:sz w:val="20"/>
                <w:szCs w:val="20"/>
              </w:rPr>
              <w:t>*</w:t>
            </w:r>
          </w:p>
        </w:tc>
        <w:tc>
          <w:tcPr>
            <w:tcW w:w="50" w:type="pct"/>
            <w:shd w:val="clear" w:color="auto" w:fill="CCEEFF"/>
            <w:vAlign w:val="bottom"/>
            <w:hideMark/>
          </w:tcPr>
          <w:p w14:paraId="2C91CC45"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05633BA"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60B5D68" w14:textId="77777777" w:rsidR="00000000" w:rsidRDefault="007E65A2">
            <w:pPr>
              <w:jc w:val="right"/>
              <w:rPr>
                <w:rFonts w:eastAsia="Times New Roman"/>
                <w:sz w:val="20"/>
                <w:szCs w:val="20"/>
              </w:rPr>
            </w:pPr>
            <w:r>
              <w:rPr>
                <w:rFonts w:eastAsia="Times New Roman"/>
                <w:sz w:val="20"/>
                <w:szCs w:val="20"/>
              </w:rPr>
              <w:t>1,666,667</w:t>
            </w:r>
          </w:p>
        </w:tc>
        <w:tc>
          <w:tcPr>
            <w:tcW w:w="50" w:type="pct"/>
            <w:shd w:val="clear" w:color="auto" w:fill="CCEEFF"/>
            <w:vAlign w:val="bottom"/>
            <w:hideMark/>
          </w:tcPr>
          <w:p w14:paraId="6D0B3BE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30677B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A2C980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BD2175E" w14:textId="77777777" w:rsidR="00000000" w:rsidRDefault="007E65A2">
            <w:pPr>
              <w:jc w:val="right"/>
              <w:rPr>
                <w:rFonts w:eastAsia="Times New Roman"/>
                <w:sz w:val="20"/>
                <w:szCs w:val="20"/>
              </w:rPr>
            </w:pPr>
            <w:r>
              <w:rPr>
                <w:rFonts w:eastAsia="Times New Roman"/>
                <w:sz w:val="20"/>
                <w:szCs w:val="20"/>
              </w:rPr>
              <w:t xml:space="preserve">17.1 </w:t>
            </w:r>
          </w:p>
        </w:tc>
        <w:tc>
          <w:tcPr>
            <w:tcW w:w="50" w:type="pct"/>
            <w:shd w:val="clear" w:color="auto" w:fill="CCEEFF"/>
            <w:vAlign w:val="bottom"/>
            <w:hideMark/>
          </w:tcPr>
          <w:p w14:paraId="75D75985" w14:textId="77777777" w:rsidR="00000000" w:rsidRDefault="007E65A2">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6192449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35D554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E9C6BA3" w14:textId="77777777" w:rsidR="00000000" w:rsidRDefault="007E65A2">
            <w:pPr>
              <w:jc w:val="right"/>
              <w:rPr>
                <w:rFonts w:eastAsia="Times New Roman"/>
                <w:sz w:val="20"/>
                <w:szCs w:val="20"/>
              </w:rPr>
            </w:pPr>
            <w:r>
              <w:rPr>
                <w:rFonts w:eastAsia="Times New Roman"/>
                <w:sz w:val="20"/>
                <w:szCs w:val="20"/>
              </w:rPr>
              <w:t>1,777,667,000</w:t>
            </w:r>
          </w:p>
        </w:tc>
        <w:tc>
          <w:tcPr>
            <w:tcW w:w="50" w:type="pct"/>
            <w:shd w:val="clear" w:color="auto" w:fill="CCEEFF"/>
            <w:vAlign w:val="bottom"/>
            <w:hideMark/>
          </w:tcPr>
          <w:p w14:paraId="01DA41E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D2008B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0FB831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BDFF633" w14:textId="77777777" w:rsidR="00000000" w:rsidRDefault="007E65A2">
            <w:pPr>
              <w:jc w:val="right"/>
              <w:rPr>
                <w:rFonts w:eastAsia="Times New Roman"/>
                <w:sz w:val="20"/>
                <w:szCs w:val="20"/>
              </w:rPr>
            </w:pPr>
            <w:r>
              <w:rPr>
                <w:rFonts w:eastAsia="Times New Roman"/>
                <w:sz w:val="20"/>
                <w:szCs w:val="20"/>
              </w:rPr>
              <w:t xml:space="preserve">12.1 </w:t>
            </w:r>
          </w:p>
        </w:tc>
        <w:tc>
          <w:tcPr>
            <w:tcW w:w="50" w:type="pct"/>
            <w:shd w:val="clear" w:color="auto" w:fill="CCEEFF"/>
            <w:vAlign w:val="bottom"/>
            <w:hideMark/>
          </w:tcPr>
          <w:p w14:paraId="29F4BFE5" w14:textId="77777777" w:rsidR="00000000" w:rsidRDefault="007E65A2">
            <w:pPr>
              <w:jc w:val="both"/>
              <w:rPr>
                <w:rFonts w:eastAsia="Times New Roman"/>
                <w:sz w:val="20"/>
                <w:szCs w:val="20"/>
              </w:rPr>
            </w:pPr>
            <w:r>
              <w:rPr>
                <w:rFonts w:eastAsia="Times New Roman"/>
                <w:sz w:val="20"/>
                <w:szCs w:val="20"/>
              </w:rPr>
              <w:t>%</w:t>
            </w:r>
          </w:p>
        </w:tc>
      </w:tr>
    </w:tbl>
    <w:p w14:paraId="1D63CA3B" w14:textId="77777777" w:rsidR="00000000" w:rsidRDefault="007E65A2">
      <w:pPr>
        <w:pStyle w:val="a3"/>
        <w:spacing w:before="0" w:beforeAutospacing="0" w:after="0" w:afterAutospacing="0"/>
        <w:jc w:val="both"/>
        <w:divId w:val="911279972"/>
        <w:rPr>
          <w:sz w:val="20"/>
          <w:szCs w:val="20"/>
        </w:rPr>
      </w:pPr>
      <w:r>
        <w:rPr>
          <w:sz w:val="20"/>
          <w:szCs w:val="20"/>
        </w:rPr>
        <w:t>___________  </w:t>
      </w:r>
    </w:p>
    <w:tbl>
      <w:tblPr>
        <w:tblW w:w="5000" w:type="pct"/>
        <w:tblCellSpacing w:w="0" w:type="dxa"/>
        <w:tblCellMar>
          <w:left w:w="0" w:type="dxa"/>
          <w:right w:w="0" w:type="dxa"/>
        </w:tblCellMar>
        <w:tblLook w:val="04A0" w:firstRow="1" w:lastRow="0" w:firstColumn="1" w:lastColumn="0" w:noHBand="0" w:noVBand="1"/>
      </w:tblPr>
      <w:tblGrid>
        <w:gridCol w:w="332"/>
        <w:gridCol w:w="7974"/>
      </w:tblGrid>
      <w:tr w:rsidR="00000000" w14:paraId="34F9AF95" w14:textId="77777777">
        <w:trPr>
          <w:divId w:val="911279972"/>
          <w:trHeight w:val="180"/>
          <w:tblCellSpacing w:w="0" w:type="dxa"/>
        </w:trPr>
        <w:tc>
          <w:tcPr>
            <w:tcW w:w="200" w:type="pct"/>
            <w:hideMark/>
          </w:tcPr>
          <w:p w14:paraId="1851EC63" w14:textId="77777777" w:rsidR="00000000" w:rsidRDefault="007E65A2">
            <w:pPr>
              <w:pStyle w:val="a3"/>
              <w:spacing w:before="0" w:beforeAutospacing="0" w:after="0" w:afterAutospacing="0"/>
              <w:jc w:val="both"/>
              <w:rPr>
                <w:sz w:val="20"/>
                <w:szCs w:val="20"/>
              </w:rPr>
            </w:pPr>
            <w:r>
              <w:rPr>
                <w:sz w:val="20"/>
                <w:szCs w:val="20"/>
              </w:rPr>
              <w:t>*</w:t>
            </w:r>
          </w:p>
        </w:tc>
        <w:tc>
          <w:tcPr>
            <w:tcW w:w="0" w:type="auto"/>
            <w:hideMark/>
          </w:tcPr>
          <w:p w14:paraId="19E65939" w14:textId="77777777" w:rsidR="00000000" w:rsidRDefault="007E65A2">
            <w:pPr>
              <w:pStyle w:val="a3"/>
              <w:spacing w:before="0" w:beforeAutospacing="0" w:after="0" w:afterAutospacing="0"/>
              <w:jc w:val="both"/>
              <w:rPr>
                <w:sz w:val="20"/>
                <w:szCs w:val="20"/>
              </w:rPr>
            </w:pPr>
            <w:r>
              <w:rPr>
                <w:sz w:val="20"/>
                <w:szCs w:val="20"/>
              </w:rPr>
              <w:t>Represents an amount less than 1%.</w:t>
            </w:r>
          </w:p>
        </w:tc>
      </w:tr>
      <w:tr w:rsidR="00000000" w14:paraId="3FC1905E" w14:textId="77777777">
        <w:trPr>
          <w:divId w:val="911279972"/>
          <w:trHeight w:val="180"/>
          <w:tblCellSpacing w:w="0" w:type="dxa"/>
        </w:trPr>
        <w:tc>
          <w:tcPr>
            <w:tcW w:w="0" w:type="auto"/>
            <w:vAlign w:val="center"/>
            <w:hideMark/>
          </w:tcPr>
          <w:p w14:paraId="69D1B2BB" w14:textId="77777777" w:rsidR="00000000" w:rsidRDefault="007E65A2">
            <w:pPr>
              <w:rPr>
                <w:sz w:val="20"/>
                <w:szCs w:val="20"/>
              </w:rPr>
            </w:pPr>
          </w:p>
        </w:tc>
        <w:tc>
          <w:tcPr>
            <w:tcW w:w="0" w:type="auto"/>
            <w:vAlign w:val="center"/>
            <w:hideMark/>
          </w:tcPr>
          <w:p w14:paraId="2CC29457" w14:textId="77777777" w:rsidR="00000000" w:rsidRDefault="007E65A2">
            <w:pPr>
              <w:jc w:val="both"/>
              <w:rPr>
                <w:rFonts w:eastAsia="Times New Roman"/>
                <w:sz w:val="20"/>
                <w:szCs w:val="20"/>
              </w:rPr>
            </w:pPr>
          </w:p>
        </w:tc>
      </w:tr>
      <w:tr w:rsidR="00000000" w14:paraId="42EC1273" w14:textId="77777777">
        <w:trPr>
          <w:divId w:val="911279972"/>
          <w:trHeight w:val="180"/>
          <w:tblCellSpacing w:w="0" w:type="dxa"/>
        </w:trPr>
        <w:tc>
          <w:tcPr>
            <w:tcW w:w="0" w:type="auto"/>
            <w:hideMark/>
          </w:tcPr>
          <w:p w14:paraId="7FCC39EA" w14:textId="77777777" w:rsidR="00000000" w:rsidRDefault="007E65A2">
            <w:pPr>
              <w:pStyle w:val="a3"/>
              <w:spacing w:before="0" w:beforeAutospacing="0" w:after="0" w:afterAutospacing="0"/>
              <w:jc w:val="both"/>
              <w:rPr>
                <w:sz w:val="20"/>
                <w:szCs w:val="20"/>
              </w:rPr>
            </w:pPr>
            <w:r>
              <w:rPr>
                <w:sz w:val="20"/>
                <w:szCs w:val="20"/>
              </w:rPr>
              <w:t>(a)</w:t>
            </w:r>
          </w:p>
        </w:tc>
        <w:tc>
          <w:tcPr>
            <w:tcW w:w="0" w:type="auto"/>
            <w:hideMark/>
          </w:tcPr>
          <w:p w14:paraId="58D6C90E" w14:textId="77777777" w:rsidR="00000000" w:rsidRDefault="007E65A2">
            <w:pPr>
              <w:pStyle w:val="a3"/>
              <w:spacing w:before="0" w:beforeAutospacing="0" w:after="0" w:afterAutospacing="0"/>
              <w:jc w:val="both"/>
              <w:rPr>
                <w:sz w:val="20"/>
                <w:szCs w:val="20"/>
              </w:rPr>
            </w:pPr>
            <w:r>
              <w:rPr>
                <w:sz w:val="20"/>
                <w:szCs w:val="20"/>
              </w:rPr>
              <w:t xml:space="preserve">Includes (i) options, warrants and convertible securities exercisable or convertible for common stock, and (ii) shares of common stock issuable upon conversion of preferred stock, which shares </w:t>
            </w:r>
            <w:r>
              <w:rPr>
                <w:sz w:val="20"/>
                <w:szCs w:val="20"/>
              </w:rPr>
              <w:t>are also provided separately in the table above where applicable, each within 60 days of the record date. the shares in the column “</w:t>
            </w:r>
            <w:r>
              <w:rPr>
                <w:sz w:val="20"/>
                <w:szCs w:val="20"/>
                <w:u w:val="single"/>
              </w:rPr>
              <w:t>Number of Common Stock Shares</w:t>
            </w:r>
            <w:r>
              <w:rPr>
                <w:sz w:val="20"/>
                <w:szCs w:val="20"/>
              </w:rPr>
              <w:t>” includes all shares which could be issued upon exercise or conversion of outstanding exercisa</w:t>
            </w:r>
            <w:r>
              <w:rPr>
                <w:sz w:val="20"/>
                <w:szCs w:val="20"/>
              </w:rPr>
              <w:t>ble or convertible securities held by such stockholder.</w:t>
            </w:r>
          </w:p>
        </w:tc>
      </w:tr>
      <w:tr w:rsidR="00000000" w14:paraId="02582316" w14:textId="77777777">
        <w:trPr>
          <w:divId w:val="911279972"/>
          <w:trHeight w:val="180"/>
          <w:tblCellSpacing w:w="0" w:type="dxa"/>
        </w:trPr>
        <w:tc>
          <w:tcPr>
            <w:tcW w:w="0" w:type="auto"/>
            <w:vAlign w:val="center"/>
            <w:hideMark/>
          </w:tcPr>
          <w:p w14:paraId="758CA2FC" w14:textId="77777777" w:rsidR="00000000" w:rsidRDefault="007E65A2">
            <w:pPr>
              <w:rPr>
                <w:sz w:val="20"/>
                <w:szCs w:val="20"/>
              </w:rPr>
            </w:pPr>
          </w:p>
        </w:tc>
        <w:tc>
          <w:tcPr>
            <w:tcW w:w="0" w:type="auto"/>
            <w:vAlign w:val="center"/>
            <w:hideMark/>
          </w:tcPr>
          <w:p w14:paraId="2F559C41" w14:textId="77777777" w:rsidR="00000000" w:rsidRDefault="007E65A2">
            <w:pPr>
              <w:jc w:val="both"/>
              <w:rPr>
                <w:rFonts w:eastAsia="Times New Roman"/>
                <w:sz w:val="20"/>
                <w:szCs w:val="20"/>
              </w:rPr>
            </w:pPr>
          </w:p>
        </w:tc>
      </w:tr>
      <w:tr w:rsidR="00000000" w14:paraId="4E6DEC44" w14:textId="77777777">
        <w:trPr>
          <w:divId w:val="911279972"/>
          <w:trHeight w:val="180"/>
          <w:tblCellSpacing w:w="0" w:type="dxa"/>
        </w:trPr>
        <w:tc>
          <w:tcPr>
            <w:tcW w:w="0" w:type="auto"/>
            <w:hideMark/>
          </w:tcPr>
          <w:p w14:paraId="0A46C2AF" w14:textId="77777777" w:rsidR="00000000" w:rsidRDefault="007E65A2">
            <w:pPr>
              <w:pStyle w:val="a3"/>
              <w:spacing w:before="0" w:beforeAutospacing="0" w:after="0" w:afterAutospacing="0"/>
              <w:jc w:val="both"/>
              <w:rPr>
                <w:sz w:val="20"/>
                <w:szCs w:val="20"/>
              </w:rPr>
            </w:pPr>
            <w:r>
              <w:rPr>
                <w:sz w:val="20"/>
                <w:szCs w:val="20"/>
              </w:rPr>
              <w:t>(b)</w:t>
            </w:r>
          </w:p>
        </w:tc>
        <w:tc>
          <w:tcPr>
            <w:tcW w:w="0" w:type="auto"/>
            <w:hideMark/>
          </w:tcPr>
          <w:p w14:paraId="57A77630" w14:textId="77777777" w:rsidR="00000000" w:rsidRDefault="007E65A2">
            <w:pPr>
              <w:pStyle w:val="a3"/>
              <w:spacing w:before="0" w:beforeAutospacing="0" w:after="0" w:afterAutospacing="0"/>
              <w:jc w:val="both"/>
              <w:rPr>
                <w:sz w:val="20"/>
                <w:szCs w:val="20"/>
              </w:rPr>
            </w:pPr>
            <w:r>
              <w:rPr>
                <w:sz w:val="20"/>
                <w:szCs w:val="20"/>
              </w:rPr>
              <w:t>Each share of Series A Preferred Stock converts into common stock at the option of each holder on a one-for-1,500 basis and votes 1,000 voting shares on all stockholder matters.</w:t>
            </w:r>
          </w:p>
        </w:tc>
      </w:tr>
      <w:tr w:rsidR="00000000" w14:paraId="603FD85D" w14:textId="77777777">
        <w:trPr>
          <w:divId w:val="911279972"/>
          <w:trHeight w:val="180"/>
          <w:tblCellSpacing w:w="0" w:type="dxa"/>
        </w:trPr>
        <w:tc>
          <w:tcPr>
            <w:tcW w:w="0" w:type="auto"/>
            <w:vAlign w:val="center"/>
            <w:hideMark/>
          </w:tcPr>
          <w:p w14:paraId="6A0DB947" w14:textId="77777777" w:rsidR="00000000" w:rsidRDefault="007E65A2">
            <w:pPr>
              <w:rPr>
                <w:sz w:val="20"/>
                <w:szCs w:val="20"/>
              </w:rPr>
            </w:pPr>
          </w:p>
        </w:tc>
        <w:tc>
          <w:tcPr>
            <w:tcW w:w="0" w:type="auto"/>
            <w:vAlign w:val="center"/>
            <w:hideMark/>
          </w:tcPr>
          <w:p w14:paraId="2B89CB0F" w14:textId="77777777" w:rsidR="00000000" w:rsidRDefault="007E65A2">
            <w:pPr>
              <w:jc w:val="both"/>
              <w:rPr>
                <w:rFonts w:eastAsia="Times New Roman"/>
                <w:sz w:val="20"/>
                <w:szCs w:val="20"/>
              </w:rPr>
            </w:pPr>
          </w:p>
        </w:tc>
      </w:tr>
      <w:tr w:rsidR="00000000" w14:paraId="58B0953F" w14:textId="77777777">
        <w:trPr>
          <w:divId w:val="911279972"/>
          <w:trHeight w:val="180"/>
          <w:tblCellSpacing w:w="0" w:type="dxa"/>
        </w:trPr>
        <w:tc>
          <w:tcPr>
            <w:tcW w:w="0" w:type="auto"/>
            <w:hideMark/>
          </w:tcPr>
          <w:p w14:paraId="0C5C406E" w14:textId="77777777" w:rsidR="00000000" w:rsidRDefault="007E65A2">
            <w:pPr>
              <w:pStyle w:val="a3"/>
              <w:spacing w:before="0" w:beforeAutospacing="0" w:after="0" w:afterAutospacing="0"/>
              <w:jc w:val="both"/>
              <w:rPr>
                <w:sz w:val="20"/>
                <w:szCs w:val="20"/>
              </w:rPr>
            </w:pPr>
            <w:r>
              <w:rPr>
                <w:sz w:val="20"/>
                <w:szCs w:val="20"/>
              </w:rPr>
              <w:t>(c)</w:t>
            </w:r>
          </w:p>
        </w:tc>
        <w:tc>
          <w:tcPr>
            <w:tcW w:w="0" w:type="auto"/>
            <w:hideMark/>
          </w:tcPr>
          <w:p w14:paraId="4A206ADE" w14:textId="77777777" w:rsidR="00000000" w:rsidRDefault="007E65A2">
            <w:pPr>
              <w:pStyle w:val="a3"/>
              <w:spacing w:before="0" w:beforeAutospacing="0" w:after="0" w:afterAutospacing="0"/>
              <w:jc w:val="both"/>
              <w:rPr>
                <w:sz w:val="20"/>
                <w:szCs w:val="20"/>
              </w:rPr>
            </w:pPr>
            <w:r>
              <w:rPr>
                <w:sz w:val="20"/>
                <w:szCs w:val="20"/>
              </w:rPr>
              <w:t>Based on 14,911,140,774 total voting shares as of October 15, 2109. As of October 15, 2019, there were 5,161,140,774 shares of our company’s common stock issued and outstanding and 9,750,000 shares of our preferred stock issued and outstanding.</w:t>
            </w:r>
          </w:p>
        </w:tc>
      </w:tr>
      <w:tr w:rsidR="00000000" w14:paraId="435207A0" w14:textId="77777777">
        <w:trPr>
          <w:divId w:val="911279972"/>
          <w:trHeight w:val="180"/>
          <w:tblCellSpacing w:w="0" w:type="dxa"/>
        </w:trPr>
        <w:tc>
          <w:tcPr>
            <w:tcW w:w="0" w:type="auto"/>
            <w:vAlign w:val="center"/>
            <w:hideMark/>
          </w:tcPr>
          <w:p w14:paraId="095A807C" w14:textId="77777777" w:rsidR="00000000" w:rsidRDefault="007E65A2">
            <w:pPr>
              <w:rPr>
                <w:sz w:val="20"/>
                <w:szCs w:val="20"/>
              </w:rPr>
            </w:pPr>
          </w:p>
        </w:tc>
        <w:tc>
          <w:tcPr>
            <w:tcW w:w="0" w:type="auto"/>
            <w:vAlign w:val="center"/>
            <w:hideMark/>
          </w:tcPr>
          <w:p w14:paraId="6FFFCC6B" w14:textId="77777777" w:rsidR="00000000" w:rsidRDefault="007E65A2">
            <w:pPr>
              <w:jc w:val="both"/>
              <w:rPr>
                <w:rFonts w:eastAsia="Times New Roman"/>
                <w:sz w:val="20"/>
                <w:szCs w:val="20"/>
              </w:rPr>
            </w:pPr>
          </w:p>
        </w:tc>
      </w:tr>
      <w:tr w:rsidR="00000000" w14:paraId="12CD8112" w14:textId="77777777">
        <w:trPr>
          <w:divId w:val="911279972"/>
          <w:trHeight w:val="180"/>
          <w:tblCellSpacing w:w="0" w:type="dxa"/>
        </w:trPr>
        <w:tc>
          <w:tcPr>
            <w:tcW w:w="0" w:type="auto"/>
            <w:hideMark/>
          </w:tcPr>
          <w:p w14:paraId="3CFB6E8D" w14:textId="77777777" w:rsidR="00000000" w:rsidRDefault="007E65A2">
            <w:pPr>
              <w:pStyle w:val="a3"/>
              <w:spacing w:before="0" w:beforeAutospacing="0" w:after="0" w:afterAutospacing="0"/>
              <w:jc w:val="both"/>
              <w:rPr>
                <w:sz w:val="20"/>
                <w:szCs w:val="20"/>
              </w:rPr>
            </w:pPr>
            <w:r>
              <w:rPr>
                <w:sz w:val="20"/>
                <w:szCs w:val="20"/>
              </w:rPr>
              <w:t>(1)</w:t>
            </w:r>
          </w:p>
        </w:tc>
        <w:tc>
          <w:tcPr>
            <w:tcW w:w="0" w:type="auto"/>
            <w:hideMark/>
          </w:tcPr>
          <w:p w14:paraId="14CCE081" w14:textId="77777777" w:rsidR="00000000" w:rsidRDefault="007E65A2">
            <w:pPr>
              <w:pStyle w:val="a3"/>
              <w:spacing w:before="0" w:beforeAutospacing="0" w:after="0" w:afterAutospacing="0"/>
              <w:jc w:val="both"/>
              <w:rPr>
                <w:sz w:val="20"/>
                <w:szCs w:val="20"/>
              </w:rPr>
            </w:pPr>
            <w:r>
              <w:rPr>
                <w:sz w:val="20"/>
                <w:szCs w:val="20"/>
              </w:rPr>
              <w:t>Add</w:t>
            </w:r>
            <w:r>
              <w:rPr>
                <w:sz w:val="20"/>
                <w:szCs w:val="20"/>
              </w:rPr>
              <w:t>ress: 777 Main Street, Suite 600, Fort Worth Texas 76102. Includes 1,666,667 shares of Preferred Stock, held in the name of BBBY, Ltd. The beneficial owner of the shares held by BBBY, Ltd. is Byron Young, its Manager.</w:t>
            </w:r>
          </w:p>
        </w:tc>
      </w:tr>
    </w:tbl>
    <w:p w14:paraId="70DD3899" w14:textId="77777777" w:rsidR="00000000" w:rsidRDefault="007E65A2">
      <w:pPr>
        <w:pStyle w:val="a3"/>
        <w:spacing w:before="0" w:beforeAutospacing="0" w:after="0" w:afterAutospacing="0"/>
        <w:jc w:val="both"/>
        <w:divId w:val="911279972"/>
        <w:rPr>
          <w:sz w:val="20"/>
          <w:szCs w:val="20"/>
        </w:rPr>
      </w:pPr>
      <w:r>
        <w:rPr>
          <w:sz w:val="20"/>
          <w:szCs w:val="20"/>
        </w:rPr>
        <w:t> </w:t>
      </w:r>
    </w:p>
    <w:p w14:paraId="71D13419" w14:textId="77777777" w:rsidR="00000000" w:rsidRDefault="007E65A2">
      <w:pPr>
        <w:pStyle w:val="a3"/>
        <w:spacing w:before="0" w:beforeAutospacing="0" w:after="0" w:afterAutospacing="0"/>
        <w:jc w:val="both"/>
        <w:divId w:val="911279972"/>
        <w:rPr>
          <w:sz w:val="20"/>
          <w:szCs w:val="20"/>
        </w:rPr>
      </w:pPr>
      <w:r>
        <w:rPr>
          <w:sz w:val="20"/>
          <w:szCs w:val="20"/>
        </w:rPr>
        <w:t>Our company has not adopted any equ</w:t>
      </w:r>
      <w:r>
        <w:rPr>
          <w:sz w:val="20"/>
          <w:szCs w:val="20"/>
        </w:rPr>
        <w:t>ity compensation plans and does not anticipate adopting any equity compensation plans in the near future. Notwithstanding the foregoing, because the company has limited cash resources at this time, it may issue shares or options to or enter into obligation</w:t>
      </w:r>
      <w:r>
        <w:rPr>
          <w:sz w:val="20"/>
          <w:szCs w:val="20"/>
        </w:rPr>
        <w:t>s that are convertible into shares of common stock with its employees and consultants as payment for services or as discretionary bonuses. The company does not have any arrangements for such issuances or arrangements at this time.</w:t>
      </w:r>
    </w:p>
    <w:p w14:paraId="01C8A04B" w14:textId="77777777" w:rsidR="00000000" w:rsidRDefault="007E65A2">
      <w:pPr>
        <w:pStyle w:val="a3"/>
        <w:spacing w:before="0" w:beforeAutospacing="0" w:after="0" w:afterAutospacing="0"/>
        <w:ind w:left="720"/>
        <w:jc w:val="both"/>
        <w:divId w:val="911279972"/>
        <w:rPr>
          <w:sz w:val="20"/>
          <w:szCs w:val="20"/>
        </w:rPr>
      </w:pPr>
      <w:r>
        <w:rPr>
          <w:sz w:val="20"/>
          <w:szCs w:val="20"/>
        </w:rPr>
        <w:t> </w:t>
      </w:r>
    </w:p>
    <w:p w14:paraId="08B9FE71" w14:textId="77777777" w:rsidR="00000000" w:rsidRDefault="007E65A2">
      <w:pPr>
        <w:pStyle w:val="a3"/>
        <w:spacing w:before="0" w:beforeAutospacing="0" w:after="0" w:afterAutospacing="0"/>
        <w:jc w:val="both"/>
        <w:divId w:val="911279972"/>
        <w:rPr>
          <w:sz w:val="20"/>
          <w:szCs w:val="20"/>
        </w:rPr>
      </w:pPr>
      <w:bookmarkStart w:id="28" w:name="Item13"/>
      <w:r>
        <w:rPr>
          <w:b/>
          <w:bCs/>
          <w:sz w:val="20"/>
          <w:szCs w:val="20"/>
        </w:rPr>
        <w:t>ITEM 13. CERTAIN RELATI</w:t>
      </w:r>
      <w:r>
        <w:rPr>
          <w:b/>
          <w:bCs/>
          <w:sz w:val="20"/>
          <w:szCs w:val="20"/>
        </w:rPr>
        <w:t>ONSHIPS AND RELATED TRANSACTIONS, AND DIRECTOR INDEPENDENCE</w:t>
      </w:r>
      <w:bookmarkEnd w:id="28"/>
    </w:p>
    <w:p w14:paraId="6262FA6F" w14:textId="77777777" w:rsidR="00000000" w:rsidRDefault="007E65A2">
      <w:pPr>
        <w:pStyle w:val="a3"/>
        <w:spacing w:before="0" w:beforeAutospacing="0" w:after="0" w:afterAutospacing="0"/>
        <w:jc w:val="both"/>
        <w:divId w:val="911279972"/>
        <w:rPr>
          <w:sz w:val="20"/>
          <w:szCs w:val="20"/>
        </w:rPr>
      </w:pPr>
      <w:r>
        <w:rPr>
          <w:sz w:val="20"/>
          <w:szCs w:val="20"/>
        </w:rPr>
        <w:t> </w:t>
      </w:r>
    </w:p>
    <w:p w14:paraId="0A2E6CCE" w14:textId="77777777" w:rsidR="00000000" w:rsidRDefault="007E65A2">
      <w:pPr>
        <w:pStyle w:val="a3"/>
        <w:spacing w:before="0" w:beforeAutospacing="0" w:after="0" w:afterAutospacing="0"/>
        <w:jc w:val="both"/>
        <w:divId w:val="911279972"/>
        <w:rPr>
          <w:sz w:val="20"/>
          <w:szCs w:val="20"/>
        </w:rPr>
      </w:pPr>
      <w:r>
        <w:rPr>
          <w:sz w:val="20"/>
          <w:szCs w:val="20"/>
        </w:rPr>
        <w:t>Other than as described below, our company has not engaged in any transactions with any of its related persons.</w:t>
      </w:r>
    </w:p>
    <w:p w14:paraId="3210C206" w14:textId="77777777" w:rsidR="00000000" w:rsidRDefault="007E65A2">
      <w:pPr>
        <w:pStyle w:val="a3"/>
        <w:spacing w:before="0" w:beforeAutospacing="0" w:after="0" w:afterAutospacing="0"/>
        <w:jc w:val="both"/>
        <w:divId w:val="911279972"/>
        <w:rPr>
          <w:sz w:val="20"/>
          <w:szCs w:val="20"/>
        </w:rPr>
      </w:pPr>
      <w:r>
        <w:rPr>
          <w:sz w:val="20"/>
          <w:szCs w:val="20"/>
        </w:rPr>
        <w:t> </w:t>
      </w:r>
    </w:p>
    <w:p w14:paraId="47F039F2" w14:textId="77777777" w:rsidR="00000000" w:rsidRDefault="007E65A2">
      <w:pPr>
        <w:pStyle w:val="a3"/>
        <w:spacing w:before="0" w:beforeAutospacing="0" w:after="0" w:afterAutospacing="0"/>
        <w:jc w:val="both"/>
        <w:divId w:val="911279972"/>
        <w:rPr>
          <w:sz w:val="20"/>
          <w:szCs w:val="20"/>
        </w:rPr>
      </w:pPr>
      <w:r>
        <w:rPr>
          <w:sz w:val="20"/>
          <w:szCs w:val="20"/>
        </w:rPr>
        <w:t>In March 2016, the Company appointed current CEO and approved a base compensatio</w:t>
      </w:r>
      <w:r>
        <w:rPr>
          <w:sz w:val="20"/>
          <w:szCs w:val="20"/>
        </w:rPr>
        <w:t xml:space="preserve">n package of $8,000 per month for CEO. The President of the Company provided management and office premises to the Company for no compensation in 2015. During the year ended June 30, 2019, the Company issued 4,750,000 shares of convertible preferred stock </w:t>
      </w:r>
      <w:r>
        <w:rPr>
          <w:sz w:val="20"/>
          <w:szCs w:val="20"/>
        </w:rPr>
        <w:t>for a settlement of accrued salary of $285,000 As a result, the Company recognized a loss on settlement of debt of $427,500. As of June 30, 2019 and 2018, the Company recorded accrued salary of $3,506 and $224,000, respectively.</w:t>
      </w:r>
    </w:p>
    <w:p w14:paraId="65EBC39E" w14:textId="77777777" w:rsidR="00000000" w:rsidRDefault="007E65A2">
      <w:pPr>
        <w:pStyle w:val="a3"/>
        <w:spacing w:before="0" w:beforeAutospacing="0" w:after="0" w:afterAutospacing="0"/>
        <w:jc w:val="both"/>
        <w:divId w:val="911279972"/>
        <w:rPr>
          <w:sz w:val="20"/>
          <w:szCs w:val="20"/>
        </w:rPr>
      </w:pPr>
      <w:r>
        <w:rPr>
          <w:sz w:val="20"/>
          <w:szCs w:val="20"/>
        </w:rPr>
        <w:t> </w:t>
      </w:r>
    </w:p>
    <w:p w14:paraId="20BC61E9" w14:textId="77777777" w:rsidR="00000000" w:rsidRDefault="007E65A2">
      <w:pPr>
        <w:pStyle w:val="a3"/>
        <w:spacing w:before="0" w:beforeAutospacing="0" w:after="0" w:afterAutospacing="0"/>
        <w:jc w:val="both"/>
        <w:divId w:val="911279972"/>
        <w:rPr>
          <w:sz w:val="20"/>
          <w:szCs w:val="20"/>
        </w:rPr>
      </w:pPr>
      <w:r>
        <w:rPr>
          <w:sz w:val="20"/>
          <w:szCs w:val="20"/>
        </w:rPr>
        <w:t>During the years ended Ju</w:t>
      </w:r>
      <w:r>
        <w:rPr>
          <w:sz w:val="20"/>
          <w:szCs w:val="20"/>
        </w:rPr>
        <w:t>ne 30, 2019 and 2018, the Company borrowed a total amount of $437 and $21,098 from Evergreen Venture Partners LLC (“EVP”), which the CEO is the majority owner, and repaid $300 and $6,618, respectively. This loan is a non-interest bearing and due on demand.</w:t>
      </w:r>
      <w:r>
        <w:rPr>
          <w:sz w:val="20"/>
          <w:szCs w:val="20"/>
        </w:rPr>
        <w:t xml:space="preserve"> As of June 30, 2019 and 2018, the Company owed EVP, a related party $88,224 and $88,087, respectively.</w:t>
      </w:r>
    </w:p>
    <w:p w14:paraId="7604F57E" w14:textId="77777777" w:rsidR="00000000" w:rsidRDefault="007E65A2">
      <w:pPr>
        <w:pStyle w:val="a3"/>
        <w:spacing w:before="0" w:beforeAutospacing="0" w:after="0" w:afterAutospacing="0"/>
        <w:jc w:val="both"/>
        <w:divId w:val="911279972"/>
        <w:rPr>
          <w:sz w:val="20"/>
          <w:szCs w:val="20"/>
        </w:rPr>
      </w:pPr>
      <w:r>
        <w:rPr>
          <w:sz w:val="20"/>
          <w:szCs w:val="20"/>
        </w:rPr>
        <w:t> </w:t>
      </w:r>
    </w:p>
    <w:p w14:paraId="374AD869" w14:textId="77777777" w:rsidR="00000000" w:rsidRDefault="007E65A2">
      <w:pPr>
        <w:pStyle w:val="a3"/>
        <w:spacing w:before="0" w:beforeAutospacing="0" w:after="0" w:afterAutospacing="0"/>
        <w:jc w:val="both"/>
        <w:divId w:val="911279972"/>
        <w:rPr>
          <w:sz w:val="20"/>
          <w:szCs w:val="20"/>
        </w:rPr>
      </w:pPr>
      <w:r>
        <w:rPr>
          <w:sz w:val="20"/>
          <w:szCs w:val="20"/>
        </w:rPr>
        <w:t>On November 15, 2017, the Company entered into a distribution agreement with Cedar Creek Labs Series Two LLC (“LLC”) for the term of 1 year. The agreement shall be automatically extended for successive 1 year unless there is the notice to terminate. The Co</w:t>
      </w:r>
      <w:r>
        <w:rPr>
          <w:sz w:val="20"/>
          <w:szCs w:val="20"/>
        </w:rPr>
        <w:t>mpany shall use best efforts to market the Products for the LLC and will receive compensation ranging from 15% to 40% of profit. The Company owns membership interests of 5% in LLC and the transactions between the Company and LLC which is an equity method i</w:t>
      </w:r>
      <w:r>
        <w:rPr>
          <w:sz w:val="20"/>
          <w:szCs w:val="20"/>
        </w:rPr>
        <w:t>nvestee are deemed to be between related parties. During the year ended June 30, 2018, the Company recorded revenue – related party of $2,900 and collected accounts receivable – related party of $2,900.</w:t>
      </w:r>
    </w:p>
    <w:p w14:paraId="4D5D14E0"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389A1AD" w14:textId="77777777">
        <w:trPr>
          <w:divId w:val="911279972"/>
          <w:tblCellSpacing w:w="0" w:type="dxa"/>
        </w:trPr>
        <w:tc>
          <w:tcPr>
            <w:tcW w:w="0" w:type="auto"/>
            <w:vAlign w:val="center"/>
            <w:hideMark/>
          </w:tcPr>
          <w:p w14:paraId="06F6C253" w14:textId="77777777" w:rsidR="00000000" w:rsidRDefault="007E65A2">
            <w:pPr>
              <w:rPr>
                <w:rFonts w:eastAsia="Times New Roman"/>
                <w:sz w:val="20"/>
                <w:szCs w:val="20"/>
              </w:rPr>
            </w:pPr>
            <w:r>
              <w:rPr>
                <w:rFonts w:eastAsia="Times New Roman"/>
                <w:sz w:val="20"/>
                <w:szCs w:val="20"/>
              </w:rPr>
              <w:t> </w:t>
            </w:r>
          </w:p>
        </w:tc>
      </w:tr>
      <w:tr w:rsidR="00000000" w14:paraId="793A8360" w14:textId="77777777">
        <w:trPr>
          <w:divId w:val="911279972"/>
          <w:tblCellSpacing w:w="0" w:type="dxa"/>
        </w:trPr>
        <w:tc>
          <w:tcPr>
            <w:tcW w:w="0" w:type="auto"/>
            <w:tcBorders>
              <w:bottom w:val="single" w:sz="6" w:space="0" w:color="000000"/>
            </w:tcBorders>
            <w:vAlign w:val="center"/>
            <w:hideMark/>
          </w:tcPr>
          <w:p w14:paraId="120C342E" w14:textId="77777777" w:rsidR="00000000" w:rsidRDefault="007E65A2">
            <w:pPr>
              <w:jc w:val="center"/>
              <w:rPr>
                <w:rFonts w:eastAsia="Times New Roman"/>
                <w:sz w:val="20"/>
                <w:szCs w:val="20"/>
              </w:rPr>
            </w:pPr>
            <w:r>
              <w:rPr>
                <w:rFonts w:eastAsia="Times New Roman"/>
                <w:sz w:val="20"/>
                <w:szCs w:val="20"/>
              </w:rPr>
              <w:t>19</w:t>
            </w:r>
          </w:p>
        </w:tc>
      </w:tr>
      <w:tr w:rsidR="00000000" w14:paraId="24A73438" w14:textId="77777777">
        <w:trPr>
          <w:divId w:val="911279972"/>
          <w:tblCellSpacing w:w="0" w:type="dxa"/>
        </w:trPr>
        <w:tc>
          <w:tcPr>
            <w:tcW w:w="0" w:type="auto"/>
            <w:vAlign w:val="center"/>
            <w:hideMark/>
          </w:tcPr>
          <w:p w14:paraId="54CF02B1" w14:textId="77777777" w:rsidR="00000000" w:rsidRDefault="007E65A2">
            <w:pPr>
              <w:rPr>
                <w:rFonts w:eastAsia="Times New Roman"/>
                <w:sz w:val="20"/>
                <w:szCs w:val="20"/>
              </w:rPr>
            </w:pPr>
            <w:r>
              <w:rPr>
                <w:rFonts w:eastAsia="Times New Roman"/>
                <w:sz w:val="20"/>
                <w:szCs w:val="20"/>
              </w:rPr>
              <w:t> </w:t>
            </w:r>
          </w:p>
        </w:tc>
      </w:tr>
      <w:tr w:rsidR="00000000" w14:paraId="17E89918" w14:textId="77777777">
        <w:trPr>
          <w:divId w:val="911279972"/>
          <w:tblCellSpacing w:w="0" w:type="dxa"/>
        </w:trPr>
        <w:tc>
          <w:tcPr>
            <w:tcW w:w="0" w:type="auto"/>
            <w:vAlign w:val="center"/>
            <w:hideMark/>
          </w:tcPr>
          <w:p w14:paraId="3D8AFBBF" w14:textId="77777777" w:rsidR="00000000" w:rsidRDefault="007E65A2">
            <w:pPr>
              <w:rPr>
                <w:rFonts w:eastAsia="Times New Roman"/>
                <w:sz w:val="20"/>
                <w:szCs w:val="20"/>
              </w:rPr>
            </w:pPr>
            <w:hyperlink w:anchor="Toc" w:history="1">
              <w:r>
                <w:rPr>
                  <w:rStyle w:val="a4"/>
                  <w:rFonts w:eastAsia="Times New Roman"/>
                  <w:i/>
                  <w:iCs/>
                  <w:sz w:val="20"/>
                  <w:szCs w:val="20"/>
                </w:rPr>
                <w:t>Table of Conten</w:t>
              </w:r>
              <w:r>
                <w:rPr>
                  <w:rStyle w:val="a4"/>
                  <w:rFonts w:eastAsia="Times New Roman"/>
                  <w:i/>
                  <w:iCs/>
                  <w:sz w:val="20"/>
                  <w:szCs w:val="20"/>
                </w:rPr>
                <w:t>ts</w:t>
              </w:r>
            </w:hyperlink>
          </w:p>
        </w:tc>
      </w:tr>
    </w:tbl>
    <w:p w14:paraId="5145E4DE" w14:textId="77777777" w:rsidR="00000000" w:rsidRDefault="007E65A2">
      <w:pPr>
        <w:pStyle w:val="a3"/>
        <w:spacing w:before="0" w:beforeAutospacing="0" w:after="0" w:afterAutospacing="0"/>
        <w:jc w:val="both"/>
        <w:divId w:val="911279972"/>
        <w:rPr>
          <w:sz w:val="20"/>
          <w:szCs w:val="20"/>
        </w:rPr>
      </w:pPr>
      <w:r>
        <w:rPr>
          <w:sz w:val="20"/>
          <w:szCs w:val="20"/>
        </w:rPr>
        <w:t> </w:t>
      </w:r>
    </w:p>
    <w:p w14:paraId="0169E681" w14:textId="77777777" w:rsidR="00000000" w:rsidRDefault="007E65A2">
      <w:pPr>
        <w:pStyle w:val="a3"/>
        <w:spacing w:before="0" w:beforeAutospacing="0" w:after="0" w:afterAutospacing="0"/>
        <w:jc w:val="both"/>
        <w:divId w:val="911279972"/>
        <w:rPr>
          <w:sz w:val="20"/>
          <w:szCs w:val="20"/>
        </w:rPr>
      </w:pPr>
      <w:bookmarkStart w:id="29" w:name="Item14"/>
      <w:r>
        <w:rPr>
          <w:b/>
          <w:bCs/>
          <w:sz w:val="20"/>
          <w:szCs w:val="20"/>
        </w:rPr>
        <w:t>ITEM 14. PRINCIPAL ACCOUNTING FEES AND SERVICES</w:t>
      </w:r>
      <w:bookmarkEnd w:id="29"/>
    </w:p>
    <w:p w14:paraId="56BC8BC6" w14:textId="77777777" w:rsidR="00000000" w:rsidRDefault="007E65A2">
      <w:pPr>
        <w:pStyle w:val="a3"/>
        <w:spacing w:before="0" w:beforeAutospacing="0" w:after="0" w:afterAutospacing="0"/>
        <w:jc w:val="both"/>
        <w:divId w:val="911279972"/>
        <w:rPr>
          <w:sz w:val="20"/>
          <w:szCs w:val="20"/>
        </w:rPr>
      </w:pPr>
      <w:r>
        <w:rPr>
          <w:sz w:val="20"/>
          <w:szCs w:val="20"/>
        </w:rPr>
        <w:t> </w:t>
      </w:r>
    </w:p>
    <w:p w14:paraId="1A4B0B84" w14:textId="77777777" w:rsidR="00000000" w:rsidRDefault="007E65A2">
      <w:pPr>
        <w:pStyle w:val="a3"/>
        <w:spacing w:before="0" w:beforeAutospacing="0" w:after="0" w:afterAutospacing="0"/>
        <w:jc w:val="both"/>
        <w:divId w:val="911279972"/>
        <w:rPr>
          <w:sz w:val="20"/>
          <w:szCs w:val="20"/>
        </w:rPr>
      </w:pPr>
      <w:r>
        <w:rPr>
          <w:sz w:val="20"/>
          <w:szCs w:val="20"/>
        </w:rPr>
        <w:t>The aggregate fees billed for the most recently completed fiscal year ended June 30, 2019 and for fiscal year ended June 30, 2018 for professional services rendered by the principal accountant for the</w:t>
      </w:r>
      <w:r>
        <w:rPr>
          <w:sz w:val="20"/>
          <w:szCs w:val="20"/>
        </w:rPr>
        <w:t xml:space="preserve"> audit of our annual financial statements and review of the financial statements included in our quarterly reports on Form 10-Q and services that are normally provided by the accountant in connection with statutory and regulatory filings or engagements for</w:t>
      </w:r>
      <w:r>
        <w:rPr>
          <w:sz w:val="20"/>
          <w:szCs w:val="20"/>
        </w:rPr>
        <w:t xml:space="preserve"> these fiscal periods were as follows:</w:t>
      </w:r>
    </w:p>
    <w:p w14:paraId="4C058B10"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4250" w:type="pct"/>
        <w:jc w:val="center"/>
        <w:tblCellSpacing w:w="0" w:type="dxa"/>
        <w:shd w:val="clear" w:color="auto" w:fill="FFFFFF"/>
        <w:tblCellMar>
          <w:left w:w="0" w:type="dxa"/>
          <w:right w:w="0" w:type="dxa"/>
        </w:tblCellMar>
        <w:tblLook w:val="04A0" w:firstRow="1" w:lastRow="0" w:firstColumn="1" w:lastColumn="0" w:noHBand="0" w:noVBand="1"/>
      </w:tblPr>
      <w:tblGrid>
        <w:gridCol w:w="5357"/>
        <w:gridCol w:w="62"/>
        <w:gridCol w:w="100"/>
        <w:gridCol w:w="626"/>
        <w:gridCol w:w="62"/>
        <w:gridCol w:w="63"/>
        <w:gridCol w:w="100"/>
        <w:gridCol w:w="627"/>
        <w:gridCol w:w="63"/>
      </w:tblGrid>
      <w:tr w:rsidR="00000000" w14:paraId="0FF01B52" w14:textId="77777777">
        <w:trPr>
          <w:divId w:val="911279972"/>
          <w:tblCellSpacing w:w="0" w:type="dxa"/>
          <w:jc w:val="center"/>
        </w:trPr>
        <w:tc>
          <w:tcPr>
            <w:tcW w:w="0" w:type="auto"/>
            <w:tcBorders>
              <w:bottom w:val="single" w:sz="6" w:space="0" w:color="auto"/>
            </w:tcBorders>
            <w:shd w:val="clear" w:color="auto" w:fill="FFFFFF"/>
            <w:vAlign w:val="bottom"/>
            <w:hideMark/>
          </w:tcPr>
          <w:p w14:paraId="0BB4C2ED" w14:textId="77777777" w:rsidR="00000000" w:rsidRDefault="007E65A2">
            <w:pPr>
              <w:pStyle w:val="a3"/>
              <w:spacing w:before="0" w:beforeAutospacing="0" w:after="0" w:afterAutospacing="0"/>
              <w:jc w:val="both"/>
              <w:rPr>
                <w:sz w:val="20"/>
                <w:szCs w:val="20"/>
              </w:rPr>
            </w:pPr>
            <w:r>
              <w:rPr>
                <w:b/>
                <w:bCs/>
                <w:sz w:val="20"/>
                <w:szCs w:val="20"/>
              </w:rPr>
              <w:t>Fee Category</w:t>
            </w:r>
          </w:p>
        </w:tc>
        <w:tc>
          <w:tcPr>
            <w:tcW w:w="0" w:type="auto"/>
            <w:shd w:val="clear" w:color="auto" w:fill="FFFFFF"/>
            <w:vAlign w:val="bottom"/>
            <w:hideMark/>
          </w:tcPr>
          <w:p w14:paraId="30A6B6F8"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shd w:val="clear" w:color="auto" w:fill="FFFFFF"/>
            <w:vAlign w:val="bottom"/>
            <w:hideMark/>
          </w:tcPr>
          <w:p w14:paraId="06C61CC4" w14:textId="77777777" w:rsidR="00000000" w:rsidRDefault="007E65A2">
            <w:pPr>
              <w:pStyle w:val="a3"/>
              <w:spacing w:before="0" w:beforeAutospacing="0" w:after="0" w:afterAutospacing="0"/>
              <w:jc w:val="center"/>
              <w:rPr>
                <w:sz w:val="20"/>
                <w:szCs w:val="20"/>
              </w:rPr>
            </w:pPr>
            <w:r>
              <w:rPr>
                <w:b/>
                <w:bCs/>
                <w:sz w:val="20"/>
                <w:szCs w:val="20"/>
              </w:rPr>
              <w:t xml:space="preserve">Year Ended </w:t>
            </w:r>
          </w:p>
          <w:p w14:paraId="794A486B" w14:textId="77777777" w:rsidR="00000000" w:rsidRDefault="007E65A2">
            <w:pPr>
              <w:pStyle w:val="a3"/>
              <w:spacing w:before="0" w:beforeAutospacing="0" w:after="0" w:afterAutospacing="0"/>
              <w:jc w:val="center"/>
              <w:rPr>
                <w:sz w:val="20"/>
                <w:szCs w:val="20"/>
              </w:rPr>
            </w:pPr>
            <w:r>
              <w:rPr>
                <w:b/>
                <w:bCs/>
                <w:sz w:val="20"/>
                <w:szCs w:val="20"/>
              </w:rPr>
              <w:t>June 30, 2019</w:t>
            </w:r>
          </w:p>
        </w:tc>
        <w:tc>
          <w:tcPr>
            <w:tcW w:w="0" w:type="auto"/>
            <w:shd w:val="clear" w:color="auto" w:fill="FFFFFF"/>
            <w:tcMar>
              <w:top w:w="0" w:type="dxa"/>
              <w:left w:w="0" w:type="dxa"/>
              <w:bottom w:w="15" w:type="dxa"/>
              <w:right w:w="0" w:type="dxa"/>
            </w:tcMar>
            <w:vAlign w:val="bottom"/>
            <w:hideMark/>
          </w:tcPr>
          <w:p w14:paraId="31C91A12" w14:textId="77777777" w:rsidR="00000000" w:rsidRDefault="007E65A2">
            <w:pPr>
              <w:pStyle w:val="a3"/>
              <w:spacing w:before="0" w:beforeAutospacing="0" w:after="0" w:afterAutospacing="0"/>
              <w:jc w:val="center"/>
              <w:rPr>
                <w:sz w:val="20"/>
                <w:szCs w:val="20"/>
              </w:rPr>
            </w:pPr>
            <w:r>
              <w:rPr>
                <w:sz w:val="20"/>
                <w:szCs w:val="20"/>
              </w:rPr>
              <w:t> </w:t>
            </w:r>
          </w:p>
        </w:tc>
        <w:tc>
          <w:tcPr>
            <w:tcW w:w="0" w:type="auto"/>
            <w:shd w:val="clear" w:color="auto" w:fill="FFFFFF"/>
            <w:vAlign w:val="bottom"/>
            <w:hideMark/>
          </w:tcPr>
          <w:p w14:paraId="0AF9FF48" w14:textId="77777777" w:rsidR="00000000" w:rsidRDefault="007E65A2">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shd w:val="clear" w:color="auto" w:fill="FFFFFF"/>
            <w:vAlign w:val="bottom"/>
            <w:hideMark/>
          </w:tcPr>
          <w:p w14:paraId="33C31F5C" w14:textId="77777777" w:rsidR="00000000" w:rsidRDefault="007E65A2">
            <w:pPr>
              <w:pStyle w:val="a3"/>
              <w:spacing w:before="0" w:beforeAutospacing="0" w:after="0" w:afterAutospacing="0"/>
              <w:jc w:val="center"/>
              <w:rPr>
                <w:sz w:val="20"/>
                <w:szCs w:val="20"/>
              </w:rPr>
            </w:pPr>
            <w:r>
              <w:rPr>
                <w:b/>
                <w:bCs/>
                <w:sz w:val="20"/>
                <w:szCs w:val="20"/>
              </w:rPr>
              <w:t>Year Ended</w:t>
            </w:r>
          </w:p>
          <w:p w14:paraId="5F96DAB8" w14:textId="77777777" w:rsidR="00000000" w:rsidRDefault="007E65A2">
            <w:pPr>
              <w:pStyle w:val="a3"/>
              <w:spacing w:before="0" w:beforeAutospacing="0" w:after="0" w:afterAutospacing="0"/>
              <w:jc w:val="center"/>
              <w:rPr>
                <w:sz w:val="20"/>
                <w:szCs w:val="20"/>
              </w:rPr>
            </w:pPr>
            <w:r>
              <w:rPr>
                <w:b/>
                <w:bCs/>
                <w:sz w:val="20"/>
                <w:szCs w:val="20"/>
              </w:rPr>
              <w:t>June 30, 2018</w:t>
            </w:r>
          </w:p>
        </w:tc>
        <w:tc>
          <w:tcPr>
            <w:tcW w:w="0" w:type="auto"/>
            <w:shd w:val="clear" w:color="auto" w:fill="FFFFFF"/>
            <w:tcMar>
              <w:top w:w="0" w:type="dxa"/>
              <w:left w:w="0" w:type="dxa"/>
              <w:bottom w:w="15" w:type="dxa"/>
              <w:right w:w="0" w:type="dxa"/>
            </w:tcMar>
            <w:vAlign w:val="bottom"/>
            <w:hideMark/>
          </w:tcPr>
          <w:p w14:paraId="3951BDEE" w14:textId="77777777" w:rsidR="00000000" w:rsidRDefault="007E65A2">
            <w:pPr>
              <w:pStyle w:val="a3"/>
              <w:spacing w:before="0" w:beforeAutospacing="0" w:after="0" w:afterAutospacing="0"/>
              <w:jc w:val="both"/>
              <w:rPr>
                <w:sz w:val="20"/>
                <w:szCs w:val="20"/>
              </w:rPr>
            </w:pPr>
            <w:r>
              <w:rPr>
                <w:sz w:val="20"/>
                <w:szCs w:val="20"/>
              </w:rPr>
              <w:t> </w:t>
            </w:r>
          </w:p>
        </w:tc>
      </w:tr>
      <w:tr w:rsidR="00000000" w14:paraId="5600AA3E" w14:textId="77777777">
        <w:trPr>
          <w:divId w:val="911279972"/>
          <w:tblCellSpacing w:w="0" w:type="dxa"/>
          <w:jc w:val="center"/>
        </w:trPr>
        <w:tc>
          <w:tcPr>
            <w:tcW w:w="0" w:type="auto"/>
            <w:shd w:val="clear" w:color="auto" w:fill="FFFFFF"/>
            <w:vAlign w:val="center"/>
            <w:hideMark/>
          </w:tcPr>
          <w:p w14:paraId="0954D3B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649B193"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FFFFFF"/>
            <w:vAlign w:val="bottom"/>
            <w:hideMark/>
          </w:tcPr>
          <w:p w14:paraId="242E1571"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6F95D0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771B7BE" w14:textId="77777777" w:rsidR="00000000" w:rsidRDefault="007E65A2">
            <w:pPr>
              <w:pStyle w:val="a3"/>
              <w:spacing w:before="0" w:beforeAutospacing="0" w:after="0" w:afterAutospacing="0"/>
              <w:jc w:val="both"/>
              <w:rPr>
                <w:sz w:val="20"/>
                <w:szCs w:val="20"/>
              </w:rPr>
            </w:pPr>
            <w:r>
              <w:rPr>
                <w:sz w:val="20"/>
                <w:szCs w:val="20"/>
              </w:rPr>
              <w:t> </w:t>
            </w:r>
          </w:p>
        </w:tc>
        <w:tc>
          <w:tcPr>
            <w:tcW w:w="450" w:type="pct"/>
            <w:gridSpan w:val="2"/>
            <w:shd w:val="clear" w:color="auto" w:fill="FFFFFF"/>
            <w:vAlign w:val="bottom"/>
            <w:hideMark/>
          </w:tcPr>
          <w:p w14:paraId="60A2DFB2" w14:textId="77777777" w:rsidR="00000000" w:rsidRDefault="007E65A2">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36C8A40" w14:textId="77777777" w:rsidR="00000000" w:rsidRDefault="007E65A2">
            <w:pPr>
              <w:pStyle w:val="a3"/>
              <w:spacing w:before="0" w:beforeAutospacing="0" w:after="0" w:afterAutospacing="0"/>
              <w:jc w:val="both"/>
              <w:rPr>
                <w:sz w:val="20"/>
                <w:szCs w:val="20"/>
              </w:rPr>
            </w:pPr>
            <w:r>
              <w:rPr>
                <w:sz w:val="20"/>
                <w:szCs w:val="20"/>
              </w:rPr>
              <w:t> </w:t>
            </w:r>
          </w:p>
        </w:tc>
      </w:tr>
      <w:tr w:rsidR="00000000" w14:paraId="5C45FCC1" w14:textId="77777777">
        <w:trPr>
          <w:divId w:val="911279972"/>
          <w:tblCellSpacing w:w="0" w:type="dxa"/>
          <w:jc w:val="center"/>
        </w:trPr>
        <w:tc>
          <w:tcPr>
            <w:tcW w:w="0" w:type="auto"/>
            <w:shd w:val="clear" w:color="auto" w:fill="CCEEFF"/>
            <w:hideMark/>
          </w:tcPr>
          <w:p w14:paraId="728FE310" w14:textId="77777777" w:rsidR="00000000" w:rsidRDefault="007E65A2">
            <w:pPr>
              <w:pStyle w:val="a3"/>
              <w:spacing w:before="0" w:beforeAutospacing="0" w:after="0" w:afterAutospacing="0"/>
              <w:jc w:val="both"/>
              <w:rPr>
                <w:sz w:val="20"/>
                <w:szCs w:val="20"/>
              </w:rPr>
            </w:pPr>
            <w:r>
              <w:rPr>
                <w:sz w:val="20"/>
                <w:szCs w:val="20"/>
              </w:rPr>
              <w:t>Audit Fees</w:t>
            </w:r>
          </w:p>
        </w:tc>
        <w:tc>
          <w:tcPr>
            <w:tcW w:w="50" w:type="pct"/>
            <w:shd w:val="clear" w:color="auto" w:fill="CCEEFF"/>
            <w:vAlign w:val="bottom"/>
            <w:hideMark/>
          </w:tcPr>
          <w:p w14:paraId="1506D526"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22BE1DB"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8845A3D" w14:textId="77777777" w:rsidR="00000000" w:rsidRDefault="007E65A2">
            <w:pPr>
              <w:jc w:val="right"/>
              <w:rPr>
                <w:rFonts w:eastAsia="Times New Roman"/>
                <w:sz w:val="20"/>
                <w:szCs w:val="20"/>
              </w:rPr>
            </w:pPr>
            <w:r>
              <w:rPr>
                <w:rFonts w:eastAsia="Times New Roman"/>
                <w:sz w:val="20"/>
                <w:szCs w:val="20"/>
              </w:rPr>
              <w:t>24,000</w:t>
            </w:r>
          </w:p>
        </w:tc>
        <w:tc>
          <w:tcPr>
            <w:tcW w:w="50" w:type="pct"/>
            <w:shd w:val="clear" w:color="auto" w:fill="CCEEFF"/>
            <w:vAlign w:val="bottom"/>
            <w:hideMark/>
          </w:tcPr>
          <w:p w14:paraId="78869B2A"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EFBA59F"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70DBF44" w14:textId="77777777" w:rsidR="00000000" w:rsidRDefault="007E65A2">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56F933B" w14:textId="77777777" w:rsidR="00000000" w:rsidRDefault="007E65A2">
            <w:pPr>
              <w:jc w:val="right"/>
              <w:rPr>
                <w:rFonts w:eastAsia="Times New Roman"/>
                <w:sz w:val="20"/>
                <w:szCs w:val="20"/>
              </w:rPr>
            </w:pPr>
            <w:r>
              <w:rPr>
                <w:rFonts w:eastAsia="Times New Roman"/>
                <w:sz w:val="20"/>
                <w:szCs w:val="20"/>
              </w:rPr>
              <w:t>22,800</w:t>
            </w:r>
          </w:p>
        </w:tc>
        <w:tc>
          <w:tcPr>
            <w:tcW w:w="50" w:type="pct"/>
            <w:shd w:val="clear" w:color="auto" w:fill="CCEEFF"/>
            <w:vAlign w:val="bottom"/>
            <w:hideMark/>
          </w:tcPr>
          <w:p w14:paraId="04701E45" w14:textId="77777777" w:rsidR="00000000" w:rsidRDefault="007E65A2">
            <w:pPr>
              <w:pStyle w:val="a3"/>
              <w:spacing w:before="0" w:beforeAutospacing="0" w:after="0" w:afterAutospacing="0"/>
              <w:jc w:val="both"/>
              <w:rPr>
                <w:sz w:val="20"/>
                <w:szCs w:val="20"/>
              </w:rPr>
            </w:pPr>
            <w:r>
              <w:rPr>
                <w:sz w:val="20"/>
                <w:szCs w:val="20"/>
              </w:rPr>
              <w:t> </w:t>
            </w:r>
          </w:p>
        </w:tc>
      </w:tr>
      <w:tr w:rsidR="00000000" w14:paraId="3DE090ED" w14:textId="77777777">
        <w:trPr>
          <w:divId w:val="911279972"/>
          <w:tblCellSpacing w:w="0" w:type="dxa"/>
          <w:jc w:val="center"/>
        </w:trPr>
        <w:tc>
          <w:tcPr>
            <w:tcW w:w="0" w:type="auto"/>
            <w:shd w:val="clear" w:color="auto" w:fill="FFFFFF"/>
            <w:hideMark/>
          </w:tcPr>
          <w:p w14:paraId="03FE6118" w14:textId="77777777" w:rsidR="00000000" w:rsidRDefault="007E65A2">
            <w:pPr>
              <w:pStyle w:val="a3"/>
              <w:spacing w:before="0" w:beforeAutospacing="0" w:after="0" w:afterAutospacing="0"/>
              <w:jc w:val="both"/>
              <w:rPr>
                <w:sz w:val="20"/>
                <w:szCs w:val="20"/>
              </w:rPr>
            </w:pPr>
            <w:r>
              <w:rPr>
                <w:sz w:val="20"/>
                <w:szCs w:val="20"/>
              </w:rPr>
              <w:t>Audit-Related Fees</w:t>
            </w:r>
          </w:p>
        </w:tc>
        <w:tc>
          <w:tcPr>
            <w:tcW w:w="50" w:type="pct"/>
            <w:shd w:val="clear" w:color="auto" w:fill="FFFFFF"/>
            <w:vAlign w:val="bottom"/>
            <w:hideMark/>
          </w:tcPr>
          <w:p w14:paraId="50DF753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79F975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07EBE53"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9585371"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C85CF00"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462E846"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175A4E3"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943820A" w14:textId="77777777" w:rsidR="00000000" w:rsidRDefault="007E65A2">
            <w:pPr>
              <w:pStyle w:val="a3"/>
              <w:spacing w:before="0" w:beforeAutospacing="0" w:after="0" w:afterAutospacing="0"/>
              <w:jc w:val="both"/>
              <w:rPr>
                <w:sz w:val="20"/>
                <w:szCs w:val="20"/>
              </w:rPr>
            </w:pPr>
            <w:r>
              <w:rPr>
                <w:sz w:val="20"/>
                <w:szCs w:val="20"/>
              </w:rPr>
              <w:t> </w:t>
            </w:r>
          </w:p>
        </w:tc>
      </w:tr>
      <w:tr w:rsidR="00000000" w14:paraId="09E63D56" w14:textId="77777777">
        <w:trPr>
          <w:divId w:val="911279972"/>
          <w:tblCellSpacing w:w="0" w:type="dxa"/>
          <w:jc w:val="center"/>
        </w:trPr>
        <w:tc>
          <w:tcPr>
            <w:tcW w:w="0" w:type="auto"/>
            <w:shd w:val="clear" w:color="auto" w:fill="CCEEFF"/>
            <w:hideMark/>
          </w:tcPr>
          <w:p w14:paraId="6B249F06" w14:textId="77777777" w:rsidR="00000000" w:rsidRDefault="007E65A2">
            <w:pPr>
              <w:pStyle w:val="a3"/>
              <w:spacing w:before="0" w:beforeAutospacing="0" w:after="0" w:afterAutospacing="0"/>
              <w:jc w:val="both"/>
              <w:rPr>
                <w:sz w:val="20"/>
                <w:szCs w:val="20"/>
              </w:rPr>
            </w:pPr>
            <w:r>
              <w:rPr>
                <w:sz w:val="20"/>
                <w:szCs w:val="20"/>
              </w:rPr>
              <w:t>Tax Fees</w:t>
            </w:r>
          </w:p>
        </w:tc>
        <w:tc>
          <w:tcPr>
            <w:tcW w:w="50" w:type="pct"/>
            <w:shd w:val="clear" w:color="auto" w:fill="CCEEFF"/>
            <w:vAlign w:val="bottom"/>
            <w:hideMark/>
          </w:tcPr>
          <w:p w14:paraId="76F59B98"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475EFE25"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2248A8E3"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5883BEF7"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141F3E7"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6A36CD84" w14:textId="77777777" w:rsidR="00000000" w:rsidRDefault="007E65A2">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537730A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E9309A8" w14:textId="77777777" w:rsidR="00000000" w:rsidRDefault="007E65A2">
            <w:pPr>
              <w:pStyle w:val="a3"/>
              <w:spacing w:before="0" w:beforeAutospacing="0" w:after="0" w:afterAutospacing="0"/>
              <w:jc w:val="both"/>
              <w:rPr>
                <w:sz w:val="20"/>
                <w:szCs w:val="20"/>
              </w:rPr>
            </w:pPr>
            <w:r>
              <w:rPr>
                <w:sz w:val="20"/>
                <w:szCs w:val="20"/>
              </w:rPr>
              <w:t> </w:t>
            </w:r>
          </w:p>
        </w:tc>
      </w:tr>
      <w:tr w:rsidR="00000000" w14:paraId="0F07A5C3" w14:textId="77777777">
        <w:trPr>
          <w:divId w:val="911279972"/>
          <w:tblCellSpacing w:w="0" w:type="dxa"/>
          <w:jc w:val="center"/>
        </w:trPr>
        <w:tc>
          <w:tcPr>
            <w:tcW w:w="0" w:type="auto"/>
            <w:shd w:val="clear" w:color="auto" w:fill="FFFFFF"/>
            <w:hideMark/>
          </w:tcPr>
          <w:p w14:paraId="60CBD4C5" w14:textId="77777777" w:rsidR="00000000" w:rsidRDefault="007E65A2">
            <w:pPr>
              <w:pStyle w:val="a3"/>
              <w:spacing w:before="0" w:beforeAutospacing="0" w:after="0" w:afterAutospacing="0"/>
              <w:jc w:val="both"/>
              <w:rPr>
                <w:sz w:val="20"/>
                <w:szCs w:val="20"/>
              </w:rPr>
            </w:pPr>
            <w:r>
              <w:rPr>
                <w:sz w:val="20"/>
                <w:szCs w:val="20"/>
              </w:rPr>
              <w:t>All Other Fees</w:t>
            </w:r>
          </w:p>
        </w:tc>
        <w:tc>
          <w:tcPr>
            <w:tcW w:w="50" w:type="pct"/>
            <w:shd w:val="clear" w:color="auto" w:fill="FFFFFF"/>
            <w:vAlign w:val="bottom"/>
            <w:hideMark/>
          </w:tcPr>
          <w:p w14:paraId="06AE832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FEB279E"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B5BC32C"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A5B42AD"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A19E2EE"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E239681" w14:textId="77777777" w:rsidR="00000000" w:rsidRDefault="007E65A2">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651CF18" w14:textId="77777777" w:rsidR="00000000" w:rsidRDefault="007E65A2">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B82ABD9" w14:textId="77777777" w:rsidR="00000000" w:rsidRDefault="007E65A2">
            <w:pPr>
              <w:pStyle w:val="a3"/>
              <w:spacing w:before="0" w:beforeAutospacing="0" w:after="0" w:afterAutospacing="0"/>
              <w:jc w:val="both"/>
              <w:rPr>
                <w:sz w:val="20"/>
                <w:szCs w:val="20"/>
              </w:rPr>
            </w:pPr>
            <w:r>
              <w:rPr>
                <w:sz w:val="20"/>
                <w:szCs w:val="20"/>
              </w:rPr>
              <w:t> </w:t>
            </w:r>
          </w:p>
        </w:tc>
      </w:tr>
      <w:tr w:rsidR="00000000" w14:paraId="6FC78CFD" w14:textId="77777777">
        <w:trPr>
          <w:divId w:val="911279972"/>
          <w:tblCellSpacing w:w="0" w:type="dxa"/>
          <w:jc w:val="center"/>
        </w:trPr>
        <w:tc>
          <w:tcPr>
            <w:tcW w:w="0" w:type="auto"/>
            <w:shd w:val="clear" w:color="auto" w:fill="CCEEFF"/>
            <w:hideMark/>
          </w:tcPr>
          <w:p w14:paraId="336EDC1E" w14:textId="77777777" w:rsidR="00000000" w:rsidRDefault="007E65A2">
            <w:pPr>
              <w:pStyle w:val="a3"/>
              <w:spacing w:before="0" w:beforeAutospacing="0" w:after="0" w:afterAutospacing="0"/>
              <w:jc w:val="both"/>
              <w:rPr>
                <w:sz w:val="20"/>
                <w:szCs w:val="20"/>
              </w:rPr>
            </w:pPr>
            <w:r>
              <w:rPr>
                <w:sz w:val="20"/>
                <w:szCs w:val="20"/>
              </w:rPr>
              <w:t>Total Fees</w:t>
            </w:r>
          </w:p>
        </w:tc>
        <w:tc>
          <w:tcPr>
            <w:tcW w:w="50" w:type="pct"/>
            <w:shd w:val="clear" w:color="auto" w:fill="CCEEFF"/>
            <w:vAlign w:val="bottom"/>
            <w:hideMark/>
          </w:tcPr>
          <w:p w14:paraId="3EFF402B"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CCEEFF"/>
            <w:vAlign w:val="bottom"/>
            <w:hideMark/>
          </w:tcPr>
          <w:p w14:paraId="614D8038"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14:paraId="753CD2EF" w14:textId="77777777" w:rsidR="00000000" w:rsidRDefault="007E65A2">
            <w:pPr>
              <w:jc w:val="right"/>
              <w:rPr>
                <w:rFonts w:eastAsia="Times New Roman"/>
                <w:sz w:val="20"/>
                <w:szCs w:val="20"/>
              </w:rPr>
            </w:pPr>
            <w:r>
              <w:rPr>
                <w:rFonts w:eastAsia="Times New Roman"/>
                <w:sz w:val="20"/>
                <w:szCs w:val="20"/>
              </w:rPr>
              <w:t>24,000</w:t>
            </w:r>
          </w:p>
        </w:tc>
        <w:tc>
          <w:tcPr>
            <w:tcW w:w="50" w:type="pct"/>
            <w:shd w:val="clear" w:color="auto" w:fill="CCEEFF"/>
            <w:tcMar>
              <w:top w:w="0" w:type="dxa"/>
              <w:left w:w="0" w:type="dxa"/>
              <w:bottom w:w="45" w:type="dxa"/>
              <w:right w:w="0" w:type="dxa"/>
            </w:tcMar>
            <w:vAlign w:val="bottom"/>
            <w:hideMark/>
          </w:tcPr>
          <w:p w14:paraId="39751EEC" w14:textId="77777777" w:rsidR="00000000" w:rsidRDefault="007E65A2">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D302690" w14:textId="77777777" w:rsidR="00000000" w:rsidRDefault="007E65A2">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CCEEFF"/>
            <w:vAlign w:val="bottom"/>
            <w:hideMark/>
          </w:tcPr>
          <w:p w14:paraId="1B44528F" w14:textId="77777777" w:rsidR="00000000" w:rsidRDefault="007E65A2">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14:paraId="271FEF2C" w14:textId="77777777" w:rsidR="00000000" w:rsidRDefault="007E65A2">
            <w:pPr>
              <w:jc w:val="right"/>
              <w:rPr>
                <w:rFonts w:eastAsia="Times New Roman"/>
                <w:sz w:val="20"/>
                <w:szCs w:val="20"/>
              </w:rPr>
            </w:pPr>
            <w:r>
              <w:rPr>
                <w:rFonts w:eastAsia="Times New Roman"/>
                <w:sz w:val="20"/>
                <w:szCs w:val="20"/>
              </w:rPr>
              <w:t>22,800</w:t>
            </w:r>
          </w:p>
        </w:tc>
        <w:tc>
          <w:tcPr>
            <w:tcW w:w="50" w:type="pct"/>
            <w:shd w:val="clear" w:color="auto" w:fill="CCEEFF"/>
            <w:tcMar>
              <w:top w:w="0" w:type="dxa"/>
              <w:left w:w="0" w:type="dxa"/>
              <w:bottom w:w="45" w:type="dxa"/>
              <w:right w:w="0" w:type="dxa"/>
            </w:tcMar>
            <w:vAlign w:val="bottom"/>
            <w:hideMark/>
          </w:tcPr>
          <w:p w14:paraId="0F273FCE" w14:textId="77777777" w:rsidR="00000000" w:rsidRDefault="007E65A2">
            <w:pPr>
              <w:pStyle w:val="a3"/>
              <w:spacing w:before="0" w:beforeAutospacing="0" w:after="0" w:afterAutospacing="0"/>
              <w:jc w:val="both"/>
              <w:rPr>
                <w:sz w:val="20"/>
                <w:szCs w:val="20"/>
              </w:rPr>
            </w:pPr>
            <w:r>
              <w:rPr>
                <w:sz w:val="20"/>
                <w:szCs w:val="20"/>
              </w:rPr>
              <w:t> </w:t>
            </w:r>
          </w:p>
        </w:tc>
      </w:tr>
    </w:tbl>
    <w:p w14:paraId="5578A6DE" w14:textId="77777777" w:rsidR="00000000" w:rsidRDefault="007E65A2">
      <w:pPr>
        <w:pStyle w:val="a3"/>
        <w:spacing w:before="0" w:beforeAutospacing="0" w:after="0" w:afterAutospacing="0"/>
        <w:divId w:val="911279972"/>
        <w:rPr>
          <w:sz w:val="20"/>
          <w:szCs w:val="20"/>
        </w:rPr>
      </w:pPr>
      <w:r>
        <w:rPr>
          <w:sz w:val="20"/>
          <w:szCs w:val="20"/>
        </w:rPr>
        <w:t> </w:t>
      </w:r>
    </w:p>
    <w:p w14:paraId="10A66E4A" w14:textId="77777777" w:rsidR="00000000" w:rsidRDefault="007E65A2">
      <w:pPr>
        <w:pStyle w:val="a3"/>
        <w:spacing w:before="0" w:beforeAutospacing="0" w:after="0" w:afterAutospacing="0"/>
        <w:jc w:val="both"/>
        <w:divId w:val="911279972"/>
        <w:rPr>
          <w:sz w:val="20"/>
          <w:szCs w:val="20"/>
        </w:rPr>
      </w:pPr>
      <w:r>
        <w:rPr>
          <w:sz w:val="20"/>
          <w:szCs w:val="20"/>
        </w:rPr>
        <w:t>Our board of directors pre-approves all services provided by our independent auditors. All of the above services and fees were reviewed and approved by the board of directors either before or after the respective services were rendered.</w:t>
      </w:r>
    </w:p>
    <w:p w14:paraId="5BE1C5FA" w14:textId="77777777" w:rsidR="00000000" w:rsidRDefault="007E65A2">
      <w:pPr>
        <w:pStyle w:val="a3"/>
        <w:spacing w:before="0" w:beforeAutospacing="0" w:after="0" w:afterAutospacing="0"/>
        <w:jc w:val="both"/>
        <w:divId w:val="911279972"/>
        <w:rPr>
          <w:sz w:val="20"/>
          <w:szCs w:val="20"/>
        </w:rPr>
      </w:pPr>
      <w:r>
        <w:rPr>
          <w:sz w:val="20"/>
          <w:szCs w:val="20"/>
        </w:rPr>
        <w:t> </w:t>
      </w:r>
    </w:p>
    <w:p w14:paraId="7F74F164" w14:textId="77777777" w:rsidR="00000000" w:rsidRDefault="007E65A2">
      <w:pPr>
        <w:pStyle w:val="a3"/>
        <w:spacing w:before="0" w:beforeAutospacing="0" w:after="0" w:afterAutospacing="0"/>
        <w:jc w:val="both"/>
        <w:divId w:val="911279972"/>
        <w:rPr>
          <w:sz w:val="20"/>
          <w:szCs w:val="20"/>
        </w:rPr>
      </w:pPr>
      <w:r>
        <w:rPr>
          <w:sz w:val="20"/>
          <w:szCs w:val="20"/>
        </w:rPr>
        <w:t>Our board of dire</w:t>
      </w:r>
      <w:r>
        <w:rPr>
          <w:sz w:val="20"/>
          <w:szCs w:val="20"/>
        </w:rPr>
        <w:t>ctors has considered the nature and amount of fees billed by our independent auditors and believes that the provision of services for activities unrelated to the audit is compatible with maintaining our independent auditors’ independence.</w:t>
      </w:r>
    </w:p>
    <w:p w14:paraId="445D86E8"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2A6767B" w14:textId="77777777">
        <w:trPr>
          <w:divId w:val="911279972"/>
          <w:tblCellSpacing w:w="0" w:type="dxa"/>
        </w:trPr>
        <w:tc>
          <w:tcPr>
            <w:tcW w:w="0" w:type="auto"/>
            <w:vAlign w:val="center"/>
            <w:hideMark/>
          </w:tcPr>
          <w:p w14:paraId="530D5C9B" w14:textId="77777777" w:rsidR="00000000" w:rsidRDefault="007E65A2">
            <w:pPr>
              <w:rPr>
                <w:rFonts w:eastAsia="Times New Roman"/>
                <w:sz w:val="20"/>
                <w:szCs w:val="20"/>
              </w:rPr>
            </w:pPr>
            <w:r>
              <w:rPr>
                <w:rFonts w:eastAsia="Times New Roman"/>
                <w:sz w:val="20"/>
                <w:szCs w:val="20"/>
              </w:rPr>
              <w:t> </w:t>
            </w:r>
          </w:p>
        </w:tc>
      </w:tr>
      <w:tr w:rsidR="00000000" w14:paraId="6009DCD0" w14:textId="77777777">
        <w:trPr>
          <w:divId w:val="911279972"/>
          <w:tblCellSpacing w:w="0" w:type="dxa"/>
        </w:trPr>
        <w:tc>
          <w:tcPr>
            <w:tcW w:w="0" w:type="auto"/>
            <w:tcBorders>
              <w:bottom w:val="single" w:sz="6" w:space="0" w:color="000000"/>
            </w:tcBorders>
            <w:vAlign w:val="center"/>
            <w:hideMark/>
          </w:tcPr>
          <w:p w14:paraId="071C342A" w14:textId="77777777" w:rsidR="00000000" w:rsidRDefault="007E65A2">
            <w:pPr>
              <w:jc w:val="center"/>
              <w:rPr>
                <w:rFonts w:eastAsia="Times New Roman"/>
                <w:sz w:val="20"/>
                <w:szCs w:val="20"/>
              </w:rPr>
            </w:pPr>
            <w:r>
              <w:rPr>
                <w:rFonts w:eastAsia="Times New Roman"/>
                <w:sz w:val="20"/>
                <w:szCs w:val="20"/>
              </w:rPr>
              <w:t>20</w:t>
            </w:r>
          </w:p>
        </w:tc>
      </w:tr>
      <w:tr w:rsidR="00000000" w14:paraId="5885B11F" w14:textId="77777777">
        <w:trPr>
          <w:divId w:val="911279972"/>
          <w:tblCellSpacing w:w="0" w:type="dxa"/>
        </w:trPr>
        <w:tc>
          <w:tcPr>
            <w:tcW w:w="0" w:type="auto"/>
            <w:vAlign w:val="center"/>
            <w:hideMark/>
          </w:tcPr>
          <w:p w14:paraId="7569022F" w14:textId="77777777" w:rsidR="00000000" w:rsidRDefault="007E65A2">
            <w:pPr>
              <w:rPr>
                <w:rFonts w:eastAsia="Times New Roman"/>
                <w:sz w:val="20"/>
                <w:szCs w:val="20"/>
              </w:rPr>
            </w:pPr>
            <w:r>
              <w:rPr>
                <w:rFonts w:eastAsia="Times New Roman"/>
                <w:sz w:val="20"/>
                <w:szCs w:val="20"/>
              </w:rPr>
              <w:t> </w:t>
            </w:r>
          </w:p>
        </w:tc>
      </w:tr>
      <w:tr w:rsidR="00000000" w14:paraId="4C8357C6" w14:textId="77777777">
        <w:trPr>
          <w:divId w:val="911279972"/>
          <w:tblCellSpacing w:w="0" w:type="dxa"/>
        </w:trPr>
        <w:tc>
          <w:tcPr>
            <w:tcW w:w="0" w:type="auto"/>
            <w:vAlign w:val="center"/>
            <w:hideMark/>
          </w:tcPr>
          <w:p w14:paraId="1BE8C968"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65CB1B39" w14:textId="77777777" w:rsidR="00000000" w:rsidRDefault="007E65A2">
      <w:pPr>
        <w:pStyle w:val="a3"/>
        <w:spacing w:before="0" w:beforeAutospacing="0" w:after="0" w:afterAutospacing="0"/>
        <w:jc w:val="both"/>
        <w:divId w:val="911279972"/>
        <w:rPr>
          <w:sz w:val="20"/>
          <w:szCs w:val="20"/>
        </w:rPr>
      </w:pPr>
      <w:r>
        <w:rPr>
          <w:sz w:val="20"/>
          <w:szCs w:val="20"/>
        </w:rPr>
        <w:t> </w:t>
      </w:r>
    </w:p>
    <w:p w14:paraId="3BE040CF" w14:textId="77777777" w:rsidR="00000000" w:rsidRDefault="007E65A2">
      <w:pPr>
        <w:pStyle w:val="a3"/>
        <w:spacing w:before="0" w:beforeAutospacing="0" w:after="0" w:afterAutospacing="0"/>
        <w:jc w:val="center"/>
        <w:divId w:val="911279972"/>
        <w:rPr>
          <w:sz w:val="20"/>
          <w:szCs w:val="20"/>
        </w:rPr>
      </w:pPr>
      <w:bookmarkStart w:id="30" w:name="PART_IV"/>
      <w:r>
        <w:rPr>
          <w:b/>
          <w:bCs/>
          <w:sz w:val="20"/>
          <w:szCs w:val="20"/>
        </w:rPr>
        <w:t>PART IV</w:t>
      </w:r>
      <w:bookmarkEnd w:id="30"/>
    </w:p>
    <w:p w14:paraId="25231CA4" w14:textId="77777777" w:rsidR="00000000" w:rsidRDefault="007E65A2">
      <w:pPr>
        <w:pStyle w:val="a3"/>
        <w:spacing w:before="0" w:beforeAutospacing="0" w:after="0" w:afterAutospacing="0"/>
        <w:ind w:left="720"/>
        <w:jc w:val="both"/>
        <w:divId w:val="911279972"/>
        <w:rPr>
          <w:sz w:val="20"/>
          <w:szCs w:val="20"/>
        </w:rPr>
      </w:pPr>
      <w:r>
        <w:rPr>
          <w:sz w:val="20"/>
          <w:szCs w:val="20"/>
        </w:rPr>
        <w:t> </w:t>
      </w:r>
    </w:p>
    <w:p w14:paraId="4F0E9871" w14:textId="77777777" w:rsidR="00000000" w:rsidRDefault="007E65A2">
      <w:pPr>
        <w:pStyle w:val="a3"/>
        <w:spacing w:before="0" w:beforeAutospacing="0" w:after="0" w:afterAutospacing="0"/>
        <w:jc w:val="both"/>
        <w:divId w:val="911279972"/>
        <w:rPr>
          <w:sz w:val="20"/>
          <w:szCs w:val="20"/>
        </w:rPr>
      </w:pPr>
      <w:bookmarkStart w:id="31" w:name="ITEM_15._EXHIBITS,_FINANCIAL_STATEMENT_S"/>
      <w:r>
        <w:rPr>
          <w:b/>
          <w:bCs/>
          <w:sz w:val="20"/>
          <w:szCs w:val="20"/>
        </w:rPr>
        <w:t>ITEM 15. EXHIBITS, FINANCIAL STATEMENT SCHEDULES</w:t>
      </w:r>
      <w:bookmarkEnd w:id="31"/>
    </w:p>
    <w:p w14:paraId="7DFB1139" w14:textId="77777777" w:rsidR="00000000" w:rsidRDefault="007E65A2">
      <w:pPr>
        <w:pStyle w:val="a3"/>
        <w:spacing w:before="0" w:beforeAutospacing="0" w:after="0" w:afterAutospacing="0"/>
        <w:ind w:left="72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0B132B48" w14:textId="77777777">
        <w:trPr>
          <w:divId w:val="911279972"/>
          <w:tblCellSpacing w:w="0" w:type="dxa"/>
        </w:trPr>
        <w:tc>
          <w:tcPr>
            <w:tcW w:w="200" w:type="pct"/>
            <w:hideMark/>
          </w:tcPr>
          <w:p w14:paraId="23D0A04F"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15A2C00F" w14:textId="77777777" w:rsidR="00000000" w:rsidRDefault="007E65A2">
            <w:pPr>
              <w:jc w:val="both"/>
              <w:rPr>
                <w:rFonts w:eastAsia="Times New Roman"/>
                <w:sz w:val="20"/>
                <w:szCs w:val="20"/>
              </w:rPr>
            </w:pPr>
            <w:r>
              <w:rPr>
                <w:rFonts w:eastAsia="Times New Roman"/>
                <w:sz w:val="20"/>
                <w:szCs w:val="20"/>
              </w:rPr>
              <w:t>(a)</w:t>
            </w:r>
          </w:p>
        </w:tc>
        <w:tc>
          <w:tcPr>
            <w:tcW w:w="0" w:type="auto"/>
            <w:hideMark/>
          </w:tcPr>
          <w:p w14:paraId="1FAEAC42" w14:textId="77777777" w:rsidR="00000000" w:rsidRDefault="007E65A2">
            <w:pPr>
              <w:jc w:val="both"/>
              <w:rPr>
                <w:rFonts w:eastAsia="Times New Roman"/>
                <w:sz w:val="20"/>
                <w:szCs w:val="20"/>
              </w:rPr>
            </w:pPr>
            <w:r>
              <w:rPr>
                <w:rFonts w:eastAsia="Times New Roman"/>
                <w:sz w:val="20"/>
                <w:szCs w:val="20"/>
              </w:rPr>
              <w:t>Financial Statements</w:t>
            </w:r>
          </w:p>
        </w:tc>
      </w:tr>
    </w:tbl>
    <w:p w14:paraId="797031AF"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65"/>
        <w:gridCol w:w="332"/>
        <w:gridCol w:w="7309"/>
      </w:tblGrid>
      <w:tr w:rsidR="00000000" w14:paraId="2A73AD89" w14:textId="77777777">
        <w:trPr>
          <w:divId w:val="911279972"/>
          <w:tblCellSpacing w:w="0" w:type="dxa"/>
        </w:trPr>
        <w:tc>
          <w:tcPr>
            <w:tcW w:w="400" w:type="pct"/>
            <w:hideMark/>
          </w:tcPr>
          <w:p w14:paraId="602F002E"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0626DD6D" w14:textId="77777777" w:rsidR="00000000" w:rsidRDefault="007E65A2">
            <w:pPr>
              <w:jc w:val="both"/>
              <w:rPr>
                <w:rFonts w:eastAsia="Times New Roman"/>
                <w:sz w:val="20"/>
                <w:szCs w:val="20"/>
              </w:rPr>
            </w:pPr>
            <w:r>
              <w:rPr>
                <w:rFonts w:eastAsia="Times New Roman"/>
                <w:sz w:val="20"/>
                <w:szCs w:val="20"/>
              </w:rPr>
              <w:t>(1)</w:t>
            </w:r>
          </w:p>
        </w:tc>
        <w:tc>
          <w:tcPr>
            <w:tcW w:w="0" w:type="auto"/>
            <w:hideMark/>
          </w:tcPr>
          <w:p w14:paraId="1C09439D" w14:textId="77777777" w:rsidR="00000000" w:rsidRDefault="007E65A2">
            <w:pPr>
              <w:jc w:val="both"/>
              <w:rPr>
                <w:rFonts w:eastAsia="Times New Roman"/>
                <w:sz w:val="20"/>
                <w:szCs w:val="20"/>
              </w:rPr>
            </w:pPr>
            <w:r>
              <w:rPr>
                <w:rFonts w:eastAsia="Times New Roman"/>
                <w:sz w:val="20"/>
                <w:szCs w:val="20"/>
              </w:rPr>
              <w:t>Financial statements for our company are listed in the index under Item 8 of this document.</w:t>
            </w:r>
          </w:p>
        </w:tc>
      </w:tr>
      <w:tr w:rsidR="00000000" w14:paraId="311473A7" w14:textId="77777777">
        <w:trPr>
          <w:divId w:val="911279972"/>
          <w:tblCellSpacing w:w="0" w:type="dxa"/>
        </w:trPr>
        <w:tc>
          <w:tcPr>
            <w:tcW w:w="0" w:type="auto"/>
            <w:vAlign w:val="center"/>
            <w:hideMark/>
          </w:tcPr>
          <w:p w14:paraId="32D52FE5"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379B36D7" w14:textId="77777777" w:rsidR="00000000" w:rsidRDefault="007E65A2">
            <w:pPr>
              <w:pStyle w:val="a3"/>
              <w:spacing w:before="0" w:beforeAutospacing="0" w:after="0" w:afterAutospacing="0"/>
              <w:jc w:val="both"/>
              <w:rPr>
                <w:sz w:val="20"/>
                <w:szCs w:val="20"/>
              </w:rPr>
            </w:pPr>
            <w:r>
              <w:rPr>
                <w:sz w:val="20"/>
                <w:szCs w:val="20"/>
              </w:rPr>
              <w:t> </w:t>
            </w:r>
          </w:p>
        </w:tc>
        <w:tc>
          <w:tcPr>
            <w:tcW w:w="0" w:type="auto"/>
            <w:vAlign w:val="center"/>
            <w:hideMark/>
          </w:tcPr>
          <w:p w14:paraId="589396FE" w14:textId="77777777" w:rsidR="00000000" w:rsidRDefault="007E65A2">
            <w:pPr>
              <w:pStyle w:val="a3"/>
              <w:spacing w:before="0" w:beforeAutospacing="0" w:after="0" w:afterAutospacing="0"/>
              <w:jc w:val="both"/>
              <w:rPr>
                <w:sz w:val="20"/>
                <w:szCs w:val="20"/>
              </w:rPr>
            </w:pPr>
            <w:r>
              <w:rPr>
                <w:sz w:val="20"/>
                <w:szCs w:val="20"/>
              </w:rPr>
              <w:t> </w:t>
            </w:r>
          </w:p>
        </w:tc>
      </w:tr>
      <w:tr w:rsidR="00000000" w14:paraId="2EC56812" w14:textId="77777777">
        <w:trPr>
          <w:divId w:val="911279972"/>
          <w:tblCellSpacing w:w="0" w:type="dxa"/>
        </w:trPr>
        <w:tc>
          <w:tcPr>
            <w:tcW w:w="0" w:type="auto"/>
            <w:hideMark/>
          </w:tcPr>
          <w:p w14:paraId="78A59E4A" w14:textId="77777777" w:rsidR="00000000" w:rsidRDefault="007E65A2">
            <w:pPr>
              <w:pStyle w:val="a3"/>
              <w:spacing w:before="0" w:beforeAutospacing="0" w:after="0" w:afterAutospacing="0"/>
              <w:jc w:val="both"/>
              <w:rPr>
                <w:sz w:val="20"/>
                <w:szCs w:val="20"/>
              </w:rPr>
            </w:pPr>
            <w:r>
              <w:rPr>
                <w:sz w:val="20"/>
                <w:szCs w:val="20"/>
              </w:rPr>
              <w:t> </w:t>
            </w:r>
          </w:p>
        </w:tc>
        <w:tc>
          <w:tcPr>
            <w:tcW w:w="0" w:type="auto"/>
            <w:hideMark/>
          </w:tcPr>
          <w:p w14:paraId="04B667CF" w14:textId="77777777" w:rsidR="00000000" w:rsidRDefault="007E65A2">
            <w:pPr>
              <w:jc w:val="both"/>
              <w:rPr>
                <w:rFonts w:eastAsia="Times New Roman"/>
                <w:sz w:val="20"/>
                <w:szCs w:val="20"/>
              </w:rPr>
            </w:pPr>
            <w:r>
              <w:rPr>
                <w:rFonts w:eastAsia="Times New Roman"/>
                <w:sz w:val="20"/>
                <w:szCs w:val="20"/>
              </w:rPr>
              <w:t>(2)</w:t>
            </w:r>
          </w:p>
        </w:tc>
        <w:tc>
          <w:tcPr>
            <w:tcW w:w="0" w:type="auto"/>
            <w:hideMark/>
          </w:tcPr>
          <w:p w14:paraId="64B92B77" w14:textId="77777777" w:rsidR="00000000" w:rsidRDefault="007E65A2">
            <w:pPr>
              <w:jc w:val="both"/>
              <w:rPr>
                <w:rFonts w:eastAsia="Times New Roman"/>
                <w:sz w:val="20"/>
                <w:szCs w:val="20"/>
              </w:rPr>
            </w:pPr>
            <w:r>
              <w:rPr>
                <w:rFonts w:eastAsia="Times New Roman"/>
                <w:sz w:val="20"/>
                <w:szCs w:val="20"/>
              </w:rPr>
              <w:t>All financial statement schedules are omitted because they are not applicable, not material or the required information is shown in the financial stat</w:t>
            </w:r>
            <w:r>
              <w:rPr>
                <w:rFonts w:eastAsia="Times New Roman"/>
                <w:sz w:val="20"/>
                <w:szCs w:val="20"/>
              </w:rPr>
              <w:t>ements or notes thereto.</w:t>
            </w:r>
          </w:p>
        </w:tc>
      </w:tr>
    </w:tbl>
    <w:p w14:paraId="66364D55"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54332434" w14:textId="77777777">
        <w:trPr>
          <w:divId w:val="911279972"/>
          <w:tblCellSpacing w:w="0" w:type="dxa"/>
        </w:trPr>
        <w:tc>
          <w:tcPr>
            <w:tcW w:w="200" w:type="pct"/>
            <w:hideMark/>
          </w:tcPr>
          <w:p w14:paraId="4C41AB11" w14:textId="77777777" w:rsidR="00000000" w:rsidRDefault="007E65A2">
            <w:pPr>
              <w:pStyle w:val="a3"/>
              <w:spacing w:before="0" w:beforeAutospacing="0" w:after="0" w:afterAutospacing="0"/>
              <w:jc w:val="both"/>
              <w:rPr>
                <w:sz w:val="20"/>
                <w:szCs w:val="20"/>
              </w:rPr>
            </w:pPr>
            <w:r>
              <w:rPr>
                <w:sz w:val="20"/>
                <w:szCs w:val="20"/>
              </w:rPr>
              <w:t> </w:t>
            </w:r>
          </w:p>
        </w:tc>
        <w:tc>
          <w:tcPr>
            <w:tcW w:w="200" w:type="pct"/>
            <w:hideMark/>
          </w:tcPr>
          <w:p w14:paraId="0E4C8851" w14:textId="77777777" w:rsidR="00000000" w:rsidRDefault="007E65A2">
            <w:pPr>
              <w:jc w:val="both"/>
              <w:rPr>
                <w:rFonts w:eastAsia="Times New Roman"/>
                <w:sz w:val="20"/>
                <w:szCs w:val="20"/>
              </w:rPr>
            </w:pPr>
            <w:r>
              <w:rPr>
                <w:rFonts w:eastAsia="Times New Roman"/>
                <w:sz w:val="20"/>
                <w:szCs w:val="20"/>
              </w:rPr>
              <w:t>(b)</w:t>
            </w:r>
          </w:p>
        </w:tc>
        <w:tc>
          <w:tcPr>
            <w:tcW w:w="0" w:type="auto"/>
            <w:hideMark/>
          </w:tcPr>
          <w:p w14:paraId="29163670" w14:textId="77777777" w:rsidR="00000000" w:rsidRDefault="007E65A2">
            <w:pPr>
              <w:jc w:val="both"/>
              <w:rPr>
                <w:rFonts w:eastAsia="Times New Roman"/>
                <w:sz w:val="20"/>
                <w:szCs w:val="20"/>
              </w:rPr>
            </w:pPr>
            <w:r>
              <w:rPr>
                <w:rFonts w:eastAsia="Times New Roman"/>
                <w:sz w:val="20"/>
                <w:szCs w:val="20"/>
              </w:rPr>
              <w:t>Exhibits</w:t>
            </w:r>
          </w:p>
        </w:tc>
      </w:tr>
    </w:tbl>
    <w:p w14:paraId="4900BD9A"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166"/>
        <w:gridCol w:w="7309"/>
      </w:tblGrid>
      <w:tr w:rsidR="00000000" w14:paraId="2FF50B5A" w14:textId="77777777">
        <w:trPr>
          <w:divId w:val="911279972"/>
          <w:trHeight w:val="180"/>
          <w:tblCellSpacing w:w="0" w:type="dxa"/>
        </w:trPr>
        <w:tc>
          <w:tcPr>
            <w:tcW w:w="500" w:type="pct"/>
            <w:tcBorders>
              <w:bottom w:val="single" w:sz="6" w:space="0" w:color="auto"/>
            </w:tcBorders>
            <w:vAlign w:val="bottom"/>
            <w:hideMark/>
          </w:tcPr>
          <w:p w14:paraId="3C768733" w14:textId="77777777" w:rsidR="00000000" w:rsidRDefault="007E65A2">
            <w:pPr>
              <w:pStyle w:val="a3"/>
              <w:spacing w:before="0" w:beforeAutospacing="0" w:after="0" w:afterAutospacing="0"/>
              <w:jc w:val="center"/>
              <w:rPr>
                <w:sz w:val="20"/>
                <w:szCs w:val="20"/>
              </w:rPr>
            </w:pPr>
            <w:r>
              <w:rPr>
                <w:b/>
                <w:bCs/>
                <w:sz w:val="20"/>
                <w:szCs w:val="20"/>
              </w:rPr>
              <w:t>Exhibit Number</w:t>
            </w:r>
          </w:p>
        </w:tc>
        <w:tc>
          <w:tcPr>
            <w:tcW w:w="100" w:type="pct"/>
            <w:vAlign w:val="center"/>
            <w:hideMark/>
          </w:tcPr>
          <w:p w14:paraId="2A2D8998" w14:textId="77777777" w:rsidR="00000000" w:rsidRDefault="007E65A2">
            <w:pPr>
              <w:pStyle w:val="a3"/>
              <w:spacing w:before="0" w:beforeAutospacing="0" w:after="0" w:afterAutospacing="0"/>
              <w:jc w:val="both"/>
              <w:rPr>
                <w:sz w:val="20"/>
                <w:szCs w:val="20"/>
              </w:rPr>
            </w:pPr>
            <w:r>
              <w:rPr>
                <w:sz w:val="20"/>
                <w:szCs w:val="20"/>
              </w:rPr>
              <w:t> </w:t>
            </w:r>
          </w:p>
        </w:tc>
        <w:tc>
          <w:tcPr>
            <w:tcW w:w="0" w:type="auto"/>
            <w:tcBorders>
              <w:bottom w:val="single" w:sz="6" w:space="0" w:color="auto"/>
            </w:tcBorders>
            <w:vAlign w:val="bottom"/>
            <w:hideMark/>
          </w:tcPr>
          <w:p w14:paraId="30044C6F" w14:textId="77777777" w:rsidR="00000000" w:rsidRDefault="007E65A2">
            <w:pPr>
              <w:pStyle w:val="a3"/>
              <w:spacing w:before="0" w:beforeAutospacing="0" w:after="0" w:afterAutospacing="0"/>
              <w:jc w:val="both"/>
              <w:rPr>
                <w:sz w:val="20"/>
                <w:szCs w:val="20"/>
              </w:rPr>
            </w:pPr>
            <w:r>
              <w:rPr>
                <w:b/>
                <w:bCs/>
                <w:sz w:val="20"/>
                <w:szCs w:val="20"/>
              </w:rPr>
              <w:t>Description</w:t>
            </w:r>
          </w:p>
        </w:tc>
      </w:tr>
      <w:tr w:rsidR="00000000" w14:paraId="00F612E5" w14:textId="77777777">
        <w:trPr>
          <w:divId w:val="911279972"/>
          <w:trHeight w:val="180"/>
          <w:tblCellSpacing w:w="0" w:type="dxa"/>
        </w:trPr>
        <w:tc>
          <w:tcPr>
            <w:tcW w:w="0" w:type="auto"/>
            <w:shd w:val="clear" w:color="auto" w:fill="CCEEFF"/>
            <w:hideMark/>
          </w:tcPr>
          <w:p w14:paraId="66C14B0B" w14:textId="77777777" w:rsidR="00000000" w:rsidRDefault="007E65A2">
            <w:pPr>
              <w:pStyle w:val="a3"/>
              <w:spacing w:before="0" w:beforeAutospacing="0" w:after="0" w:afterAutospacing="0"/>
              <w:jc w:val="center"/>
              <w:rPr>
                <w:sz w:val="20"/>
                <w:szCs w:val="20"/>
              </w:rPr>
            </w:pPr>
            <w:r>
              <w:rPr>
                <w:b/>
                <w:bCs/>
                <w:sz w:val="20"/>
                <w:szCs w:val="20"/>
              </w:rPr>
              <w:t>(21)</w:t>
            </w:r>
          </w:p>
        </w:tc>
        <w:tc>
          <w:tcPr>
            <w:tcW w:w="0" w:type="auto"/>
            <w:shd w:val="clear" w:color="auto" w:fill="CCEEFF"/>
            <w:vAlign w:val="center"/>
            <w:hideMark/>
          </w:tcPr>
          <w:p w14:paraId="2068CC8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6F7BF1BF" w14:textId="77777777" w:rsidR="00000000" w:rsidRDefault="007E65A2">
            <w:pPr>
              <w:pStyle w:val="a3"/>
              <w:spacing w:before="0" w:beforeAutospacing="0" w:after="0" w:afterAutospacing="0"/>
              <w:jc w:val="both"/>
              <w:rPr>
                <w:sz w:val="20"/>
                <w:szCs w:val="20"/>
              </w:rPr>
            </w:pPr>
            <w:r>
              <w:rPr>
                <w:b/>
                <w:bCs/>
                <w:sz w:val="20"/>
                <w:szCs w:val="20"/>
              </w:rPr>
              <w:t>Subsidiaries of the Registrant</w:t>
            </w:r>
          </w:p>
        </w:tc>
      </w:tr>
      <w:tr w:rsidR="00000000" w14:paraId="1BD9937F" w14:textId="77777777">
        <w:trPr>
          <w:divId w:val="911279972"/>
          <w:trHeight w:val="180"/>
          <w:tblCellSpacing w:w="0" w:type="dxa"/>
        </w:trPr>
        <w:tc>
          <w:tcPr>
            <w:tcW w:w="0" w:type="auto"/>
            <w:shd w:val="clear" w:color="auto" w:fill="FFFFFF"/>
            <w:hideMark/>
          </w:tcPr>
          <w:p w14:paraId="7B3F7AE2" w14:textId="77777777" w:rsidR="00000000" w:rsidRDefault="007E65A2">
            <w:pPr>
              <w:pStyle w:val="a3"/>
              <w:spacing w:before="0" w:beforeAutospacing="0" w:after="0" w:afterAutospacing="0"/>
              <w:jc w:val="center"/>
              <w:rPr>
                <w:sz w:val="20"/>
                <w:szCs w:val="20"/>
              </w:rPr>
            </w:pPr>
            <w:hyperlink r:id="rId4" w:history="1">
              <w:r>
                <w:rPr>
                  <w:rStyle w:val="a4"/>
                  <w:sz w:val="20"/>
                  <w:szCs w:val="20"/>
                </w:rPr>
                <w:t>21.1*</w:t>
              </w:r>
            </w:hyperlink>
          </w:p>
        </w:tc>
        <w:tc>
          <w:tcPr>
            <w:tcW w:w="0" w:type="auto"/>
            <w:shd w:val="clear" w:color="auto" w:fill="FFFFFF"/>
            <w:vAlign w:val="center"/>
            <w:hideMark/>
          </w:tcPr>
          <w:p w14:paraId="4D5A29F0"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1707A88B" w14:textId="77777777" w:rsidR="00000000" w:rsidRDefault="007E65A2">
            <w:pPr>
              <w:pStyle w:val="a3"/>
              <w:spacing w:before="0" w:beforeAutospacing="0" w:after="0" w:afterAutospacing="0"/>
              <w:jc w:val="both"/>
              <w:rPr>
                <w:sz w:val="20"/>
                <w:szCs w:val="20"/>
              </w:rPr>
            </w:pPr>
            <w:hyperlink r:id="rId5" w:history="1">
              <w:r>
                <w:rPr>
                  <w:rStyle w:val="a4"/>
                  <w:sz w:val="20"/>
                  <w:szCs w:val="20"/>
                </w:rPr>
                <w:t>List of Subsidiaries</w:t>
              </w:r>
            </w:hyperlink>
          </w:p>
        </w:tc>
      </w:tr>
      <w:tr w:rsidR="00000000" w14:paraId="71079253" w14:textId="77777777">
        <w:trPr>
          <w:divId w:val="911279972"/>
          <w:trHeight w:val="180"/>
          <w:tblCellSpacing w:w="0" w:type="dxa"/>
        </w:trPr>
        <w:tc>
          <w:tcPr>
            <w:tcW w:w="0" w:type="auto"/>
            <w:shd w:val="clear" w:color="auto" w:fill="CCEEFF"/>
            <w:hideMark/>
          </w:tcPr>
          <w:p w14:paraId="04FC2F0E" w14:textId="77777777" w:rsidR="00000000" w:rsidRDefault="007E65A2">
            <w:pPr>
              <w:pStyle w:val="a3"/>
              <w:spacing w:before="0" w:beforeAutospacing="0" w:after="0" w:afterAutospacing="0"/>
              <w:jc w:val="center"/>
              <w:rPr>
                <w:sz w:val="20"/>
                <w:szCs w:val="20"/>
              </w:rPr>
            </w:pPr>
            <w:r>
              <w:rPr>
                <w:b/>
                <w:bCs/>
                <w:sz w:val="20"/>
                <w:szCs w:val="20"/>
              </w:rPr>
              <w:t>(31)</w:t>
            </w:r>
          </w:p>
        </w:tc>
        <w:tc>
          <w:tcPr>
            <w:tcW w:w="0" w:type="auto"/>
            <w:shd w:val="clear" w:color="auto" w:fill="CCEEFF"/>
            <w:vAlign w:val="center"/>
            <w:hideMark/>
          </w:tcPr>
          <w:p w14:paraId="59A5DD3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4B254CFE" w14:textId="77777777" w:rsidR="00000000" w:rsidRDefault="007E65A2">
            <w:pPr>
              <w:pStyle w:val="a3"/>
              <w:spacing w:before="0" w:beforeAutospacing="0" w:after="0" w:afterAutospacing="0"/>
              <w:jc w:val="both"/>
              <w:rPr>
                <w:sz w:val="20"/>
                <w:szCs w:val="20"/>
              </w:rPr>
            </w:pPr>
            <w:r>
              <w:rPr>
                <w:b/>
                <w:bCs/>
                <w:sz w:val="20"/>
                <w:szCs w:val="20"/>
              </w:rPr>
              <w:t>Rule 13a-14 (d)/15d-14d) Certifications</w:t>
            </w:r>
          </w:p>
        </w:tc>
      </w:tr>
      <w:tr w:rsidR="00000000" w14:paraId="1F3E026A" w14:textId="77777777">
        <w:trPr>
          <w:divId w:val="911279972"/>
          <w:trHeight w:val="180"/>
          <w:tblCellSpacing w:w="0" w:type="dxa"/>
        </w:trPr>
        <w:tc>
          <w:tcPr>
            <w:tcW w:w="0" w:type="auto"/>
            <w:shd w:val="clear" w:color="auto" w:fill="FFFFFF"/>
            <w:hideMark/>
          </w:tcPr>
          <w:p w14:paraId="4A856320" w14:textId="77777777" w:rsidR="00000000" w:rsidRDefault="007E65A2">
            <w:pPr>
              <w:pStyle w:val="a3"/>
              <w:spacing w:before="0" w:beforeAutospacing="0" w:after="0" w:afterAutospacing="0"/>
              <w:jc w:val="center"/>
              <w:rPr>
                <w:sz w:val="20"/>
                <w:szCs w:val="20"/>
              </w:rPr>
            </w:pPr>
            <w:hyperlink r:id="rId6" w:history="1">
              <w:r>
                <w:rPr>
                  <w:rStyle w:val="a4"/>
                  <w:sz w:val="20"/>
                  <w:szCs w:val="20"/>
                </w:rPr>
                <w:t>31.1*</w:t>
              </w:r>
            </w:hyperlink>
          </w:p>
        </w:tc>
        <w:tc>
          <w:tcPr>
            <w:tcW w:w="0" w:type="auto"/>
            <w:shd w:val="clear" w:color="auto" w:fill="FFFFFF"/>
            <w:vAlign w:val="center"/>
            <w:hideMark/>
          </w:tcPr>
          <w:p w14:paraId="7A38AEE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6B9A7316" w14:textId="77777777" w:rsidR="00000000" w:rsidRDefault="007E65A2">
            <w:pPr>
              <w:pStyle w:val="a3"/>
              <w:spacing w:before="0" w:beforeAutospacing="0" w:after="0" w:afterAutospacing="0"/>
              <w:jc w:val="both"/>
              <w:rPr>
                <w:sz w:val="20"/>
                <w:szCs w:val="20"/>
              </w:rPr>
            </w:pPr>
            <w:hyperlink r:id="rId7" w:history="1">
              <w:r>
                <w:rPr>
                  <w:rStyle w:val="a4"/>
                  <w:sz w:val="20"/>
                  <w:szCs w:val="20"/>
                </w:rPr>
                <w:t>Section 302 Certification by the Principal Executive Officer, Principal Financial Officer and Principal Accounting Officer</w:t>
              </w:r>
            </w:hyperlink>
          </w:p>
        </w:tc>
      </w:tr>
      <w:tr w:rsidR="00000000" w14:paraId="018AF612" w14:textId="77777777">
        <w:trPr>
          <w:divId w:val="911279972"/>
          <w:trHeight w:val="180"/>
          <w:tblCellSpacing w:w="0" w:type="dxa"/>
        </w:trPr>
        <w:tc>
          <w:tcPr>
            <w:tcW w:w="0" w:type="auto"/>
            <w:shd w:val="clear" w:color="auto" w:fill="CCEEFF"/>
            <w:hideMark/>
          </w:tcPr>
          <w:p w14:paraId="28EF53E2" w14:textId="77777777" w:rsidR="00000000" w:rsidRDefault="007E65A2">
            <w:pPr>
              <w:pStyle w:val="a3"/>
              <w:spacing w:before="0" w:beforeAutospacing="0" w:after="0" w:afterAutospacing="0"/>
              <w:jc w:val="center"/>
              <w:rPr>
                <w:sz w:val="20"/>
                <w:szCs w:val="20"/>
              </w:rPr>
            </w:pPr>
            <w:r>
              <w:rPr>
                <w:b/>
                <w:bCs/>
                <w:sz w:val="20"/>
                <w:szCs w:val="20"/>
              </w:rPr>
              <w:t>(32)</w:t>
            </w:r>
          </w:p>
        </w:tc>
        <w:tc>
          <w:tcPr>
            <w:tcW w:w="0" w:type="auto"/>
            <w:shd w:val="clear" w:color="auto" w:fill="CCEEFF"/>
            <w:vAlign w:val="center"/>
            <w:hideMark/>
          </w:tcPr>
          <w:p w14:paraId="0071C17F"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2718E80D" w14:textId="77777777" w:rsidR="00000000" w:rsidRDefault="007E65A2">
            <w:pPr>
              <w:pStyle w:val="a3"/>
              <w:spacing w:before="0" w:beforeAutospacing="0" w:after="0" w:afterAutospacing="0"/>
              <w:jc w:val="both"/>
              <w:rPr>
                <w:sz w:val="20"/>
                <w:szCs w:val="20"/>
              </w:rPr>
            </w:pPr>
            <w:r>
              <w:rPr>
                <w:b/>
                <w:bCs/>
                <w:sz w:val="20"/>
                <w:szCs w:val="20"/>
              </w:rPr>
              <w:t>Section 1350 Certifications</w:t>
            </w:r>
          </w:p>
        </w:tc>
      </w:tr>
      <w:tr w:rsidR="00000000" w14:paraId="646AF45A" w14:textId="77777777">
        <w:trPr>
          <w:divId w:val="911279972"/>
          <w:trHeight w:val="180"/>
          <w:tblCellSpacing w:w="0" w:type="dxa"/>
        </w:trPr>
        <w:tc>
          <w:tcPr>
            <w:tcW w:w="0" w:type="auto"/>
            <w:shd w:val="clear" w:color="auto" w:fill="FFFFFF"/>
            <w:hideMark/>
          </w:tcPr>
          <w:p w14:paraId="4B0ECA1F" w14:textId="77777777" w:rsidR="00000000" w:rsidRDefault="007E65A2">
            <w:pPr>
              <w:pStyle w:val="a3"/>
              <w:spacing w:before="0" w:beforeAutospacing="0" w:after="0" w:afterAutospacing="0"/>
              <w:jc w:val="center"/>
              <w:rPr>
                <w:sz w:val="20"/>
                <w:szCs w:val="20"/>
              </w:rPr>
            </w:pPr>
            <w:hyperlink r:id="rId8" w:history="1">
              <w:r>
                <w:rPr>
                  <w:rStyle w:val="a4"/>
                  <w:sz w:val="20"/>
                  <w:szCs w:val="20"/>
                </w:rPr>
                <w:t>32.1**</w:t>
              </w:r>
            </w:hyperlink>
          </w:p>
        </w:tc>
        <w:tc>
          <w:tcPr>
            <w:tcW w:w="0" w:type="auto"/>
            <w:shd w:val="clear" w:color="auto" w:fill="FFFFFF"/>
            <w:vAlign w:val="center"/>
            <w:hideMark/>
          </w:tcPr>
          <w:p w14:paraId="116CE497"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198A299C" w14:textId="77777777" w:rsidR="00000000" w:rsidRDefault="007E65A2">
            <w:pPr>
              <w:pStyle w:val="a3"/>
              <w:spacing w:before="0" w:beforeAutospacing="0" w:after="0" w:afterAutospacing="0"/>
              <w:jc w:val="both"/>
              <w:rPr>
                <w:sz w:val="20"/>
                <w:szCs w:val="20"/>
              </w:rPr>
            </w:pPr>
            <w:hyperlink r:id="rId9" w:history="1">
              <w:r>
                <w:rPr>
                  <w:rStyle w:val="a4"/>
                  <w:sz w:val="20"/>
                  <w:szCs w:val="20"/>
                </w:rPr>
                <w:t>Section 906 Certification</w:t>
              </w:r>
              <w:r>
                <w:rPr>
                  <w:rStyle w:val="a4"/>
                  <w:sz w:val="20"/>
                  <w:szCs w:val="20"/>
                </w:rPr>
                <w:t xml:space="preserve"> by the Principal Executive Officer, Principal Financial Officer and Principal Accounting Officer</w:t>
              </w:r>
            </w:hyperlink>
          </w:p>
        </w:tc>
      </w:tr>
      <w:tr w:rsidR="00000000" w14:paraId="457508FA" w14:textId="77777777">
        <w:trPr>
          <w:divId w:val="911279972"/>
          <w:trHeight w:val="180"/>
          <w:tblCellSpacing w:w="0" w:type="dxa"/>
        </w:trPr>
        <w:tc>
          <w:tcPr>
            <w:tcW w:w="0" w:type="auto"/>
            <w:shd w:val="clear" w:color="auto" w:fill="CCEEFF"/>
            <w:hideMark/>
          </w:tcPr>
          <w:p w14:paraId="762D00C0" w14:textId="77777777" w:rsidR="00000000" w:rsidRDefault="007E65A2">
            <w:pPr>
              <w:pStyle w:val="a3"/>
              <w:spacing w:before="0" w:beforeAutospacing="0" w:after="0" w:afterAutospacing="0"/>
              <w:jc w:val="center"/>
              <w:rPr>
                <w:sz w:val="20"/>
                <w:szCs w:val="20"/>
              </w:rPr>
            </w:pPr>
            <w:r>
              <w:rPr>
                <w:b/>
                <w:bCs/>
                <w:sz w:val="20"/>
                <w:szCs w:val="20"/>
              </w:rPr>
              <w:t>101</w:t>
            </w:r>
            <w:r>
              <w:rPr>
                <w:sz w:val="20"/>
                <w:szCs w:val="20"/>
              </w:rPr>
              <w:t>*</w:t>
            </w:r>
          </w:p>
        </w:tc>
        <w:tc>
          <w:tcPr>
            <w:tcW w:w="0" w:type="auto"/>
            <w:shd w:val="clear" w:color="auto" w:fill="CCEEFF"/>
            <w:vAlign w:val="center"/>
            <w:hideMark/>
          </w:tcPr>
          <w:p w14:paraId="3782C0B5"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2E27BC71" w14:textId="77777777" w:rsidR="00000000" w:rsidRDefault="007E65A2">
            <w:pPr>
              <w:pStyle w:val="a3"/>
              <w:spacing w:before="0" w:beforeAutospacing="0" w:after="0" w:afterAutospacing="0"/>
              <w:jc w:val="both"/>
              <w:rPr>
                <w:sz w:val="20"/>
                <w:szCs w:val="20"/>
              </w:rPr>
            </w:pPr>
            <w:r>
              <w:rPr>
                <w:b/>
                <w:bCs/>
                <w:sz w:val="20"/>
                <w:szCs w:val="20"/>
              </w:rPr>
              <w:t>Interactive Data File</w:t>
            </w:r>
          </w:p>
        </w:tc>
      </w:tr>
      <w:tr w:rsidR="00000000" w14:paraId="40EC552B" w14:textId="77777777">
        <w:trPr>
          <w:divId w:val="911279972"/>
          <w:trHeight w:val="180"/>
          <w:tblCellSpacing w:w="0" w:type="dxa"/>
        </w:trPr>
        <w:tc>
          <w:tcPr>
            <w:tcW w:w="0" w:type="auto"/>
            <w:shd w:val="clear" w:color="auto" w:fill="FFFFFF"/>
            <w:hideMark/>
          </w:tcPr>
          <w:p w14:paraId="35E63510" w14:textId="77777777" w:rsidR="00000000" w:rsidRDefault="007E65A2">
            <w:pPr>
              <w:pStyle w:val="a3"/>
              <w:spacing w:before="0" w:beforeAutospacing="0" w:after="0" w:afterAutospacing="0"/>
              <w:jc w:val="center"/>
              <w:rPr>
                <w:sz w:val="20"/>
                <w:szCs w:val="20"/>
              </w:rPr>
            </w:pPr>
            <w:r>
              <w:rPr>
                <w:sz w:val="20"/>
                <w:szCs w:val="20"/>
              </w:rPr>
              <w:t>101.INS</w:t>
            </w:r>
          </w:p>
        </w:tc>
        <w:tc>
          <w:tcPr>
            <w:tcW w:w="0" w:type="auto"/>
            <w:shd w:val="clear" w:color="auto" w:fill="FFFFFF"/>
            <w:vAlign w:val="center"/>
            <w:hideMark/>
          </w:tcPr>
          <w:p w14:paraId="5B8E8346"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054EF3D1" w14:textId="77777777" w:rsidR="00000000" w:rsidRDefault="007E65A2">
            <w:pPr>
              <w:pStyle w:val="a3"/>
              <w:spacing w:before="0" w:beforeAutospacing="0" w:after="0" w:afterAutospacing="0"/>
              <w:jc w:val="both"/>
              <w:rPr>
                <w:sz w:val="20"/>
                <w:szCs w:val="20"/>
              </w:rPr>
            </w:pPr>
            <w:r>
              <w:rPr>
                <w:sz w:val="20"/>
                <w:szCs w:val="20"/>
              </w:rPr>
              <w:t>XBRL Instance Document</w:t>
            </w:r>
          </w:p>
        </w:tc>
      </w:tr>
      <w:tr w:rsidR="00000000" w14:paraId="23DE8DF6" w14:textId="77777777">
        <w:trPr>
          <w:divId w:val="911279972"/>
          <w:trHeight w:val="180"/>
          <w:tblCellSpacing w:w="0" w:type="dxa"/>
        </w:trPr>
        <w:tc>
          <w:tcPr>
            <w:tcW w:w="0" w:type="auto"/>
            <w:shd w:val="clear" w:color="auto" w:fill="CCEEFF"/>
            <w:hideMark/>
          </w:tcPr>
          <w:p w14:paraId="458C2DF5" w14:textId="77777777" w:rsidR="00000000" w:rsidRDefault="007E65A2">
            <w:pPr>
              <w:pStyle w:val="a3"/>
              <w:spacing w:before="0" w:beforeAutospacing="0" w:after="0" w:afterAutospacing="0"/>
              <w:jc w:val="center"/>
              <w:rPr>
                <w:sz w:val="20"/>
                <w:szCs w:val="20"/>
              </w:rPr>
            </w:pPr>
            <w:r>
              <w:rPr>
                <w:sz w:val="20"/>
                <w:szCs w:val="20"/>
              </w:rPr>
              <w:t>101.SCH</w:t>
            </w:r>
          </w:p>
        </w:tc>
        <w:tc>
          <w:tcPr>
            <w:tcW w:w="0" w:type="auto"/>
            <w:shd w:val="clear" w:color="auto" w:fill="CCEEFF"/>
            <w:vAlign w:val="center"/>
            <w:hideMark/>
          </w:tcPr>
          <w:p w14:paraId="2DCBF9F4"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0540D957" w14:textId="77777777" w:rsidR="00000000" w:rsidRDefault="007E65A2">
            <w:pPr>
              <w:pStyle w:val="a3"/>
              <w:spacing w:before="0" w:beforeAutospacing="0" w:after="0" w:afterAutospacing="0"/>
              <w:jc w:val="both"/>
              <w:rPr>
                <w:sz w:val="20"/>
                <w:szCs w:val="20"/>
              </w:rPr>
            </w:pPr>
            <w:r>
              <w:rPr>
                <w:sz w:val="20"/>
                <w:szCs w:val="20"/>
              </w:rPr>
              <w:t>XBRL Taxonomy Extension Schema Document</w:t>
            </w:r>
          </w:p>
        </w:tc>
      </w:tr>
      <w:tr w:rsidR="00000000" w14:paraId="4E61BF8C" w14:textId="77777777">
        <w:trPr>
          <w:divId w:val="911279972"/>
          <w:trHeight w:val="180"/>
          <w:tblCellSpacing w:w="0" w:type="dxa"/>
        </w:trPr>
        <w:tc>
          <w:tcPr>
            <w:tcW w:w="0" w:type="auto"/>
            <w:shd w:val="clear" w:color="auto" w:fill="FFFFFF"/>
            <w:hideMark/>
          </w:tcPr>
          <w:p w14:paraId="2BF8E86A" w14:textId="77777777" w:rsidR="00000000" w:rsidRDefault="007E65A2">
            <w:pPr>
              <w:pStyle w:val="a3"/>
              <w:spacing w:before="0" w:beforeAutospacing="0" w:after="0" w:afterAutospacing="0"/>
              <w:jc w:val="center"/>
              <w:rPr>
                <w:sz w:val="20"/>
                <w:szCs w:val="20"/>
              </w:rPr>
            </w:pPr>
            <w:r>
              <w:rPr>
                <w:sz w:val="20"/>
                <w:szCs w:val="20"/>
              </w:rPr>
              <w:t>101.CAL</w:t>
            </w:r>
          </w:p>
        </w:tc>
        <w:tc>
          <w:tcPr>
            <w:tcW w:w="0" w:type="auto"/>
            <w:shd w:val="clear" w:color="auto" w:fill="FFFFFF"/>
            <w:vAlign w:val="center"/>
            <w:hideMark/>
          </w:tcPr>
          <w:p w14:paraId="06F9006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199042DC" w14:textId="77777777" w:rsidR="00000000" w:rsidRDefault="007E65A2">
            <w:pPr>
              <w:pStyle w:val="a3"/>
              <w:spacing w:before="0" w:beforeAutospacing="0" w:after="0" w:afterAutospacing="0"/>
              <w:jc w:val="both"/>
              <w:rPr>
                <w:sz w:val="20"/>
                <w:szCs w:val="20"/>
              </w:rPr>
            </w:pPr>
            <w:r>
              <w:rPr>
                <w:sz w:val="20"/>
                <w:szCs w:val="20"/>
              </w:rPr>
              <w:t>XBRL Taxonomy Extension Calculation Linkbase Document</w:t>
            </w:r>
          </w:p>
        </w:tc>
      </w:tr>
      <w:tr w:rsidR="00000000" w14:paraId="609DFCC0" w14:textId="77777777">
        <w:trPr>
          <w:divId w:val="911279972"/>
          <w:trHeight w:val="180"/>
          <w:tblCellSpacing w:w="0" w:type="dxa"/>
        </w:trPr>
        <w:tc>
          <w:tcPr>
            <w:tcW w:w="0" w:type="auto"/>
            <w:shd w:val="clear" w:color="auto" w:fill="CCEEFF"/>
            <w:hideMark/>
          </w:tcPr>
          <w:p w14:paraId="16FE3E98" w14:textId="77777777" w:rsidR="00000000" w:rsidRDefault="007E65A2">
            <w:pPr>
              <w:pStyle w:val="a3"/>
              <w:spacing w:before="0" w:beforeAutospacing="0" w:after="0" w:afterAutospacing="0"/>
              <w:jc w:val="center"/>
              <w:rPr>
                <w:sz w:val="20"/>
                <w:szCs w:val="20"/>
              </w:rPr>
            </w:pPr>
            <w:r>
              <w:rPr>
                <w:sz w:val="20"/>
                <w:szCs w:val="20"/>
              </w:rPr>
              <w:t>101.DEF</w:t>
            </w:r>
          </w:p>
        </w:tc>
        <w:tc>
          <w:tcPr>
            <w:tcW w:w="0" w:type="auto"/>
            <w:shd w:val="clear" w:color="auto" w:fill="CCEEFF"/>
            <w:vAlign w:val="center"/>
            <w:hideMark/>
          </w:tcPr>
          <w:p w14:paraId="32B413C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41687D5C" w14:textId="77777777" w:rsidR="00000000" w:rsidRDefault="007E65A2">
            <w:pPr>
              <w:pStyle w:val="a3"/>
              <w:spacing w:before="0" w:beforeAutospacing="0" w:after="0" w:afterAutospacing="0"/>
              <w:jc w:val="both"/>
              <w:rPr>
                <w:sz w:val="20"/>
                <w:szCs w:val="20"/>
              </w:rPr>
            </w:pPr>
            <w:r>
              <w:rPr>
                <w:sz w:val="20"/>
                <w:szCs w:val="20"/>
              </w:rPr>
              <w:t>XBRL Taxonomy Extension Definition Linkbase Document</w:t>
            </w:r>
          </w:p>
        </w:tc>
      </w:tr>
      <w:tr w:rsidR="00000000" w14:paraId="2E1D2104" w14:textId="77777777">
        <w:trPr>
          <w:divId w:val="911279972"/>
          <w:trHeight w:val="180"/>
          <w:tblCellSpacing w:w="0" w:type="dxa"/>
        </w:trPr>
        <w:tc>
          <w:tcPr>
            <w:tcW w:w="0" w:type="auto"/>
            <w:shd w:val="clear" w:color="auto" w:fill="FFFFFF"/>
            <w:hideMark/>
          </w:tcPr>
          <w:p w14:paraId="27F632C9" w14:textId="77777777" w:rsidR="00000000" w:rsidRDefault="007E65A2">
            <w:pPr>
              <w:pStyle w:val="a3"/>
              <w:spacing w:before="0" w:beforeAutospacing="0" w:after="0" w:afterAutospacing="0"/>
              <w:jc w:val="center"/>
              <w:rPr>
                <w:sz w:val="20"/>
                <w:szCs w:val="20"/>
              </w:rPr>
            </w:pPr>
            <w:r>
              <w:rPr>
                <w:sz w:val="20"/>
                <w:szCs w:val="20"/>
              </w:rPr>
              <w:t>101.LAB</w:t>
            </w:r>
          </w:p>
        </w:tc>
        <w:tc>
          <w:tcPr>
            <w:tcW w:w="0" w:type="auto"/>
            <w:shd w:val="clear" w:color="auto" w:fill="FFFFFF"/>
            <w:vAlign w:val="center"/>
            <w:hideMark/>
          </w:tcPr>
          <w:p w14:paraId="2B07051D"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475BF6F0" w14:textId="77777777" w:rsidR="00000000" w:rsidRDefault="007E65A2">
            <w:pPr>
              <w:pStyle w:val="a3"/>
              <w:spacing w:before="0" w:beforeAutospacing="0" w:after="0" w:afterAutospacing="0"/>
              <w:jc w:val="both"/>
              <w:rPr>
                <w:sz w:val="20"/>
                <w:szCs w:val="20"/>
              </w:rPr>
            </w:pPr>
            <w:r>
              <w:rPr>
                <w:sz w:val="20"/>
                <w:szCs w:val="20"/>
              </w:rPr>
              <w:t>XBRL Taxonomy Extension Label Linkbase Document</w:t>
            </w:r>
          </w:p>
        </w:tc>
      </w:tr>
      <w:tr w:rsidR="00000000" w14:paraId="38F63269" w14:textId="77777777">
        <w:trPr>
          <w:divId w:val="911279972"/>
          <w:trHeight w:val="180"/>
          <w:tblCellSpacing w:w="0" w:type="dxa"/>
        </w:trPr>
        <w:tc>
          <w:tcPr>
            <w:tcW w:w="0" w:type="auto"/>
            <w:shd w:val="clear" w:color="auto" w:fill="CCEEFF"/>
            <w:hideMark/>
          </w:tcPr>
          <w:p w14:paraId="2E886966" w14:textId="77777777" w:rsidR="00000000" w:rsidRDefault="007E65A2">
            <w:pPr>
              <w:pStyle w:val="a3"/>
              <w:spacing w:before="0" w:beforeAutospacing="0" w:after="0" w:afterAutospacing="0"/>
              <w:jc w:val="center"/>
              <w:rPr>
                <w:sz w:val="20"/>
                <w:szCs w:val="20"/>
              </w:rPr>
            </w:pPr>
            <w:r>
              <w:rPr>
                <w:sz w:val="20"/>
                <w:szCs w:val="20"/>
              </w:rPr>
              <w:t>101.PRE</w:t>
            </w:r>
          </w:p>
        </w:tc>
        <w:tc>
          <w:tcPr>
            <w:tcW w:w="0" w:type="auto"/>
            <w:shd w:val="clear" w:color="auto" w:fill="CCEEFF"/>
            <w:vAlign w:val="center"/>
            <w:hideMark/>
          </w:tcPr>
          <w:p w14:paraId="42404AD1" w14:textId="77777777" w:rsidR="00000000" w:rsidRDefault="007E65A2">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378308D2" w14:textId="77777777" w:rsidR="00000000" w:rsidRDefault="007E65A2">
            <w:pPr>
              <w:pStyle w:val="a3"/>
              <w:spacing w:before="0" w:beforeAutospacing="0" w:after="0" w:afterAutospacing="0"/>
              <w:jc w:val="both"/>
              <w:rPr>
                <w:sz w:val="20"/>
                <w:szCs w:val="20"/>
              </w:rPr>
            </w:pPr>
            <w:r>
              <w:rPr>
                <w:sz w:val="20"/>
                <w:szCs w:val="20"/>
              </w:rPr>
              <w:t>XBRL Taxonomy Extension Presentation Linkbase Document</w:t>
            </w:r>
          </w:p>
        </w:tc>
      </w:tr>
    </w:tbl>
    <w:p w14:paraId="57F8C2FB" w14:textId="77777777" w:rsidR="00000000" w:rsidRDefault="007E65A2">
      <w:pPr>
        <w:pStyle w:val="a3"/>
        <w:spacing w:before="0" w:beforeAutospacing="0" w:after="0" w:afterAutospacing="0"/>
        <w:jc w:val="both"/>
        <w:divId w:val="911279972"/>
        <w:rPr>
          <w:sz w:val="20"/>
          <w:szCs w:val="20"/>
        </w:rPr>
      </w:pPr>
      <w:r>
        <w:rPr>
          <w:sz w:val="20"/>
          <w:szCs w:val="20"/>
        </w:rPr>
        <w:t> ___________</w:t>
      </w:r>
      <w:r>
        <w:rPr>
          <w:sz w:val="20"/>
          <w:szCs w:val="20"/>
        </w:rPr>
        <w:t>___</w:t>
      </w:r>
    </w:p>
    <w:p w14:paraId="7D5CF30B" w14:textId="77777777" w:rsidR="00000000" w:rsidRDefault="007E65A2">
      <w:pPr>
        <w:pStyle w:val="a3"/>
        <w:spacing w:before="0" w:beforeAutospacing="0" w:after="0" w:afterAutospacing="0"/>
        <w:jc w:val="both"/>
        <w:divId w:val="911279972"/>
        <w:rPr>
          <w:sz w:val="20"/>
          <w:szCs w:val="20"/>
        </w:rPr>
      </w:pPr>
      <w:r>
        <w:rPr>
          <w:i/>
          <w:iCs/>
          <w:sz w:val="20"/>
          <w:szCs w:val="20"/>
        </w:rPr>
        <w:t>* Filed herewith.</w:t>
      </w:r>
    </w:p>
    <w:p w14:paraId="71E4E15B" w14:textId="77777777" w:rsidR="00000000" w:rsidRDefault="007E65A2">
      <w:pPr>
        <w:pStyle w:val="a3"/>
        <w:spacing w:before="0" w:beforeAutospacing="0" w:after="0" w:afterAutospacing="0"/>
        <w:jc w:val="both"/>
        <w:divId w:val="911279972"/>
        <w:rPr>
          <w:sz w:val="20"/>
          <w:szCs w:val="20"/>
        </w:rPr>
      </w:pPr>
      <w:r>
        <w:rPr>
          <w:i/>
          <w:iCs/>
          <w:sz w:val="20"/>
          <w:szCs w:val="20"/>
        </w:rPr>
        <w:t>** Furnished herewith.</w:t>
      </w:r>
    </w:p>
    <w:p w14:paraId="74A663B4" w14:textId="77777777" w:rsidR="00000000" w:rsidRDefault="007E65A2">
      <w:pPr>
        <w:pStyle w:val="a3"/>
        <w:spacing w:before="0" w:beforeAutospacing="0" w:after="0" w:afterAutospacing="0"/>
        <w:jc w:val="both"/>
        <w:divId w:val="911279972"/>
        <w:rPr>
          <w:sz w:val="20"/>
          <w:szCs w:val="20"/>
        </w:rPr>
      </w:pPr>
      <w:r>
        <w:rPr>
          <w:sz w:val="20"/>
          <w:szCs w:val="20"/>
        </w:rPr>
        <w:t> </w:t>
      </w:r>
    </w:p>
    <w:p w14:paraId="2E4BF624" w14:textId="77777777" w:rsidR="00000000" w:rsidRDefault="007E65A2">
      <w:pPr>
        <w:pStyle w:val="a3"/>
        <w:spacing w:before="0" w:beforeAutospacing="0" w:after="0" w:afterAutospacing="0"/>
        <w:jc w:val="both"/>
        <w:divId w:val="911279972"/>
        <w:rPr>
          <w:sz w:val="20"/>
          <w:szCs w:val="20"/>
        </w:rPr>
      </w:pPr>
      <w:bookmarkStart w:id="32" w:name="ITEM_16._FORM_10-K_SUMMARY"/>
      <w:r>
        <w:rPr>
          <w:b/>
          <w:bCs/>
          <w:sz w:val="20"/>
          <w:szCs w:val="20"/>
        </w:rPr>
        <w:t>ITEM 16. FORM 10-K SUMMARY</w:t>
      </w:r>
      <w:bookmarkEnd w:id="32"/>
    </w:p>
    <w:p w14:paraId="332E7F66" w14:textId="77777777" w:rsidR="00000000" w:rsidRDefault="007E65A2">
      <w:pPr>
        <w:pStyle w:val="a3"/>
        <w:spacing w:before="0" w:beforeAutospacing="0" w:after="0" w:afterAutospacing="0"/>
        <w:jc w:val="both"/>
        <w:divId w:val="911279972"/>
        <w:rPr>
          <w:sz w:val="20"/>
          <w:szCs w:val="20"/>
        </w:rPr>
      </w:pPr>
      <w:r>
        <w:rPr>
          <w:sz w:val="20"/>
          <w:szCs w:val="20"/>
        </w:rPr>
        <w:t> </w:t>
      </w:r>
    </w:p>
    <w:p w14:paraId="19DA2800" w14:textId="77777777" w:rsidR="00000000" w:rsidRDefault="007E65A2">
      <w:pPr>
        <w:jc w:val="both"/>
        <w:divId w:val="911279972"/>
        <w:rPr>
          <w:rFonts w:eastAsia="Times New Roman"/>
          <w:b/>
          <w:bCs/>
          <w:sz w:val="20"/>
          <w:szCs w:val="20"/>
        </w:rPr>
      </w:pPr>
      <w:r>
        <w:rPr>
          <w:rFonts w:eastAsia="Times New Roman"/>
          <w:sz w:val="20"/>
          <w:szCs w:val="20"/>
        </w:rPr>
        <w:t>None.</w:t>
      </w:r>
      <w:r>
        <w:rPr>
          <w:rFonts w:eastAsia="Times New Roman"/>
          <w:b/>
          <w:bCs/>
          <w:sz w:val="20"/>
          <w:szCs w:val="20"/>
        </w:rPr>
        <w:t xml:space="preserve"> </w:t>
      </w:r>
    </w:p>
    <w:p w14:paraId="613D4776" w14:textId="77777777" w:rsidR="00000000" w:rsidRDefault="007E65A2">
      <w:pPr>
        <w:pStyle w:val="a3"/>
        <w:spacing w:before="0" w:beforeAutospacing="0" w:after="0" w:afterAutospacing="0"/>
        <w:jc w:val="both"/>
        <w:divId w:val="911279972"/>
        <w:rPr>
          <w:b/>
          <w:bCs/>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1D9802C" w14:textId="77777777">
        <w:trPr>
          <w:divId w:val="911279972"/>
          <w:tblCellSpacing w:w="0" w:type="dxa"/>
        </w:trPr>
        <w:tc>
          <w:tcPr>
            <w:tcW w:w="0" w:type="auto"/>
            <w:vAlign w:val="center"/>
            <w:hideMark/>
          </w:tcPr>
          <w:p w14:paraId="06EB744E" w14:textId="77777777" w:rsidR="00000000" w:rsidRDefault="007E65A2">
            <w:pPr>
              <w:rPr>
                <w:rFonts w:eastAsia="Times New Roman"/>
                <w:sz w:val="20"/>
                <w:szCs w:val="20"/>
              </w:rPr>
            </w:pPr>
            <w:r>
              <w:rPr>
                <w:rFonts w:eastAsia="Times New Roman"/>
                <w:sz w:val="20"/>
                <w:szCs w:val="20"/>
              </w:rPr>
              <w:t> </w:t>
            </w:r>
          </w:p>
        </w:tc>
      </w:tr>
      <w:tr w:rsidR="00000000" w14:paraId="67068E56" w14:textId="77777777">
        <w:trPr>
          <w:divId w:val="911279972"/>
          <w:tblCellSpacing w:w="0" w:type="dxa"/>
        </w:trPr>
        <w:tc>
          <w:tcPr>
            <w:tcW w:w="0" w:type="auto"/>
            <w:tcBorders>
              <w:bottom w:val="single" w:sz="6" w:space="0" w:color="000000"/>
            </w:tcBorders>
            <w:vAlign w:val="center"/>
            <w:hideMark/>
          </w:tcPr>
          <w:p w14:paraId="6016D56D" w14:textId="77777777" w:rsidR="00000000" w:rsidRDefault="007E65A2">
            <w:pPr>
              <w:jc w:val="center"/>
              <w:rPr>
                <w:rFonts w:eastAsia="Times New Roman"/>
                <w:sz w:val="20"/>
                <w:szCs w:val="20"/>
              </w:rPr>
            </w:pPr>
            <w:r>
              <w:rPr>
                <w:rFonts w:eastAsia="Times New Roman"/>
                <w:sz w:val="20"/>
                <w:szCs w:val="20"/>
              </w:rPr>
              <w:t>21</w:t>
            </w:r>
          </w:p>
        </w:tc>
      </w:tr>
      <w:tr w:rsidR="00000000" w14:paraId="767B0FDF" w14:textId="77777777">
        <w:trPr>
          <w:divId w:val="911279972"/>
          <w:tblCellSpacing w:w="0" w:type="dxa"/>
        </w:trPr>
        <w:tc>
          <w:tcPr>
            <w:tcW w:w="0" w:type="auto"/>
            <w:vAlign w:val="center"/>
            <w:hideMark/>
          </w:tcPr>
          <w:p w14:paraId="018F6DFC" w14:textId="77777777" w:rsidR="00000000" w:rsidRDefault="007E65A2">
            <w:pPr>
              <w:rPr>
                <w:rFonts w:eastAsia="Times New Roman"/>
                <w:sz w:val="20"/>
                <w:szCs w:val="20"/>
              </w:rPr>
            </w:pPr>
            <w:r>
              <w:rPr>
                <w:rFonts w:eastAsia="Times New Roman"/>
                <w:sz w:val="20"/>
                <w:szCs w:val="20"/>
              </w:rPr>
              <w:t> </w:t>
            </w:r>
          </w:p>
        </w:tc>
      </w:tr>
      <w:tr w:rsidR="00000000" w14:paraId="6D35C757" w14:textId="77777777">
        <w:trPr>
          <w:divId w:val="911279972"/>
          <w:tblCellSpacing w:w="0" w:type="dxa"/>
        </w:trPr>
        <w:tc>
          <w:tcPr>
            <w:tcW w:w="0" w:type="auto"/>
            <w:vAlign w:val="center"/>
            <w:hideMark/>
          </w:tcPr>
          <w:p w14:paraId="6A1CC81C" w14:textId="77777777" w:rsidR="00000000" w:rsidRDefault="007E65A2">
            <w:pPr>
              <w:rPr>
                <w:rFonts w:eastAsia="Times New Roman"/>
                <w:sz w:val="20"/>
                <w:szCs w:val="20"/>
              </w:rPr>
            </w:pPr>
            <w:hyperlink w:anchor="Toc" w:history="1">
              <w:r>
                <w:rPr>
                  <w:rStyle w:val="a4"/>
                  <w:rFonts w:eastAsia="Times New Roman"/>
                  <w:i/>
                  <w:iCs/>
                  <w:sz w:val="20"/>
                  <w:szCs w:val="20"/>
                </w:rPr>
                <w:t>Table of Contents</w:t>
              </w:r>
            </w:hyperlink>
          </w:p>
        </w:tc>
      </w:tr>
    </w:tbl>
    <w:p w14:paraId="432D4765" w14:textId="77777777" w:rsidR="00000000" w:rsidRDefault="007E65A2">
      <w:pPr>
        <w:jc w:val="both"/>
        <w:divId w:val="911279972"/>
        <w:rPr>
          <w:rFonts w:eastAsia="Times New Roman"/>
          <w:sz w:val="20"/>
          <w:szCs w:val="20"/>
        </w:rPr>
      </w:pPr>
      <w:r>
        <w:rPr>
          <w:rFonts w:eastAsia="Times New Roman"/>
          <w:sz w:val="20"/>
          <w:szCs w:val="20"/>
        </w:rPr>
        <w:t xml:space="preserve">  </w:t>
      </w:r>
    </w:p>
    <w:p w14:paraId="3B18D205" w14:textId="77777777" w:rsidR="00000000" w:rsidRDefault="007E65A2">
      <w:pPr>
        <w:pStyle w:val="a3"/>
        <w:spacing w:before="0" w:beforeAutospacing="0" w:after="0" w:afterAutospacing="0"/>
        <w:jc w:val="center"/>
        <w:divId w:val="911279972"/>
        <w:rPr>
          <w:sz w:val="20"/>
          <w:szCs w:val="20"/>
        </w:rPr>
      </w:pPr>
      <w:bookmarkStart w:id="33" w:name="SIGNATURES"/>
      <w:r>
        <w:rPr>
          <w:b/>
          <w:bCs/>
          <w:sz w:val="20"/>
          <w:szCs w:val="20"/>
        </w:rPr>
        <w:t>SIGNATURES</w:t>
      </w:r>
      <w:bookmarkEnd w:id="33"/>
    </w:p>
    <w:p w14:paraId="423DEBF9" w14:textId="77777777" w:rsidR="00000000" w:rsidRDefault="007E65A2">
      <w:pPr>
        <w:pStyle w:val="a3"/>
        <w:spacing w:before="0" w:beforeAutospacing="0" w:after="0" w:afterAutospacing="0"/>
        <w:jc w:val="both"/>
        <w:divId w:val="911279972"/>
        <w:rPr>
          <w:sz w:val="20"/>
          <w:szCs w:val="20"/>
        </w:rPr>
      </w:pPr>
      <w:r>
        <w:rPr>
          <w:sz w:val="20"/>
          <w:szCs w:val="20"/>
        </w:rPr>
        <w:t> </w:t>
      </w:r>
    </w:p>
    <w:p w14:paraId="5C928759" w14:textId="77777777" w:rsidR="00000000" w:rsidRDefault="007E65A2">
      <w:pPr>
        <w:pStyle w:val="a3"/>
        <w:spacing w:before="0" w:beforeAutospacing="0" w:after="0" w:afterAutospacing="0"/>
        <w:divId w:val="911279972"/>
        <w:rPr>
          <w:sz w:val="20"/>
          <w:szCs w:val="20"/>
        </w:rPr>
      </w:pPr>
      <w:r>
        <w:rPr>
          <w:sz w:val="20"/>
          <w:szCs w:val="20"/>
        </w:rPr>
        <w:t>Pursuant to the requirements of Section 13 or 15(d) of the Securities Exchange Act of 1934, the registrant has duly caused this report to be signed on its behalf by the undersigned, thereto duly authorized.</w:t>
      </w:r>
    </w:p>
    <w:p w14:paraId="7C5F3DA4"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39"/>
        <w:gridCol w:w="289"/>
        <w:gridCol w:w="2894"/>
        <w:gridCol w:w="984"/>
      </w:tblGrid>
      <w:tr w:rsidR="00000000" w14:paraId="5F675E8E" w14:textId="77777777">
        <w:trPr>
          <w:divId w:val="911279972"/>
          <w:trHeight w:val="180"/>
          <w:tblCellSpacing w:w="0" w:type="dxa"/>
        </w:trPr>
        <w:tc>
          <w:tcPr>
            <w:tcW w:w="0" w:type="auto"/>
            <w:vAlign w:val="center"/>
            <w:hideMark/>
          </w:tcPr>
          <w:p w14:paraId="6CCCB463" w14:textId="77777777" w:rsidR="00000000" w:rsidRDefault="007E65A2">
            <w:pPr>
              <w:pStyle w:val="a3"/>
              <w:rPr>
                <w:sz w:val="20"/>
                <w:szCs w:val="20"/>
              </w:rPr>
            </w:pPr>
          </w:p>
        </w:tc>
        <w:tc>
          <w:tcPr>
            <w:tcW w:w="0" w:type="auto"/>
            <w:gridSpan w:val="2"/>
            <w:vAlign w:val="center"/>
            <w:hideMark/>
          </w:tcPr>
          <w:p w14:paraId="043124E4" w14:textId="77777777" w:rsidR="00000000" w:rsidRDefault="007E65A2">
            <w:pPr>
              <w:pStyle w:val="a3"/>
              <w:spacing w:before="0" w:beforeAutospacing="0" w:after="0" w:afterAutospacing="0"/>
              <w:jc w:val="both"/>
              <w:rPr>
                <w:sz w:val="20"/>
                <w:szCs w:val="20"/>
              </w:rPr>
            </w:pPr>
            <w:r>
              <w:rPr>
                <w:b/>
                <w:bCs/>
                <w:sz w:val="20"/>
                <w:szCs w:val="20"/>
              </w:rPr>
              <w:t>APPYEA, INC.</w:t>
            </w:r>
          </w:p>
        </w:tc>
        <w:tc>
          <w:tcPr>
            <w:tcW w:w="0" w:type="auto"/>
            <w:vAlign w:val="center"/>
            <w:hideMark/>
          </w:tcPr>
          <w:p w14:paraId="6C60FA18" w14:textId="77777777" w:rsidR="00000000" w:rsidRDefault="007E65A2">
            <w:pPr>
              <w:rPr>
                <w:sz w:val="20"/>
                <w:szCs w:val="20"/>
              </w:rPr>
            </w:pPr>
          </w:p>
        </w:tc>
      </w:tr>
      <w:tr w:rsidR="00000000" w14:paraId="1E5FD0AB" w14:textId="77777777">
        <w:trPr>
          <w:divId w:val="911279972"/>
          <w:trHeight w:val="180"/>
          <w:tblCellSpacing w:w="0" w:type="dxa"/>
        </w:trPr>
        <w:tc>
          <w:tcPr>
            <w:tcW w:w="2500" w:type="pct"/>
            <w:vAlign w:val="center"/>
            <w:hideMark/>
          </w:tcPr>
          <w:p w14:paraId="1BA366E6" w14:textId="77777777" w:rsidR="00000000" w:rsidRDefault="007E65A2">
            <w:pPr>
              <w:jc w:val="both"/>
              <w:rPr>
                <w:rFonts w:eastAsia="Times New Roman"/>
                <w:sz w:val="20"/>
                <w:szCs w:val="20"/>
              </w:rPr>
            </w:pPr>
            <w:r>
              <w:rPr>
                <w:rFonts w:eastAsia="Times New Roman"/>
                <w:sz w:val="20"/>
                <w:szCs w:val="20"/>
              </w:rPr>
              <w:t xml:space="preserve">  </w:t>
            </w:r>
          </w:p>
        </w:tc>
        <w:tc>
          <w:tcPr>
            <w:tcW w:w="150" w:type="pct"/>
            <w:vAlign w:val="center"/>
            <w:hideMark/>
          </w:tcPr>
          <w:p w14:paraId="66AF3BF3" w14:textId="77777777" w:rsidR="00000000" w:rsidRDefault="007E65A2">
            <w:pPr>
              <w:jc w:val="both"/>
              <w:rPr>
                <w:rFonts w:eastAsia="Times New Roman"/>
                <w:sz w:val="20"/>
                <w:szCs w:val="20"/>
              </w:rPr>
            </w:pPr>
            <w:r>
              <w:rPr>
                <w:rFonts w:eastAsia="Times New Roman"/>
                <w:sz w:val="20"/>
                <w:szCs w:val="20"/>
              </w:rPr>
              <w:t xml:space="preserve">  </w:t>
            </w:r>
          </w:p>
        </w:tc>
        <w:tc>
          <w:tcPr>
            <w:tcW w:w="1750" w:type="pct"/>
            <w:vAlign w:val="center"/>
            <w:hideMark/>
          </w:tcPr>
          <w:p w14:paraId="6B9BD488" w14:textId="77777777" w:rsidR="00000000" w:rsidRDefault="007E65A2">
            <w:pPr>
              <w:jc w:val="both"/>
              <w:rPr>
                <w:rFonts w:eastAsia="Times New Roman"/>
                <w:sz w:val="20"/>
                <w:szCs w:val="20"/>
              </w:rPr>
            </w:pPr>
            <w:r>
              <w:rPr>
                <w:rFonts w:eastAsia="Times New Roman"/>
                <w:sz w:val="20"/>
                <w:szCs w:val="20"/>
              </w:rPr>
              <w:t xml:space="preserve">  </w:t>
            </w:r>
          </w:p>
        </w:tc>
        <w:tc>
          <w:tcPr>
            <w:tcW w:w="600" w:type="pct"/>
            <w:vAlign w:val="center"/>
            <w:hideMark/>
          </w:tcPr>
          <w:p w14:paraId="54355DE4" w14:textId="77777777" w:rsidR="00000000" w:rsidRDefault="007E65A2">
            <w:pPr>
              <w:jc w:val="both"/>
              <w:rPr>
                <w:rFonts w:eastAsia="Times New Roman"/>
                <w:sz w:val="20"/>
                <w:szCs w:val="20"/>
              </w:rPr>
            </w:pPr>
            <w:r>
              <w:rPr>
                <w:rFonts w:eastAsia="Times New Roman"/>
                <w:sz w:val="20"/>
                <w:szCs w:val="20"/>
              </w:rPr>
              <w:t xml:space="preserve">  </w:t>
            </w:r>
          </w:p>
        </w:tc>
      </w:tr>
      <w:tr w:rsidR="00000000" w14:paraId="5C4B6492" w14:textId="77777777">
        <w:trPr>
          <w:divId w:val="911279972"/>
          <w:trHeight w:val="180"/>
          <w:tblCellSpacing w:w="0" w:type="dxa"/>
        </w:trPr>
        <w:tc>
          <w:tcPr>
            <w:tcW w:w="0" w:type="auto"/>
            <w:vAlign w:val="center"/>
            <w:hideMark/>
          </w:tcPr>
          <w:p w14:paraId="5CD4E59E" w14:textId="77777777" w:rsidR="00000000" w:rsidRDefault="007E65A2">
            <w:pPr>
              <w:pStyle w:val="a3"/>
              <w:spacing w:before="0" w:beforeAutospacing="0" w:after="0" w:afterAutospacing="0"/>
              <w:jc w:val="both"/>
              <w:rPr>
                <w:sz w:val="20"/>
                <w:szCs w:val="20"/>
              </w:rPr>
            </w:pPr>
            <w:r>
              <w:rPr>
                <w:sz w:val="20"/>
                <w:szCs w:val="20"/>
              </w:rPr>
              <w:t>Dated: October 18, 2019</w:t>
            </w:r>
          </w:p>
        </w:tc>
        <w:tc>
          <w:tcPr>
            <w:tcW w:w="0" w:type="auto"/>
            <w:vAlign w:val="center"/>
            <w:hideMark/>
          </w:tcPr>
          <w:p w14:paraId="6E79D2C2" w14:textId="77777777" w:rsidR="00000000" w:rsidRDefault="007E65A2">
            <w:pPr>
              <w:pStyle w:val="a3"/>
              <w:spacing w:before="0" w:beforeAutospacing="0" w:after="0" w:afterAutospacing="0"/>
              <w:jc w:val="both"/>
              <w:rPr>
                <w:sz w:val="20"/>
                <w:szCs w:val="20"/>
              </w:rPr>
            </w:pPr>
            <w:r>
              <w:rPr>
                <w:sz w:val="20"/>
                <w:szCs w:val="20"/>
              </w:rPr>
              <w:t>By:</w:t>
            </w:r>
          </w:p>
        </w:tc>
        <w:tc>
          <w:tcPr>
            <w:tcW w:w="0" w:type="auto"/>
            <w:tcBorders>
              <w:bottom w:val="single" w:sz="6" w:space="0" w:color="auto"/>
            </w:tcBorders>
            <w:vAlign w:val="center"/>
            <w:hideMark/>
          </w:tcPr>
          <w:p w14:paraId="5297600D" w14:textId="77777777" w:rsidR="00000000" w:rsidRDefault="007E65A2">
            <w:pPr>
              <w:pStyle w:val="a3"/>
              <w:spacing w:before="0" w:beforeAutospacing="0" w:after="0" w:afterAutospacing="0"/>
              <w:jc w:val="both"/>
              <w:rPr>
                <w:sz w:val="20"/>
                <w:szCs w:val="20"/>
              </w:rPr>
            </w:pPr>
            <w:r>
              <w:rPr>
                <w:i/>
                <w:iCs/>
                <w:sz w:val="20"/>
                <w:szCs w:val="20"/>
              </w:rPr>
              <w:t>/s/ Douglas O. McKinnon</w:t>
            </w:r>
          </w:p>
        </w:tc>
        <w:tc>
          <w:tcPr>
            <w:tcW w:w="0" w:type="auto"/>
            <w:vAlign w:val="center"/>
            <w:hideMark/>
          </w:tcPr>
          <w:p w14:paraId="144CAB11" w14:textId="77777777" w:rsidR="00000000" w:rsidRDefault="007E65A2">
            <w:pPr>
              <w:rPr>
                <w:sz w:val="20"/>
                <w:szCs w:val="20"/>
              </w:rPr>
            </w:pPr>
          </w:p>
        </w:tc>
      </w:tr>
      <w:tr w:rsidR="00000000" w14:paraId="3CB5DF38" w14:textId="77777777">
        <w:trPr>
          <w:divId w:val="911279972"/>
          <w:trHeight w:val="180"/>
          <w:tblCellSpacing w:w="0" w:type="dxa"/>
        </w:trPr>
        <w:tc>
          <w:tcPr>
            <w:tcW w:w="0" w:type="auto"/>
            <w:vAlign w:val="center"/>
            <w:hideMark/>
          </w:tcPr>
          <w:p w14:paraId="535E141F" w14:textId="77777777" w:rsidR="00000000" w:rsidRDefault="007E65A2">
            <w:pPr>
              <w:jc w:val="both"/>
              <w:rPr>
                <w:rFonts w:eastAsia="Times New Roman"/>
                <w:sz w:val="20"/>
                <w:szCs w:val="20"/>
              </w:rPr>
            </w:pPr>
          </w:p>
        </w:tc>
        <w:tc>
          <w:tcPr>
            <w:tcW w:w="0" w:type="auto"/>
            <w:vAlign w:val="center"/>
            <w:hideMark/>
          </w:tcPr>
          <w:p w14:paraId="5B36D65B" w14:textId="77777777" w:rsidR="00000000" w:rsidRDefault="007E65A2">
            <w:pPr>
              <w:jc w:val="both"/>
              <w:rPr>
                <w:rFonts w:eastAsia="Times New Roman"/>
                <w:sz w:val="20"/>
                <w:szCs w:val="20"/>
              </w:rPr>
            </w:pPr>
          </w:p>
        </w:tc>
        <w:tc>
          <w:tcPr>
            <w:tcW w:w="0" w:type="auto"/>
            <w:vAlign w:val="center"/>
            <w:hideMark/>
          </w:tcPr>
          <w:p w14:paraId="61CA4CE1" w14:textId="77777777" w:rsidR="00000000" w:rsidRDefault="007E65A2">
            <w:pPr>
              <w:pStyle w:val="a3"/>
              <w:spacing w:before="0" w:beforeAutospacing="0" w:after="0" w:afterAutospacing="0"/>
              <w:jc w:val="both"/>
              <w:rPr>
                <w:sz w:val="20"/>
                <w:szCs w:val="20"/>
              </w:rPr>
            </w:pPr>
            <w:r>
              <w:rPr>
                <w:sz w:val="20"/>
                <w:szCs w:val="20"/>
              </w:rPr>
              <w:t>Douglas O. McKinnon</w:t>
            </w:r>
          </w:p>
        </w:tc>
        <w:tc>
          <w:tcPr>
            <w:tcW w:w="0" w:type="auto"/>
            <w:vAlign w:val="center"/>
            <w:hideMark/>
          </w:tcPr>
          <w:p w14:paraId="28F43C31" w14:textId="77777777" w:rsidR="00000000" w:rsidRDefault="007E65A2">
            <w:pPr>
              <w:rPr>
                <w:sz w:val="20"/>
                <w:szCs w:val="20"/>
              </w:rPr>
            </w:pPr>
          </w:p>
        </w:tc>
      </w:tr>
      <w:tr w:rsidR="00000000" w14:paraId="6F6619D1" w14:textId="77777777">
        <w:trPr>
          <w:divId w:val="911279972"/>
          <w:trHeight w:val="180"/>
          <w:tblCellSpacing w:w="0" w:type="dxa"/>
        </w:trPr>
        <w:tc>
          <w:tcPr>
            <w:tcW w:w="0" w:type="auto"/>
            <w:vAlign w:val="center"/>
            <w:hideMark/>
          </w:tcPr>
          <w:p w14:paraId="284142C2" w14:textId="77777777" w:rsidR="00000000" w:rsidRDefault="007E65A2">
            <w:pPr>
              <w:jc w:val="both"/>
              <w:rPr>
                <w:rFonts w:eastAsia="Times New Roman"/>
                <w:sz w:val="20"/>
                <w:szCs w:val="20"/>
              </w:rPr>
            </w:pPr>
          </w:p>
        </w:tc>
        <w:tc>
          <w:tcPr>
            <w:tcW w:w="0" w:type="auto"/>
            <w:vAlign w:val="center"/>
            <w:hideMark/>
          </w:tcPr>
          <w:p w14:paraId="6AAAD707" w14:textId="77777777" w:rsidR="00000000" w:rsidRDefault="007E65A2">
            <w:pPr>
              <w:jc w:val="both"/>
              <w:rPr>
                <w:rFonts w:eastAsia="Times New Roman"/>
                <w:sz w:val="20"/>
                <w:szCs w:val="20"/>
              </w:rPr>
            </w:pPr>
          </w:p>
        </w:tc>
        <w:tc>
          <w:tcPr>
            <w:tcW w:w="0" w:type="auto"/>
            <w:vAlign w:val="center"/>
            <w:hideMark/>
          </w:tcPr>
          <w:p w14:paraId="37081D7B" w14:textId="77777777" w:rsidR="00000000" w:rsidRDefault="007E65A2">
            <w:pPr>
              <w:pStyle w:val="a3"/>
              <w:spacing w:before="0" w:beforeAutospacing="0" w:after="0" w:afterAutospacing="0"/>
              <w:jc w:val="both"/>
              <w:rPr>
                <w:sz w:val="20"/>
                <w:szCs w:val="20"/>
              </w:rPr>
            </w:pPr>
            <w:r>
              <w:rPr>
                <w:sz w:val="20"/>
                <w:szCs w:val="20"/>
              </w:rPr>
              <w:t>Chief Executive Officer, Chief Financial Officer and Director</w:t>
            </w:r>
          </w:p>
        </w:tc>
        <w:tc>
          <w:tcPr>
            <w:tcW w:w="0" w:type="auto"/>
            <w:vAlign w:val="center"/>
            <w:hideMark/>
          </w:tcPr>
          <w:p w14:paraId="4D5FCDC7" w14:textId="77777777" w:rsidR="00000000" w:rsidRDefault="007E65A2">
            <w:pPr>
              <w:rPr>
                <w:sz w:val="20"/>
                <w:szCs w:val="20"/>
              </w:rPr>
            </w:pPr>
          </w:p>
        </w:tc>
      </w:tr>
      <w:tr w:rsidR="00000000" w14:paraId="5B05C89C" w14:textId="77777777">
        <w:trPr>
          <w:divId w:val="911279972"/>
          <w:trHeight w:val="180"/>
          <w:tblCellSpacing w:w="0" w:type="dxa"/>
        </w:trPr>
        <w:tc>
          <w:tcPr>
            <w:tcW w:w="0" w:type="auto"/>
            <w:vAlign w:val="center"/>
            <w:hideMark/>
          </w:tcPr>
          <w:p w14:paraId="3AF94E8D" w14:textId="77777777" w:rsidR="00000000" w:rsidRDefault="007E65A2">
            <w:pPr>
              <w:jc w:val="both"/>
              <w:rPr>
                <w:rFonts w:eastAsia="Times New Roman"/>
                <w:sz w:val="20"/>
                <w:szCs w:val="20"/>
              </w:rPr>
            </w:pPr>
          </w:p>
        </w:tc>
        <w:tc>
          <w:tcPr>
            <w:tcW w:w="0" w:type="auto"/>
            <w:vAlign w:val="center"/>
            <w:hideMark/>
          </w:tcPr>
          <w:p w14:paraId="09475928" w14:textId="77777777" w:rsidR="00000000" w:rsidRDefault="007E65A2">
            <w:pPr>
              <w:jc w:val="both"/>
              <w:rPr>
                <w:rFonts w:eastAsia="Times New Roman"/>
                <w:sz w:val="20"/>
                <w:szCs w:val="20"/>
              </w:rPr>
            </w:pPr>
          </w:p>
        </w:tc>
        <w:tc>
          <w:tcPr>
            <w:tcW w:w="0" w:type="auto"/>
            <w:vAlign w:val="center"/>
            <w:hideMark/>
          </w:tcPr>
          <w:p w14:paraId="11341685" w14:textId="77777777" w:rsidR="00000000" w:rsidRDefault="007E65A2">
            <w:pPr>
              <w:pStyle w:val="a3"/>
              <w:spacing w:before="0" w:beforeAutospacing="0" w:after="0" w:afterAutospacing="0"/>
              <w:jc w:val="both"/>
              <w:rPr>
                <w:sz w:val="20"/>
                <w:szCs w:val="20"/>
              </w:rPr>
            </w:pPr>
            <w:r>
              <w:rPr>
                <w:sz w:val="20"/>
                <w:szCs w:val="20"/>
              </w:rPr>
              <w:t xml:space="preserve">(Principal Executive Officer, Principal </w:t>
            </w:r>
          </w:p>
          <w:p w14:paraId="1650AEA1" w14:textId="77777777" w:rsidR="00000000" w:rsidRDefault="007E65A2">
            <w:pPr>
              <w:pStyle w:val="a3"/>
              <w:spacing w:before="0" w:beforeAutospacing="0" w:after="0" w:afterAutospacing="0"/>
              <w:jc w:val="both"/>
              <w:rPr>
                <w:sz w:val="20"/>
                <w:szCs w:val="20"/>
              </w:rPr>
            </w:pPr>
            <w:r>
              <w:rPr>
                <w:sz w:val="20"/>
                <w:szCs w:val="20"/>
              </w:rPr>
              <w:t>Financial Officer and Principal Accounting Officer)</w:t>
            </w:r>
          </w:p>
        </w:tc>
        <w:tc>
          <w:tcPr>
            <w:tcW w:w="0" w:type="auto"/>
            <w:vAlign w:val="center"/>
            <w:hideMark/>
          </w:tcPr>
          <w:p w14:paraId="304826D0" w14:textId="77777777" w:rsidR="00000000" w:rsidRDefault="007E65A2">
            <w:pPr>
              <w:rPr>
                <w:sz w:val="20"/>
                <w:szCs w:val="20"/>
              </w:rPr>
            </w:pPr>
          </w:p>
        </w:tc>
      </w:tr>
    </w:tbl>
    <w:p w14:paraId="07EDFAB7" w14:textId="77777777" w:rsidR="00000000" w:rsidRDefault="007E65A2">
      <w:pPr>
        <w:pStyle w:val="a3"/>
        <w:spacing w:before="0" w:beforeAutospacing="0" w:after="0" w:afterAutospacing="0"/>
        <w:jc w:val="both"/>
        <w:divId w:val="911279972"/>
        <w:rPr>
          <w:sz w:val="20"/>
          <w:szCs w:val="20"/>
        </w:rPr>
      </w:pPr>
      <w:r>
        <w:rPr>
          <w:sz w:val="20"/>
          <w:szCs w:val="20"/>
        </w:rPr>
        <w:t> </w:t>
      </w:r>
    </w:p>
    <w:p w14:paraId="4FB8037D" w14:textId="77777777" w:rsidR="00000000" w:rsidRDefault="007E65A2">
      <w:pPr>
        <w:pStyle w:val="a3"/>
        <w:spacing w:before="0" w:beforeAutospacing="0" w:after="0" w:afterAutospacing="0"/>
        <w:divId w:val="911279972"/>
        <w:rPr>
          <w:sz w:val="20"/>
          <w:szCs w:val="20"/>
        </w:rPr>
      </w:pPr>
      <w:r>
        <w:rPr>
          <w:sz w:val="20"/>
          <w:szCs w:val="20"/>
        </w:rPr>
        <w:t>Pursuant to the requirements of the Securities Exchange Act of 1934, this report has been signed below by the following persons on behalf of the registrant and in the capacities and on the dates indi</w:t>
      </w:r>
      <w:r>
        <w:rPr>
          <w:sz w:val="20"/>
          <w:szCs w:val="20"/>
        </w:rPr>
        <w:t xml:space="preserve">cated. </w:t>
      </w:r>
    </w:p>
    <w:p w14:paraId="616AB769"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249"/>
        <w:gridCol w:w="2907"/>
        <w:gridCol w:w="997"/>
      </w:tblGrid>
      <w:tr w:rsidR="00000000" w14:paraId="5AA15D50" w14:textId="77777777">
        <w:trPr>
          <w:divId w:val="911279972"/>
          <w:trHeight w:val="180"/>
          <w:tblCellSpacing w:w="0" w:type="dxa"/>
        </w:trPr>
        <w:tc>
          <w:tcPr>
            <w:tcW w:w="2500" w:type="pct"/>
            <w:vAlign w:val="bottom"/>
            <w:hideMark/>
          </w:tcPr>
          <w:p w14:paraId="560B31A7" w14:textId="77777777" w:rsidR="00000000" w:rsidRDefault="007E65A2">
            <w:pPr>
              <w:pStyle w:val="a3"/>
              <w:spacing w:before="0" w:beforeAutospacing="0" w:after="0" w:afterAutospacing="0"/>
              <w:jc w:val="both"/>
              <w:rPr>
                <w:sz w:val="20"/>
                <w:szCs w:val="20"/>
              </w:rPr>
            </w:pPr>
            <w:r>
              <w:rPr>
                <w:sz w:val="20"/>
                <w:szCs w:val="20"/>
              </w:rPr>
              <w:t>Dated: October 18, 2019</w:t>
            </w:r>
          </w:p>
        </w:tc>
        <w:tc>
          <w:tcPr>
            <w:tcW w:w="150" w:type="pct"/>
            <w:hideMark/>
          </w:tcPr>
          <w:p w14:paraId="067CACD6" w14:textId="77777777" w:rsidR="00000000" w:rsidRDefault="007E65A2">
            <w:pPr>
              <w:rPr>
                <w:sz w:val="20"/>
                <w:szCs w:val="20"/>
              </w:rPr>
            </w:pPr>
          </w:p>
        </w:tc>
        <w:tc>
          <w:tcPr>
            <w:tcW w:w="1750" w:type="pct"/>
            <w:tcBorders>
              <w:bottom w:val="single" w:sz="6" w:space="0" w:color="auto"/>
            </w:tcBorders>
            <w:vAlign w:val="center"/>
            <w:hideMark/>
          </w:tcPr>
          <w:p w14:paraId="77FF470F" w14:textId="77777777" w:rsidR="00000000" w:rsidRDefault="007E65A2">
            <w:pPr>
              <w:pStyle w:val="a3"/>
              <w:spacing w:before="0" w:beforeAutospacing="0" w:after="0" w:afterAutospacing="0"/>
              <w:jc w:val="both"/>
              <w:rPr>
                <w:sz w:val="20"/>
                <w:szCs w:val="20"/>
              </w:rPr>
            </w:pPr>
            <w:r>
              <w:rPr>
                <w:i/>
                <w:iCs/>
                <w:sz w:val="20"/>
                <w:szCs w:val="20"/>
              </w:rPr>
              <w:t>/s/ Douglas O. McKinnon</w:t>
            </w:r>
          </w:p>
        </w:tc>
        <w:tc>
          <w:tcPr>
            <w:tcW w:w="600" w:type="pct"/>
            <w:vAlign w:val="center"/>
            <w:hideMark/>
          </w:tcPr>
          <w:p w14:paraId="175608EE" w14:textId="77777777" w:rsidR="00000000" w:rsidRDefault="007E65A2">
            <w:pPr>
              <w:pStyle w:val="a3"/>
              <w:spacing w:before="0" w:beforeAutospacing="0" w:after="0" w:afterAutospacing="0"/>
              <w:jc w:val="both"/>
              <w:rPr>
                <w:sz w:val="20"/>
                <w:szCs w:val="20"/>
              </w:rPr>
            </w:pPr>
            <w:r>
              <w:rPr>
                <w:sz w:val="20"/>
                <w:szCs w:val="20"/>
              </w:rPr>
              <w:t> </w:t>
            </w:r>
          </w:p>
        </w:tc>
      </w:tr>
      <w:tr w:rsidR="00000000" w14:paraId="580DE8E4" w14:textId="77777777">
        <w:trPr>
          <w:divId w:val="911279972"/>
          <w:trHeight w:val="180"/>
          <w:tblCellSpacing w:w="0" w:type="dxa"/>
        </w:trPr>
        <w:tc>
          <w:tcPr>
            <w:tcW w:w="0" w:type="auto"/>
            <w:hideMark/>
          </w:tcPr>
          <w:p w14:paraId="7B85B182" w14:textId="77777777" w:rsidR="00000000" w:rsidRDefault="007E65A2">
            <w:pPr>
              <w:rPr>
                <w:sz w:val="20"/>
                <w:szCs w:val="20"/>
              </w:rPr>
            </w:pPr>
          </w:p>
        </w:tc>
        <w:tc>
          <w:tcPr>
            <w:tcW w:w="0" w:type="auto"/>
            <w:hideMark/>
          </w:tcPr>
          <w:p w14:paraId="52F7B433" w14:textId="77777777" w:rsidR="00000000" w:rsidRDefault="007E65A2">
            <w:pPr>
              <w:jc w:val="both"/>
              <w:rPr>
                <w:rFonts w:eastAsia="Times New Roman"/>
                <w:sz w:val="20"/>
                <w:szCs w:val="20"/>
              </w:rPr>
            </w:pPr>
          </w:p>
        </w:tc>
        <w:tc>
          <w:tcPr>
            <w:tcW w:w="0" w:type="auto"/>
            <w:vAlign w:val="center"/>
            <w:hideMark/>
          </w:tcPr>
          <w:p w14:paraId="03C8D8A1" w14:textId="77777777" w:rsidR="00000000" w:rsidRDefault="007E65A2">
            <w:pPr>
              <w:pStyle w:val="a3"/>
              <w:spacing w:before="0" w:beforeAutospacing="0" w:after="0" w:afterAutospacing="0"/>
              <w:jc w:val="both"/>
              <w:rPr>
                <w:sz w:val="20"/>
                <w:szCs w:val="20"/>
              </w:rPr>
            </w:pPr>
            <w:r>
              <w:rPr>
                <w:sz w:val="20"/>
                <w:szCs w:val="20"/>
              </w:rPr>
              <w:t>Douglas O. McKinnon</w:t>
            </w:r>
          </w:p>
        </w:tc>
        <w:tc>
          <w:tcPr>
            <w:tcW w:w="0" w:type="auto"/>
            <w:vAlign w:val="center"/>
            <w:hideMark/>
          </w:tcPr>
          <w:p w14:paraId="4B2B52A2" w14:textId="77777777" w:rsidR="00000000" w:rsidRDefault="007E65A2">
            <w:pPr>
              <w:pStyle w:val="a3"/>
              <w:spacing w:before="0" w:beforeAutospacing="0" w:after="0" w:afterAutospacing="0"/>
              <w:jc w:val="both"/>
              <w:rPr>
                <w:sz w:val="20"/>
                <w:szCs w:val="20"/>
              </w:rPr>
            </w:pPr>
            <w:r>
              <w:rPr>
                <w:sz w:val="20"/>
                <w:szCs w:val="20"/>
              </w:rPr>
              <w:t> </w:t>
            </w:r>
          </w:p>
        </w:tc>
      </w:tr>
      <w:tr w:rsidR="00000000" w14:paraId="464FF11D" w14:textId="77777777">
        <w:trPr>
          <w:divId w:val="911279972"/>
          <w:trHeight w:val="180"/>
          <w:tblCellSpacing w:w="0" w:type="dxa"/>
        </w:trPr>
        <w:tc>
          <w:tcPr>
            <w:tcW w:w="0" w:type="auto"/>
            <w:hideMark/>
          </w:tcPr>
          <w:p w14:paraId="28AC5D14" w14:textId="77777777" w:rsidR="00000000" w:rsidRDefault="007E65A2">
            <w:pPr>
              <w:rPr>
                <w:sz w:val="20"/>
                <w:szCs w:val="20"/>
              </w:rPr>
            </w:pPr>
          </w:p>
        </w:tc>
        <w:tc>
          <w:tcPr>
            <w:tcW w:w="0" w:type="auto"/>
            <w:hideMark/>
          </w:tcPr>
          <w:p w14:paraId="777B9178" w14:textId="77777777" w:rsidR="00000000" w:rsidRDefault="007E65A2">
            <w:pPr>
              <w:jc w:val="both"/>
              <w:rPr>
                <w:rFonts w:eastAsia="Times New Roman"/>
                <w:sz w:val="20"/>
                <w:szCs w:val="20"/>
              </w:rPr>
            </w:pPr>
          </w:p>
        </w:tc>
        <w:tc>
          <w:tcPr>
            <w:tcW w:w="0" w:type="auto"/>
            <w:vAlign w:val="center"/>
            <w:hideMark/>
          </w:tcPr>
          <w:p w14:paraId="5A889431" w14:textId="77777777" w:rsidR="00000000" w:rsidRDefault="007E65A2">
            <w:pPr>
              <w:pStyle w:val="a3"/>
              <w:spacing w:before="0" w:beforeAutospacing="0" w:after="0" w:afterAutospacing="0"/>
              <w:jc w:val="both"/>
              <w:rPr>
                <w:sz w:val="20"/>
                <w:szCs w:val="20"/>
              </w:rPr>
            </w:pPr>
            <w:r>
              <w:rPr>
                <w:sz w:val="20"/>
                <w:szCs w:val="20"/>
              </w:rPr>
              <w:t>Chief Executive Officer, Chief Financial Officer and Director</w:t>
            </w:r>
          </w:p>
        </w:tc>
        <w:tc>
          <w:tcPr>
            <w:tcW w:w="0" w:type="auto"/>
            <w:vAlign w:val="center"/>
            <w:hideMark/>
          </w:tcPr>
          <w:p w14:paraId="44A9EF59" w14:textId="77777777" w:rsidR="00000000" w:rsidRDefault="007E65A2">
            <w:pPr>
              <w:pStyle w:val="a3"/>
              <w:spacing w:before="0" w:beforeAutospacing="0" w:after="0" w:afterAutospacing="0"/>
              <w:jc w:val="both"/>
              <w:rPr>
                <w:sz w:val="20"/>
                <w:szCs w:val="20"/>
              </w:rPr>
            </w:pPr>
            <w:r>
              <w:rPr>
                <w:sz w:val="20"/>
                <w:szCs w:val="20"/>
              </w:rPr>
              <w:t> </w:t>
            </w:r>
          </w:p>
        </w:tc>
      </w:tr>
      <w:tr w:rsidR="00000000" w14:paraId="638A3251" w14:textId="77777777">
        <w:trPr>
          <w:divId w:val="911279972"/>
          <w:trHeight w:val="180"/>
          <w:tblCellSpacing w:w="0" w:type="dxa"/>
        </w:trPr>
        <w:tc>
          <w:tcPr>
            <w:tcW w:w="0" w:type="auto"/>
            <w:hideMark/>
          </w:tcPr>
          <w:p w14:paraId="03E1BFD4" w14:textId="77777777" w:rsidR="00000000" w:rsidRDefault="007E65A2">
            <w:pPr>
              <w:rPr>
                <w:sz w:val="20"/>
                <w:szCs w:val="20"/>
              </w:rPr>
            </w:pPr>
          </w:p>
        </w:tc>
        <w:tc>
          <w:tcPr>
            <w:tcW w:w="0" w:type="auto"/>
            <w:hideMark/>
          </w:tcPr>
          <w:p w14:paraId="0688D6C6" w14:textId="77777777" w:rsidR="00000000" w:rsidRDefault="007E65A2">
            <w:pPr>
              <w:jc w:val="both"/>
              <w:rPr>
                <w:rFonts w:eastAsia="Times New Roman"/>
                <w:sz w:val="20"/>
                <w:szCs w:val="20"/>
              </w:rPr>
            </w:pPr>
          </w:p>
        </w:tc>
        <w:tc>
          <w:tcPr>
            <w:tcW w:w="0" w:type="auto"/>
            <w:vAlign w:val="center"/>
            <w:hideMark/>
          </w:tcPr>
          <w:p w14:paraId="4AA42A98" w14:textId="77777777" w:rsidR="00000000" w:rsidRDefault="007E65A2">
            <w:pPr>
              <w:pStyle w:val="a3"/>
              <w:spacing w:before="0" w:beforeAutospacing="0" w:after="0" w:afterAutospacing="0"/>
              <w:jc w:val="both"/>
              <w:rPr>
                <w:sz w:val="20"/>
                <w:szCs w:val="20"/>
              </w:rPr>
            </w:pPr>
            <w:r>
              <w:rPr>
                <w:sz w:val="20"/>
                <w:szCs w:val="20"/>
              </w:rPr>
              <w:t xml:space="preserve">(Principal Executive Officer, Principal </w:t>
            </w:r>
          </w:p>
          <w:p w14:paraId="1702D9B2" w14:textId="77777777" w:rsidR="00000000" w:rsidRDefault="007E65A2">
            <w:pPr>
              <w:pStyle w:val="a3"/>
              <w:spacing w:before="0" w:beforeAutospacing="0" w:after="0" w:afterAutospacing="0"/>
              <w:jc w:val="both"/>
              <w:rPr>
                <w:sz w:val="20"/>
                <w:szCs w:val="20"/>
              </w:rPr>
            </w:pPr>
            <w:r>
              <w:rPr>
                <w:sz w:val="20"/>
                <w:szCs w:val="20"/>
              </w:rPr>
              <w:t>Financial Officer and Principal Accounting Officer)</w:t>
            </w:r>
          </w:p>
        </w:tc>
        <w:tc>
          <w:tcPr>
            <w:tcW w:w="0" w:type="auto"/>
            <w:vAlign w:val="center"/>
            <w:hideMark/>
          </w:tcPr>
          <w:p w14:paraId="63663849" w14:textId="77777777" w:rsidR="00000000" w:rsidRDefault="007E65A2">
            <w:pPr>
              <w:pStyle w:val="a3"/>
              <w:spacing w:before="0" w:beforeAutospacing="0" w:after="0" w:afterAutospacing="0"/>
              <w:jc w:val="both"/>
              <w:rPr>
                <w:sz w:val="20"/>
                <w:szCs w:val="20"/>
              </w:rPr>
            </w:pPr>
            <w:r>
              <w:rPr>
                <w:sz w:val="20"/>
                <w:szCs w:val="20"/>
              </w:rPr>
              <w:t> </w:t>
            </w:r>
          </w:p>
        </w:tc>
      </w:tr>
    </w:tbl>
    <w:p w14:paraId="47B9398C"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249"/>
        <w:gridCol w:w="2907"/>
        <w:gridCol w:w="997"/>
      </w:tblGrid>
      <w:tr w:rsidR="00000000" w14:paraId="324B0421" w14:textId="77777777">
        <w:trPr>
          <w:divId w:val="911279972"/>
          <w:trHeight w:val="180"/>
          <w:tblCellSpacing w:w="0" w:type="dxa"/>
        </w:trPr>
        <w:tc>
          <w:tcPr>
            <w:tcW w:w="2500" w:type="pct"/>
            <w:vAlign w:val="bottom"/>
            <w:hideMark/>
          </w:tcPr>
          <w:p w14:paraId="27E18DD2" w14:textId="77777777" w:rsidR="00000000" w:rsidRDefault="007E65A2">
            <w:pPr>
              <w:pStyle w:val="a3"/>
              <w:spacing w:before="0" w:beforeAutospacing="0" w:after="0" w:afterAutospacing="0"/>
              <w:jc w:val="both"/>
              <w:rPr>
                <w:sz w:val="20"/>
                <w:szCs w:val="20"/>
              </w:rPr>
            </w:pPr>
            <w:r>
              <w:rPr>
                <w:sz w:val="20"/>
                <w:szCs w:val="20"/>
              </w:rPr>
              <w:t>Dated: October 18, 2019</w:t>
            </w:r>
          </w:p>
        </w:tc>
        <w:tc>
          <w:tcPr>
            <w:tcW w:w="150" w:type="pct"/>
            <w:hideMark/>
          </w:tcPr>
          <w:p w14:paraId="130A8297" w14:textId="77777777" w:rsidR="00000000" w:rsidRDefault="007E65A2">
            <w:pPr>
              <w:rPr>
                <w:sz w:val="20"/>
                <w:szCs w:val="20"/>
              </w:rPr>
            </w:pPr>
          </w:p>
        </w:tc>
        <w:tc>
          <w:tcPr>
            <w:tcW w:w="1750" w:type="pct"/>
            <w:tcBorders>
              <w:bottom w:val="single" w:sz="6" w:space="0" w:color="auto"/>
            </w:tcBorders>
            <w:vAlign w:val="bottom"/>
            <w:hideMark/>
          </w:tcPr>
          <w:p w14:paraId="15409168" w14:textId="77777777" w:rsidR="00000000" w:rsidRDefault="007E65A2">
            <w:pPr>
              <w:pStyle w:val="a3"/>
              <w:spacing w:before="0" w:beforeAutospacing="0" w:after="0" w:afterAutospacing="0"/>
              <w:jc w:val="both"/>
              <w:rPr>
                <w:sz w:val="20"/>
                <w:szCs w:val="20"/>
              </w:rPr>
            </w:pPr>
            <w:r>
              <w:rPr>
                <w:i/>
                <w:iCs/>
                <w:sz w:val="20"/>
                <w:szCs w:val="20"/>
              </w:rPr>
              <w:t>/s/ Keri Williams</w:t>
            </w:r>
          </w:p>
        </w:tc>
        <w:tc>
          <w:tcPr>
            <w:tcW w:w="600" w:type="pct"/>
            <w:vAlign w:val="center"/>
            <w:hideMark/>
          </w:tcPr>
          <w:p w14:paraId="6916FF3F" w14:textId="77777777" w:rsidR="00000000" w:rsidRDefault="007E65A2">
            <w:pPr>
              <w:pStyle w:val="a3"/>
              <w:spacing w:before="0" w:beforeAutospacing="0" w:after="0" w:afterAutospacing="0"/>
              <w:jc w:val="both"/>
              <w:rPr>
                <w:sz w:val="20"/>
                <w:szCs w:val="20"/>
              </w:rPr>
            </w:pPr>
            <w:r>
              <w:rPr>
                <w:sz w:val="20"/>
                <w:szCs w:val="20"/>
              </w:rPr>
              <w:t> </w:t>
            </w:r>
          </w:p>
        </w:tc>
      </w:tr>
      <w:tr w:rsidR="00000000" w14:paraId="549D3F86" w14:textId="77777777">
        <w:trPr>
          <w:divId w:val="911279972"/>
          <w:trHeight w:val="180"/>
          <w:tblCellSpacing w:w="0" w:type="dxa"/>
        </w:trPr>
        <w:tc>
          <w:tcPr>
            <w:tcW w:w="0" w:type="auto"/>
            <w:hideMark/>
          </w:tcPr>
          <w:p w14:paraId="02EA4394" w14:textId="77777777" w:rsidR="00000000" w:rsidRDefault="007E65A2">
            <w:pPr>
              <w:rPr>
                <w:sz w:val="20"/>
                <w:szCs w:val="20"/>
              </w:rPr>
            </w:pPr>
          </w:p>
        </w:tc>
        <w:tc>
          <w:tcPr>
            <w:tcW w:w="0" w:type="auto"/>
            <w:hideMark/>
          </w:tcPr>
          <w:p w14:paraId="702F3338" w14:textId="77777777" w:rsidR="00000000" w:rsidRDefault="007E65A2">
            <w:pPr>
              <w:jc w:val="both"/>
              <w:rPr>
                <w:rFonts w:eastAsia="Times New Roman"/>
                <w:sz w:val="20"/>
                <w:szCs w:val="20"/>
              </w:rPr>
            </w:pPr>
          </w:p>
        </w:tc>
        <w:tc>
          <w:tcPr>
            <w:tcW w:w="0" w:type="auto"/>
            <w:hideMark/>
          </w:tcPr>
          <w:p w14:paraId="5DCCDCDC" w14:textId="77777777" w:rsidR="00000000" w:rsidRDefault="007E65A2">
            <w:pPr>
              <w:pStyle w:val="a3"/>
              <w:spacing w:before="0" w:beforeAutospacing="0" w:after="0" w:afterAutospacing="0"/>
              <w:jc w:val="both"/>
              <w:rPr>
                <w:sz w:val="20"/>
                <w:szCs w:val="20"/>
              </w:rPr>
            </w:pPr>
            <w:r>
              <w:rPr>
                <w:sz w:val="20"/>
                <w:szCs w:val="20"/>
              </w:rPr>
              <w:t>Keri Williams</w:t>
            </w:r>
          </w:p>
        </w:tc>
        <w:tc>
          <w:tcPr>
            <w:tcW w:w="0" w:type="auto"/>
            <w:vAlign w:val="center"/>
            <w:hideMark/>
          </w:tcPr>
          <w:p w14:paraId="1741DBE3" w14:textId="77777777" w:rsidR="00000000" w:rsidRDefault="007E65A2">
            <w:pPr>
              <w:pStyle w:val="a3"/>
              <w:spacing w:before="0" w:beforeAutospacing="0" w:after="0" w:afterAutospacing="0"/>
              <w:jc w:val="both"/>
              <w:rPr>
                <w:sz w:val="20"/>
                <w:szCs w:val="20"/>
              </w:rPr>
            </w:pPr>
            <w:r>
              <w:rPr>
                <w:sz w:val="20"/>
                <w:szCs w:val="20"/>
              </w:rPr>
              <w:t> </w:t>
            </w:r>
          </w:p>
        </w:tc>
      </w:tr>
      <w:tr w:rsidR="00000000" w14:paraId="1C51BE62" w14:textId="77777777">
        <w:trPr>
          <w:divId w:val="911279972"/>
          <w:trHeight w:val="180"/>
          <w:tblCellSpacing w:w="0" w:type="dxa"/>
        </w:trPr>
        <w:tc>
          <w:tcPr>
            <w:tcW w:w="0" w:type="auto"/>
            <w:hideMark/>
          </w:tcPr>
          <w:p w14:paraId="2F9ACA07" w14:textId="77777777" w:rsidR="00000000" w:rsidRDefault="007E65A2">
            <w:pPr>
              <w:rPr>
                <w:sz w:val="20"/>
                <w:szCs w:val="20"/>
              </w:rPr>
            </w:pPr>
          </w:p>
        </w:tc>
        <w:tc>
          <w:tcPr>
            <w:tcW w:w="0" w:type="auto"/>
            <w:hideMark/>
          </w:tcPr>
          <w:p w14:paraId="604539EB" w14:textId="77777777" w:rsidR="00000000" w:rsidRDefault="007E65A2">
            <w:pPr>
              <w:jc w:val="both"/>
              <w:rPr>
                <w:rFonts w:eastAsia="Times New Roman"/>
                <w:sz w:val="20"/>
                <w:szCs w:val="20"/>
              </w:rPr>
            </w:pPr>
          </w:p>
        </w:tc>
        <w:tc>
          <w:tcPr>
            <w:tcW w:w="0" w:type="auto"/>
            <w:vAlign w:val="center"/>
            <w:hideMark/>
          </w:tcPr>
          <w:p w14:paraId="5ACBE23B" w14:textId="77777777" w:rsidR="00000000" w:rsidRDefault="007E65A2">
            <w:pPr>
              <w:pStyle w:val="a3"/>
              <w:spacing w:before="0" w:beforeAutospacing="0" w:after="0" w:afterAutospacing="0"/>
              <w:jc w:val="both"/>
              <w:rPr>
                <w:sz w:val="20"/>
                <w:szCs w:val="20"/>
              </w:rPr>
            </w:pPr>
            <w:r>
              <w:rPr>
                <w:sz w:val="20"/>
                <w:szCs w:val="20"/>
              </w:rPr>
              <w:t>Secretary and Director</w:t>
            </w:r>
          </w:p>
        </w:tc>
        <w:tc>
          <w:tcPr>
            <w:tcW w:w="0" w:type="auto"/>
            <w:vAlign w:val="center"/>
            <w:hideMark/>
          </w:tcPr>
          <w:p w14:paraId="5AB2E6EB" w14:textId="77777777" w:rsidR="00000000" w:rsidRDefault="007E65A2">
            <w:pPr>
              <w:pStyle w:val="a3"/>
              <w:spacing w:before="0" w:beforeAutospacing="0" w:after="0" w:afterAutospacing="0"/>
              <w:jc w:val="both"/>
              <w:rPr>
                <w:sz w:val="20"/>
                <w:szCs w:val="20"/>
              </w:rPr>
            </w:pPr>
            <w:r>
              <w:rPr>
                <w:sz w:val="20"/>
                <w:szCs w:val="20"/>
              </w:rPr>
              <w:t> </w:t>
            </w:r>
          </w:p>
        </w:tc>
      </w:tr>
      <w:tr w:rsidR="00000000" w14:paraId="18B8BB14" w14:textId="77777777">
        <w:trPr>
          <w:divId w:val="911279972"/>
          <w:trHeight w:val="180"/>
          <w:tblCellSpacing w:w="0" w:type="dxa"/>
        </w:trPr>
        <w:tc>
          <w:tcPr>
            <w:tcW w:w="0" w:type="auto"/>
            <w:hideMark/>
          </w:tcPr>
          <w:p w14:paraId="0701767E" w14:textId="77777777" w:rsidR="00000000" w:rsidRDefault="007E65A2">
            <w:pPr>
              <w:rPr>
                <w:sz w:val="20"/>
                <w:szCs w:val="20"/>
              </w:rPr>
            </w:pPr>
          </w:p>
        </w:tc>
        <w:tc>
          <w:tcPr>
            <w:tcW w:w="0" w:type="auto"/>
            <w:hideMark/>
          </w:tcPr>
          <w:p w14:paraId="5E2B7EC9" w14:textId="77777777" w:rsidR="00000000" w:rsidRDefault="007E65A2">
            <w:pPr>
              <w:jc w:val="both"/>
              <w:rPr>
                <w:rFonts w:eastAsia="Times New Roman"/>
                <w:sz w:val="20"/>
                <w:szCs w:val="20"/>
              </w:rPr>
            </w:pPr>
          </w:p>
        </w:tc>
        <w:tc>
          <w:tcPr>
            <w:tcW w:w="0" w:type="auto"/>
            <w:vAlign w:val="center"/>
            <w:hideMark/>
          </w:tcPr>
          <w:p w14:paraId="45ABDC01" w14:textId="77777777" w:rsidR="00000000" w:rsidRDefault="007E65A2">
            <w:pPr>
              <w:pStyle w:val="a3"/>
              <w:spacing w:before="0" w:beforeAutospacing="0" w:after="0" w:afterAutospacing="0"/>
              <w:ind w:left="720"/>
              <w:rPr>
                <w:sz w:val="20"/>
                <w:szCs w:val="20"/>
              </w:rPr>
            </w:pPr>
            <w:r>
              <w:rPr>
                <w:sz w:val="20"/>
                <w:szCs w:val="20"/>
              </w:rPr>
              <w:t> </w:t>
            </w:r>
          </w:p>
        </w:tc>
        <w:tc>
          <w:tcPr>
            <w:tcW w:w="0" w:type="auto"/>
            <w:vAlign w:val="center"/>
            <w:hideMark/>
          </w:tcPr>
          <w:p w14:paraId="6D23FD49" w14:textId="77777777" w:rsidR="00000000" w:rsidRDefault="007E65A2">
            <w:pPr>
              <w:pStyle w:val="a3"/>
              <w:spacing w:before="0" w:beforeAutospacing="0" w:after="0" w:afterAutospacing="0"/>
              <w:jc w:val="both"/>
              <w:rPr>
                <w:sz w:val="20"/>
                <w:szCs w:val="20"/>
              </w:rPr>
            </w:pPr>
            <w:r>
              <w:rPr>
                <w:sz w:val="20"/>
                <w:szCs w:val="20"/>
              </w:rPr>
              <w:t> </w:t>
            </w:r>
          </w:p>
        </w:tc>
      </w:tr>
      <w:tr w:rsidR="00000000" w14:paraId="5A72A3A6" w14:textId="77777777">
        <w:trPr>
          <w:divId w:val="911279972"/>
          <w:trHeight w:val="180"/>
          <w:tblCellSpacing w:w="0" w:type="dxa"/>
        </w:trPr>
        <w:tc>
          <w:tcPr>
            <w:tcW w:w="0" w:type="auto"/>
            <w:hideMark/>
          </w:tcPr>
          <w:p w14:paraId="01EDB4ED" w14:textId="77777777" w:rsidR="00000000" w:rsidRDefault="007E65A2">
            <w:pPr>
              <w:pStyle w:val="a3"/>
              <w:spacing w:before="0" w:beforeAutospacing="0" w:after="0" w:afterAutospacing="0"/>
              <w:jc w:val="both"/>
              <w:rPr>
                <w:sz w:val="20"/>
                <w:szCs w:val="20"/>
              </w:rPr>
            </w:pPr>
            <w:r>
              <w:rPr>
                <w:sz w:val="20"/>
                <w:szCs w:val="20"/>
              </w:rPr>
              <w:t>Dated: October 18, 2019</w:t>
            </w:r>
          </w:p>
        </w:tc>
        <w:tc>
          <w:tcPr>
            <w:tcW w:w="0" w:type="auto"/>
            <w:hideMark/>
          </w:tcPr>
          <w:p w14:paraId="1742A697" w14:textId="77777777" w:rsidR="00000000" w:rsidRDefault="007E65A2">
            <w:pPr>
              <w:rPr>
                <w:sz w:val="20"/>
                <w:szCs w:val="20"/>
              </w:rPr>
            </w:pPr>
          </w:p>
        </w:tc>
        <w:tc>
          <w:tcPr>
            <w:tcW w:w="0" w:type="auto"/>
            <w:tcBorders>
              <w:bottom w:val="single" w:sz="6" w:space="0" w:color="000000"/>
            </w:tcBorders>
            <w:vAlign w:val="center"/>
            <w:hideMark/>
          </w:tcPr>
          <w:p w14:paraId="72FDB510" w14:textId="77777777" w:rsidR="00000000" w:rsidRDefault="007E65A2">
            <w:pPr>
              <w:pStyle w:val="a3"/>
              <w:spacing w:before="0" w:beforeAutospacing="0" w:after="0" w:afterAutospacing="0"/>
              <w:jc w:val="both"/>
              <w:rPr>
                <w:sz w:val="20"/>
                <w:szCs w:val="20"/>
              </w:rPr>
            </w:pPr>
            <w:r>
              <w:rPr>
                <w:sz w:val="20"/>
                <w:szCs w:val="20"/>
              </w:rPr>
              <w:t xml:space="preserve">/s/ </w:t>
            </w:r>
            <w:r>
              <w:rPr>
                <w:i/>
                <w:iCs/>
                <w:sz w:val="20"/>
                <w:szCs w:val="20"/>
              </w:rPr>
              <w:t>Devin Beavers</w:t>
            </w:r>
          </w:p>
        </w:tc>
        <w:tc>
          <w:tcPr>
            <w:tcW w:w="0" w:type="auto"/>
            <w:vAlign w:val="center"/>
            <w:hideMark/>
          </w:tcPr>
          <w:p w14:paraId="0A181F3A" w14:textId="77777777" w:rsidR="00000000" w:rsidRDefault="007E65A2">
            <w:pPr>
              <w:pStyle w:val="a3"/>
              <w:spacing w:before="0" w:beforeAutospacing="0" w:after="0" w:afterAutospacing="0"/>
              <w:jc w:val="both"/>
              <w:rPr>
                <w:sz w:val="20"/>
                <w:szCs w:val="20"/>
              </w:rPr>
            </w:pPr>
            <w:r>
              <w:rPr>
                <w:sz w:val="20"/>
                <w:szCs w:val="20"/>
              </w:rPr>
              <w:t> </w:t>
            </w:r>
          </w:p>
        </w:tc>
      </w:tr>
      <w:tr w:rsidR="00000000" w14:paraId="7334B45E" w14:textId="77777777">
        <w:trPr>
          <w:divId w:val="911279972"/>
          <w:trHeight w:val="180"/>
          <w:tblCellSpacing w:w="0" w:type="dxa"/>
        </w:trPr>
        <w:tc>
          <w:tcPr>
            <w:tcW w:w="0" w:type="auto"/>
            <w:hideMark/>
          </w:tcPr>
          <w:p w14:paraId="7AFCFE41" w14:textId="77777777" w:rsidR="00000000" w:rsidRDefault="007E65A2">
            <w:pPr>
              <w:rPr>
                <w:sz w:val="20"/>
                <w:szCs w:val="20"/>
              </w:rPr>
            </w:pPr>
          </w:p>
        </w:tc>
        <w:tc>
          <w:tcPr>
            <w:tcW w:w="0" w:type="auto"/>
            <w:hideMark/>
          </w:tcPr>
          <w:p w14:paraId="56B2F37B" w14:textId="77777777" w:rsidR="00000000" w:rsidRDefault="007E65A2">
            <w:pPr>
              <w:jc w:val="both"/>
              <w:rPr>
                <w:rFonts w:eastAsia="Times New Roman"/>
                <w:sz w:val="20"/>
                <w:szCs w:val="20"/>
              </w:rPr>
            </w:pPr>
          </w:p>
        </w:tc>
        <w:tc>
          <w:tcPr>
            <w:tcW w:w="0" w:type="auto"/>
            <w:vAlign w:val="center"/>
            <w:hideMark/>
          </w:tcPr>
          <w:p w14:paraId="2A3396DE" w14:textId="77777777" w:rsidR="00000000" w:rsidRDefault="007E65A2">
            <w:pPr>
              <w:pStyle w:val="a3"/>
              <w:spacing w:before="0" w:beforeAutospacing="0" w:after="0" w:afterAutospacing="0"/>
              <w:jc w:val="both"/>
              <w:rPr>
                <w:sz w:val="20"/>
                <w:szCs w:val="20"/>
              </w:rPr>
            </w:pPr>
            <w:r>
              <w:rPr>
                <w:sz w:val="20"/>
                <w:szCs w:val="20"/>
              </w:rPr>
              <w:t>Devin Beavers</w:t>
            </w:r>
          </w:p>
        </w:tc>
        <w:tc>
          <w:tcPr>
            <w:tcW w:w="0" w:type="auto"/>
            <w:vAlign w:val="center"/>
            <w:hideMark/>
          </w:tcPr>
          <w:p w14:paraId="182F8CAE" w14:textId="77777777" w:rsidR="00000000" w:rsidRDefault="007E65A2">
            <w:pPr>
              <w:pStyle w:val="a3"/>
              <w:spacing w:before="0" w:beforeAutospacing="0" w:after="0" w:afterAutospacing="0"/>
              <w:jc w:val="both"/>
              <w:rPr>
                <w:sz w:val="20"/>
                <w:szCs w:val="20"/>
              </w:rPr>
            </w:pPr>
            <w:r>
              <w:rPr>
                <w:sz w:val="20"/>
                <w:szCs w:val="20"/>
              </w:rPr>
              <w:t> </w:t>
            </w:r>
          </w:p>
        </w:tc>
      </w:tr>
      <w:tr w:rsidR="00000000" w14:paraId="350E2045" w14:textId="77777777">
        <w:trPr>
          <w:divId w:val="911279972"/>
          <w:trHeight w:val="180"/>
          <w:tblCellSpacing w:w="0" w:type="dxa"/>
        </w:trPr>
        <w:tc>
          <w:tcPr>
            <w:tcW w:w="0" w:type="auto"/>
            <w:hideMark/>
          </w:tcPr>
          <w:p w14:paraId="47F86D17" w14:textId="77777777" w:rsidR="00000000" w:rsidRDefault="007E65A2">
            <w:pPr>
              <w:rPr>
                <w:sz w:val="20"/>
                <w:szCs w:val="20"/>
              </w:rPr>
            </w:pPr>
          </w:p>
        </w:tc>
        <w:tc>
          <w:tcPr>
            <w:tcW w:w="0" w:type="auto"/>
            <w:hideMark/>
          </w:tcPr>
          <w:p w14:paraId="207DD769" w14:textId="77777777" w:rsidR="00000000" w:rsidRDefault="007E65A2">
            <w:pPr>
              <w:jc w:val="both"/>
              <w:rPr>
                <w:rFonts w:eastAsia="Times New Roman"/>
                <w:sz w:val="20"/>
                <w:szCs w:val="20"/>
              </w:rPr>
            </w:pPr>
          </w:p>
        </w:tc>
        <w:tc>
          <w:tcPr>
            <w:tcW w:w="0" w:type="auto"/>
            <w:vAlign w:val="center"/>
            <w:hideMark/>
          </w:tcPr>
          <w:p w14:paraId="16BD98A2" w14:textId="77777777" w:rsidR="00000000" w:rsidRDefault="007E65A2">
            <w:pPr>
              <w:pStyle w:val="a3"/>
              <w:spacing w:before="0" w:beforeAutospacing="0" w:after="0" w:afterAutospacing="0"/>
              <w:jc w:val="both"/>
              <w:rPr>
                <w:sz w:val="20"/>
                <w:szCs w:val="20"/>
              </w:rPr>
            </w:pPr>
            <w:r>
              <w:rPr>
                <w:sz w:val="20"/>
                <w:szCs w:val="20"/>
              </w:rPr>
              <w:t>Director</w:t>
            </w:r>
          </w:p>
        </w:tc>
        <w:tc>
          <w:tcPr>
            <w:tcW w:w="0" w:type="auto"/>
            <w:vAlign w:val="center"/>
            <w:hideMark/>
          </w:tcPr>
          <w:p w14:paraId="02954F41" w14:textId="77777777" w:rsidR="00000000" w:rsidRDefault="007E65A2">
            <w:pPr>
              <w:pStyle w:val="a3"/>
              <w:spacing w:before="0" w:beforeAutospacing="0" w:after="0" w:afterAutospacing="0"/>
              <w:jc w:val="both"/>
              <w:rPr>
                <w:sz w:val="20"/>
                <w:szCs w:val="20"/>
              </w:rPr>
            </w:pPr>
            <w:r>
              <w:rPr>
                <w:sz w:val="20"/>
                <w:szCs w:val="20"/>
              </w:rPr>
              <w:t> </w:t>
            </w:r>
          </w:p>
        </w:tc>
      </w:tr>
    </w:tbl>
    <w:p w14:paraId="79F8BE9F" w14:textId="77777777" w:rsidR="00000000" w:rsidRDefault="007E65A2">
      <w:pPr>
        <w:pStyle w:val="a3"/>
        <w:spacing w:before="0" w:beforeAutospacing="0" w:after="0" w:afterAutospacing="0"/>
        <w:jc w:val="both"/>
        <w:divId w:val="911279972"/>
        <w:rPr>
          <w:sz w:val="20"/>
          <w:szCs w:val="20"/>
        </w:rPr>
      </w:pPr>
      <w:r>
        <w:rPr>
          <w:sz w:val="20"/>
          <w:szCs w:val="20"/>
        </w:rPr>
        <w:t> </w:t>
      </w:r>
    </w:p>
    <w:p w14:paraId="56B5DC83" w14:textId="77777777" w:rsidR="00000000" w:rsidRDefault="007E65A2">
      <w:pPr>
        <w:pStyle w:val="a3"/>
        <w:spacing w:before="0" w:beforeAutospacing="0" w:after="0" w:afterAutospacing="0"/>
        <w:jc w:val="both"/>
        <w:divId w:val="911279972"/>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42DFAF6" w14:textId="77777777">
        <w:trPr>
          <w:divId w:val="911279972"/>
          <w:tblCellSpacing w:w="0" w:type="dxa"/>
        </w:trPr>
        <w:tc>
          <w:tcPr>
            <w:tcW w:w="0" w:type="auto"/>
            <w:vAlign w:val="center"/>
            <w:hideMark/>
          </w:tcPr>
          <w:p w14:paraId="19D96615" w14:textId="77777777" w:rsidR="00000000" w:rsidRDefault="007E65A2">
            <w:pPr>
              <w:rPr>
                <w:rFonts w:eastAsia="Times New Roman"/>
                <w:sz w:val="20"/>
                <w:szCs w:val="20"/>
              </w:rPr>
            </w:pPr>
            <w:r>
              <w:rPr>
                <w:rFonts w:eastAsia="Times New Roman"/>
                <w:sz w:val="20"/>
                <w:szCs w:val="20"/>
              </w:rPr>
              <w:t> </w:t>
            </w:r>
          </w:p>
        </w:tc>
      </w:tr>
      <w:tr w:rsidR="00000000" w14:paraId="5C868D19" w14:textId="77777777">
        <w:trPr>
          <w:divId w:val="911279972"/>
          <w:tblCellSpacing w:w="0" w:type="dxa"/>
        </w:trPr>
        <w:tc>
          <w:tcPr>
            <w:tcW w:w="0" w:type="auto"/>
            <w:tcBorders>
              <w:bottom w:val="single" w:sz="6" w:space="0" w:color="000000"/>
            </w:tcBorders>
            <w:vAlign w:val="center"/>
            <w:hideMark/>
          </w:tcPr>
          <w:p w14:paraId="33018636" w14:textId="77777777" w:rsidR="00000000" w:rsidRDefault="007E65A2">
            <w:pPr>
              <w:pStyle w:val="a3"/>
              <w:spacing w:before="0" w:beforeAutospacing="0" w:after="0" w:afterAutospacing="0"/>
              <w:jc w:val="center"/>
              <w:rPr>
                <w:sz w:val="20"/>
                <w:szCs w:val="20"/>
              </w:rPr>
            </w:pPr>
            <w:r>
              <w:rPr>
                <w:sz w:val="20"/>
                <w:szCs w:val="20"/>
              </w:rPr>
              <w:t>22</w:t>
            </w:r>
          </w:p>
        </w:tc>
      </w:tr>
    </w:tbl>
    <w:p w14:paraId="30DFDCDD" w14:textId="77777777" w:rsidR="007E65A2" w:rsidRDefault="007E65A2">
      <w:pPr>
        <w:pStyle w:val="a3"/>
        <w:spacing w:before="0" w:beforeAutospacing="0" w:after="0" w:afterAutospacing="0"/>
        <w:jc w:val="both"/>
        <w:divId w:val="911279972"/>
        <w:rPr>
          <w:sz w:val="20"/>
          <w:szCs w:val="20"/>
        </w:rPr>
      </w:pPr>
      <w:r>
        <w:rPr>
          <w:sz w:val="20"/>
          <w:szCs w:val="20"/>
        </w:rPr>
        <w:t> </w:t>
      </w:r>
    </w:p>
    <w:sectPr w:rsidR="007E65A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65A2"/>
    <w:rsid w:val="007E6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7FF36"/>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79972">
      <w:bodyDiv w:val="1"/>
      <w:marLeft w:val="7"/>
      <w:marRight w:val="7"/>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yp_ex321.htm" TargetMode="External"/><Relationship Id="rId3" Type="http://schemas.openxmlformats.org/officeDocument/2006/relationships/webSettings" Target="webSettings.xml"/><Relationship Id="rId7" Type="http://schemas.openxmlformats.org/officeDocument/2006/relationships/hyperlink" Target="apyp_ex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pyp_ex311.htm" TargetMode="External"/><Relationship Id="rId11" Type="http://schemas.openxmlformats.org/officeDocument/2006/relationships/theme" Target="theme/theme1.xml"/><Relationship Id="rId5" Type="http://schemas.openxmlformats.org/officeDocument/2006/relationships/hyperlink" Target="apyp_ex211.htm" TargetMode="External"/><Relationship Id="rId10" Type="http://schemas.openxmlformats.org/officeDocument/2006/relationships/fontTable" Target="fontTable.xml"/><Relationship Id="rId4" Type="http://schemas.openxmlformats.org/officeDocument/2006/relationships/hyperlink" Target="apyp_ex211.htm" TargetMode="External"/><Relationship Id="rId9" Type="http://schemas.openxmlformats.org/officeDocument/2006/relationships/hyperlink" Target="apyp_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19994</Words>
  <Characters>113967</Characters>
  <Application>Microsoft Office Word</Application>
  <DocSecurity>0</DocSecurity>
  <Lines>949</Lines>
  <Paragraphs>267</Paragraphs>
  <ScaleCrop>false</ScaleCrop>
  <Company/>
  <LinksUpToDate>false</LinksUpToDate>
  <CharactersWithSpaces>133694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apyp_10k.htm</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